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06FC">
      <w:pPr>
        <w:pStyle w:val="TOC1"/>
        <w:bidi w:val="0"/>
        <w:rPr>
          <w:rFonts w:ascii="Times New Roman" w:hAnsi="Times New Roman" w:cs="Times New Roman"/>
          <w:b w:val="0"/>
          <w:bCs w:val="0"/>
          <w:lang w:eastAsia="sk-SK"/>
        </w:rPr>
      </w:pPr>
      <w:bookmarkStart w:id="0" w:name="_Toc97700650"/>
      <w:bookmarkStart w:id="1" w:name="_Toc109024012"/>
      <w:bookmarkStart w:id="2" w:name="_Toc116476470"/>
      <w:bookmarkStart w:id="3" w:name="_Toc148255235"/>
      <w:bookmarkStart w:id="4" w:name="_Toc206478402"/>
      <w:bookmarkStart w:id="5" w:name="_Toc211592393"/>
      <w:r w:rsidR="00311DA0">
        <w:rPr>
          <w:sz w:val="28"/>
          <w:szCs w:val="28"/>
        </w:rPr>
        <w:fldChar w:fldCharType="begin"/>
      </w:r>
      <w:r w:rsidR="00311DA0">
        <w:rPr>
          <w:sz w:val="28"/>
          <w:szCs w:val="28"/>
        </w:rPr>
        <w:instrText xml:space="preserve"> TOC \o "1-3" \h \z \u </w:instrText>
      </w:r>
      <w:r w:rsidR="00311DA0">
        <w:rPr>
          <w:sz w:val="28"/>
          <w:szCs w:val="28"/>
        </w:rPr>
        <w:fldChar w:fldCharType="separate"/>
      </w:r>
      <w:hyperlink w:anchor="_Toc273979607" w:history="1">
        <w:r w:rsidRPr="006166D7">
          <w:rPr>
            <w:rStyle w:val="Hyperlink"/>
            <w:rFonts w:cs="Arial Narrow"/>
          </w:rPr>
          <w:t>Predkladacia správa</w:t>
        </w:r>
        <w:r>
          <w:rPr>
            <w:webHidden/>
          </w:rPr>
          <w:tab/>
        </w:r>
        <w:r>
          <w:rPr>
            <w:webHidden/>
          </w:rPr>
          <w:fldChar w:fldCharType="begin"/>
        </w:r>
        <w:r>
          <w:rPr>
            <w:webHidden/>
          </w:rPr>
          <w:instrText xml:space="preserve"> PAGEREF _Toc273979607 \h </w:instrText>
        </w:r>
        <w:r>
          <w:rPr>
            <w:webHidden/>
          </w:rPr>
          <w:fldChar w:fldCharType="separate"/>
        </w:r>
        <w:r w:rsidR="00AA7C40">
          <w:rPr>
            <w:webHidden/>
          </w:rPr>
          <w:t>2</w:t>
        </w:r>
        <w:r>
          <w:rPr>
            <w:webHidden/>
          </w:rPr>
          <w:fldChar w:fldCharType="end"/>
        </w:r>
      </w:hyperlink>
    </w:p>
    <w:p w:rsidR="00C106FC">
      <w:pPr>
        <w:pStyle w:val="TOC1"/>
        <w:bidi w:val="0"/>
        <w:rPr>
          <w:rFonts w:ascii="Times New Roman" w:hAnsi="Times New Roman" w:cs="Times New Roman"/>
          <w:b w:val="0"/>
          <w:bCs w:val="0"/>
          <w:lang w:eastAsia="sk-SK"/>
        </w:rPr>
      </w:pPr>
      <w:hyperlink w:anchor="_Toc273979608" w:history="1">
        <w:r w:rsidRPr="006166D7">
          <w:rPr>
            <w:rStyle w:val="Hyperlink"/>
            <w:rFonts w:cs="Arial Narrow"/>
          </w:rPr>
          <w:t>1. Vývoj makroekonomického prostredia</w:t>
        </w:r>
        <w:r>
          <w:rPr>
            <w:webHidden/>
          </w:rPr>
          <w:tab/>
        </w:r>
        <w:r>
          <w:rPr>
            <w:webHidden/>
          </w:rPr>
          <w:fldChar w:fldCharType="begin"/>
        </w:r>
        <w:r>
          <w:rPr>
            <w:webHidden/>
          </w:rPr>
          <w:instrText xml:space="preserve"> PAGEREF _Toc273979608 \h </w:instrText>
        </w:r>
        <w:r>
          <w:rPr>
            <w:webHidden/>
          </w:rPr>
          <w:fldChar w:fldCharType="separate"/>
        </w:r>
        <w:r w:rsidR="00AA7C40">
          <w:rPr>
            <w:webHidden/>
          </w:rPr>
          <w:t>4</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09" w:history="1">
        <w:r w:rsidRPr="006166D7">
          <w:rPr>
            <w:rStyle w:val="Hyperlink"/>
            <w:rFonts w:cs="Arial Narrow"/>
          </w:rPr>
          <w:t>1.1 Charakteristika vývoja ekonomiky v roku 2010</w:t>
        </w:r>
        <w:r>
          <w:rPr>
            <w:webHidden/>
          </w:rPr>
          <w:tab/>
        </w:r>
        <w:r>
          <w:rPr>
            <w:webHidden/>
          </w:rPr>
          <w:fldChar w:fldCharType="begin"/>
        </w:r>
        <w:r>
          <w:rPr>
            <w:webHidden/>
          </w:rPr>
          <w:instrText xml:space="preserve"> PAGEREF _Toc273979609 \h </w:instrText>
        </w:r>
        <w:r>
          <w:rPr>
            <w:webHidden/>
          </w:rPr>
          <w:fldChar w:fldCharType="separate"/>
        </w:r>
        <w:r w:rsidR="00AA7C40">
          <w:rPr>
            <w:webHidden/>
          </w:rPr>
          <w:t>4</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0" w:history="1">
        <w:r w:rsidRPr="006166D7">
          <w:rPr>
            <w:rStyle w:val="Hyperlink"/>
            <w:rFonts w:cs="Arial Narrow"/>
          </w:rPr>
          <w:t>1.2 Makroekonomické rámce zostavenia návrhu rozpočtu na roky 2011 až 2013</w:t>
        </w:r>
        <w:r>
          <w:rPr>
            <w:webHidden/>
          </w:rPr>
          <w:tab/>
        </w:r>
        <w:r>
          <w:rPr>
            <w:webHidden/>
          </w:rPr>
          <w:fldChar w:fldCharType="begin"/>
        </w:r>
        <w:r>
          <w:rPr>
            <w:webHidden/>
          </w:rPr>
          <w:instrText xml:space="preserve"> PAGEREF _Toc273979610 \h </w:instrText>
        </w:r>
        <w:r>
          <w:rPr>
            <w:webHidden/>
          </w:rPr>
          <w:fldChar w:fldCharType="separate"/>
        </w:r>
        <w:r w:rsidR="00AA7C40">
          <w:rPr>
            <w:webHidden/>
          </w:rPr>
          <w:t>5</w:t>
        </w:r>
        <w:r>
          <w:rPr>
            <w:webHidden/>
          </w:rPr>
          <w:fldChar w:fldCharType="end"/>
        </w:r>
      </w:hyperlink>
    </w:p>
    <w:p w:rsidR="00C106FC">
      <w:pPr>
        <w:pStyle w:val="TOC1"/>
        <w:bidi w:val="0"/>
        <w:rPr>
          <w:rFonts w:ascii="Times New Roman" w:hAnsi="Times New Roman" w:cs="Times New Roman"/>
          <w:b w:val="0"/>
          <w:bCs w:val="0"/>
          <w:lang w:eastAsia="sk-SK"/>
        </w:rPr>
      </w:pPr>
      <w:hyperlink w:anchor="_Toc273979611" w:history="1">
        <w:r w:rsidRPr="006166D7">
          <w:rPr>
            <w:rStyle w:val="Hyperlink"/>
            <w:rFonts w:cs="Arial Narrow"/>
          </w:rPr>
          <w:t>2. Východiskový rámec rozpočtu verejnej správy na roky 2011 až 2013</w:t>
        </w:r>
        <w:r>
          <w:rPr>
            <w:webHidden/>
          </w:rPr>
          <w:tab/>
        </w:r>
        <w:r>
          <w:rPr>
            <w:webHidden/>
          </w:rPr>
          <w:fldChar w:fldCharType="begin"/>
        </w:r>
        <w:r>
          <w:rPr>
            <w:webHidden/>
          </w:rPr>
          <w:instrText xml:space="preserve"> PAGEREF _Toc273979611 \h </w:instrText>
        </w:r>
        <w:r>
          <w:rPr>
            <w:webHidden/>
          </w:rPr>
          <w:fldChar w:fldCharType="separate"/>
        </w:r>
        <w:r w:rsidR="00AA7C40">
          <w:rPr>
            <w:webHidden/>
          </w:rPr>
          <w:t>8</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2" w:history="1">
        <w:r w:rsidRPr="006166D7">
          <w:rPr>
            <w:rStyle w:val="Hyperlink"/>
            <w:rFonts w:cs="Arial Narrow"/>
          </w:rPr>
          <w:t>2.1. Základné predpoklady zostavenia rozpočtu verejnej správy</w:t>
        </w:r>
        <w:r>
          <w:rPr>
            <w:webHidden/>
          </w:rPr>
          <w:tab/>
        </w:r>
        <w:r>
          <w:rPr>
            <w:webHidden/>
          </w:rPr>
          <w:fldChar w:fldCharType="begin"/>
        </w:r>
        <w:r>
          <w:rPr>
            <w:webHidden/>
          </w:rPr>
          <w:instrText xml:space="preserve"> PAGEREF _Toc273979612 \h </w:instrText>
        </w:r>
        <w:r>
          <w:rPr>
            <w:webHidden/>
          </w:rPr>
          <w:fldChar w:fldCharType="separate"/>
        </w:r>
        <w:r w:rsidR="00AA7C40">
          <w:rPr>
            <w:webHidden/>
          </w:rPr>
          <w:t>8</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3" w:history="1">
        <w:r w:rsidRPr="006166D7">
          <w:rPr>
            <w:rStyle w:val="Hyperlink"/>
            <w:rFonts w:cs="Arial Narrow"/>
          </w:rPr>
          <w:t>2.2. Rámec na zostavenie rozpočtu verejnej správy</w:t>
        </w:r>
        <w:r>
          <w:rPr>
            <w:webHidden/>
          </w:rPr>
          <w:tab/>
        </w:r>
        <w:r>
          <w:rPr>
            <w:webHidden/>
          </w:rPr>
          <w:fldChar w:fldCharType="begin"/>
        </w:r>
        <w:r>
          <w:rPr>
            <w:webHidden/>
          </w:rPr>
          <w:instrText xml:space="preserve"> PAGEREF _Toc273979613 \h </w:instrText>
        </w:r>
        <w:r>
          <w:rPr>
            <w:webHidden/>
          </w:rPr>
          <w:fldChar w:fldCharType="separate"/>
        </w:r>
        <w:r w:rsidR="00AA7C40">
          <w:rPr>
            <w:webHidden/>
          </w:rPr>
          <w:t>8</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4" w:history="1">
        <w:r w:rsidRPr="006166D7">
          <w:rPr>
            <w:rStyle w:val="Hyperlink"/>
            <w:rFonts w:cs="Arial Narrow"/>
          </w:rPr>
          <w:t>2.3. Dlh verejnej správy</w:t>
        </w:r>
        <w:r>
          <w:rPr>
            <w:webHidden/>
          </w:rPr>
          <w:tab/>
        </w:r>
        <w:r>
          <w:rPr>
            <w:webHidden/>
          </w:rPr>
          <w:fldChar w:fldCharType="begin"/>
        </w:r>
        <w:r>
          <w:rPr>
            <w:webHidden/>
          </w:rPr>
          <w:instrText xml:space="preserve"> PAGEREF _Toc273979614 \h </w:instrText>
        </w:r>
        <w:r>
          <w:rPr>
            <w:webHidden/>
          </w:rPr>
          <w:fldChar w:fldCharType="separate"/>
        </w:r>
        <w:r w:rsidR="00AA7C40">
          <w:rPr>
            <w:webHidden/>
          </w:rPr>
          <w:t>9</w:t>
        </w:r>
        <w:r>
          <w:rPr>
            <w:webHidden/>
          </w:rPr>
          <w:fldChar w:fldCharType="end"/>
        </w:r>
      </w:hyperlink>
    </w:p>
    <w:p w:rsidR="00C106FC">
      <w:pPr>
        <w:pStyle w:val="TOC1"/>
        <w:bidi w:val="0"/>
        <w:rPr>
          <w:rFonts w:ascii="Times New Roman" w:hAnsi="Times New Roman" w:cs="Times New Roman"/>
          <w:b w:val="0"/>
          <w:bCs w:val="0"/>
          <w:lang w:eastAsia="sk-SK"/>
        </w:rPr>
      </w:pPr>
      <w:hyperlink w:anchor="_Toc273979615" w:history="1">
        <w:r w:rsidRPr="006166D7">
          <w:rPr>
            <w:rStyle w:val="Hyperlink"/>
            <w:rFonts w:cs="Arial Narrow"/>
          </w:rPr>
          <w:t>3. Rozpočtovanie príjmov štátneho rozpočtu</w:t>
        </w:r>
        <w:r>
          <w:rPr>
            <w:webHidden/>
          </w:rPr>
          <w:tab/>
        </w:r>
        <w:r>
          <w:rPr>
            <w:webHidden/>
          </w:rPr>
          <w:fldChar w:fldCharType="begin"/>
        </w:r>
        <w:r>
          <w:rPr>
            <w:webHidden/>
          </w:rPr>
          <w:instrText xml:space="preserve"> PAGEREF _Toc273979615 \h </w:instrText>
        </w:r>
        <w:r>
          <w:rPr>
            <w:webHidden/>
          </w:rPr>
          <w:fldChar w:fldCharType="separate"/>
        </w:r>
        <w:r w:rsidR="00AA7C40">
          <w:rPr>
            <w:webHidden/>
          </w:rPr>
          <w:t>11</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6" w:history="1">
        <w:r w:rsidRPr="006166D7">
          <w:rPr>
            <w:rStyle w:val="Hyperlink"/>
            <w:rFonts w:cs="Arial Narrow"/>
          </w:rPr>
          <w:t>3.1. Daňové a odvodové zaťaženie</w:t>
        </w:r>
        <w:r>
          <w:rPr>
            <w:webHidden/>
          </w:rPr>
          <w:tab/>
        </w:r>
        <w:r>
          <w:rPr>
            <w:webHidden/>
          </w:rPr>
          <w:fldChar w:fldCharType="begin"/>
        </w:r>
        <w:r>
          <w:rPr>
            <w:webHidden/>
          </w:rPr>
          <w:instrText xml:space="preserve"> PAGEREF _Toc273979616 \h </w:instrText>
        </w:r>
        <w:r>
          <w:rPr>
            <w:webHidden/>
          </w:rPr>
          <w:fldChar w:fldCharType="separate"/>
        </w:r>
        <w:r w:rsidR="00AA7C40">
          <w:rPr>
            <w:webHidden/>
          </w:rPr>
          <w:t>11</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7" w:history="1">
        <w:r w:rsidRPr="006166D7">
          <w:rPr>
            <w:rStyle w:val="Hyperlink"/>
            <w:rFonts w:cs="Arial Narrow"/>
          </w:rPr>
          <w:t>3.2 Rozpočtovanie daňových príjmov ŠR</w:t>
        </w:r>
        <w:r>
          <w:rPr>
            <w:webHidden/>
          </w:rPr>
          <w:tab/>
        </w:r>
        <w:r>
          <w:rPr>
            <w:webHidden/>
          </w:rPr>
          <w:fldChar w:fldCharType="begin"/>
        </w:r>
        <w:r>
          <w:rPr>
            <w:webHidden/>
          </w:rPr>
          <w:instrText xml:space="preserve"> PAGEREF _Toc273979617 \h </w:instrText>
        </w:r>
        <w:r>
          <w:rPr>
            <w:webHidden/>
          </w:rPr>
          <w:fldChar w:fldCharType="separate"/>
        </w:r>
        <w:r w:rsidR="00AA7C40">
          <w:rPr>
            <w:webHidden/>
          </w:rPr>
          <w:t>13</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8" w:history="1">
        <w:r w:rsidRPr="006166D7">
          <w:rPr>
            <w:rStyle w:val="Hyperlink"/>
            <w:rFonts w:cs="Arial Narrow"/>
          </w:rPr>
          <w:t>3.3. Akruálne dane pre návrh rozpočtu verejnej správy na roky 2011 až 2013</w:t>
        </w:r>
        <w:r>
          <w:rPr>
            <w:webHidden/>
          </w:rPr>
          <w:tab/>
        </w:r>
        <w:r>
          <w:rPr>
            <w:webHidden/>
          </w:rPr>
          <w:fldChar w:fldCharType="begin"/>
        </w:r>
        <w:r>
          <w:rPr>
            <w:webHidden/>
          </w:rPr>
          <w:instrText xml:space="preserve"> PAGEREF _Toc273979618 \h </w:instrText>
        </w:r>
        <w:r>
          <w:rPr>
            <w:webHidden/>
          </w:rPr>
          <w:fldChar w:fldCharType="separate"/>
        </w:r>
        <w:r w:rsidR="00AA7C40">
          <w:rPr>
            <w:webHidden/>
          </w:rPr>
          <w:t>20</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19" w:history="1">
        <w:r w:rsidRPr="006166D7">
          <w:rPr>
            <w:rStyle w:val="Hyperlink"/>
            <w:rFonts w:cs="Arial Narrow"/>
          </w:rPr>
          <w:t>3.4. Porovnanie aktuálneho odhadu daní s rozpočtom verejnej správy na roky 2010 až 2012</w:t>
        </w:r>
        <w:r>
          <w:rPr>
            <w:webHidden/>
          </w:rPr>
          <w:tab/>
        </w:r>
        <w:r>
          <w:rPr>
            <w:webHidden/>
          </w:rPr>
          <w:fldChar w:fldCharType="begin"/>
        </w:r>
        <w:r>
          <w:rPr>
            <w:webHidden/>
          </w:rPr>
          <w:instrText xml:space="preserve"> PAGEREF _Toc273979619 \h </w:instrText>
        </w:r>
        <w:r>
          <w:rPr>
            <w:webHidden/>
          </w:rPr>
          <w:fldChar w:fldCharType="separate"/>
        </w:r>
        <w:r w:rsidR="00AA7C40">
          <w:rPr>
            <w:webHidden/>
          </w:rPr>
          <w:t>23</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20" w:history="1">
        <w:r w:rsidRPr="006166D7">
          <w:rPr>
            <w:rStyle w:val="Hyperlink"/>
            <w:rFonts w:cs="Arial Narrow"/>
          </w:rPr>
          <w:t>3.5. Rozpočtovanie iných ako daňových príjmov štátneho rozpočtu</w:t>
        </w:r>
        <w:r>
          <w:rPr>
            <w:webHidden/>
          </w:rPr>
          <w:tab/>
        </w:r>
        <w:r>
          <w:rPr>
            <w:webHidden/>
          </w:rPr>
          <w:fldChar w:fldCharType="begin"/>
        </w:r>
        <w:r>
          <w:rPr>
            <w:webHidden/>
          </w:rPr>
          <w:instrText xml:space="preserve"> PAGEREF _Toc273979620 \h </w:instrText>
        </w:r>
        <w:r>
          <w:rPr>
            <w:webHidden/>
          </w:rPr>
          <w:fldChar w:fldCharType="separate"/>
        </w:r>
        <w:r w:rsidR="00AA7C40">
          <w:rPr>
            <w:webHidden/>
          </w:rPr>
          <w:t>24</w:t>
        </w:r>
        <w:r>
          <w:rPr>
            <w:webHidden/>
          </w:rPr>
          <w:fldChar w:fldCharType="end"/>
        </w:r>
      </w:hyperlink>
    </w:p>
    <w:p w:rsidR="00C106FC">
      <w:pPr>
        <w:pStyle w:val="TOC1"/>
        <w:bidi w:val="0"/>
        <w:rPr>
          <w:rFonts w:ascii="Times New Roman" w:hAnsi="Times New Roman" w:cs="Times New Roman"/>
          <w:b w:val="0"/>
          <w:bCs w:val="0"/>
          <w:lang w:eastAsia="sk-SK"/>
        </w:rPr>
      </w:pPr>
      <w:hyperlink w:anchor="_Toc273979621" w:history="1">
        <w:r w:rsidRPr="006166D7">
          <w:rPr>
            <w:rStyle w:val="Hyperlink"/>
            <w:rFonts w:cs="Arial Narrow"/>
          </w:rPr>
          <w:t>4. Rozpočtovanie výdavkov štátneho rozpočtu</w:t>
        </w:r>
        <w:r>
          <w:rPr>
            <w:webHidden/>
          </w:rPr>
          <w:tab/>
        </w:r>
        <w:r>
          <w:rPr>
            <w:webHidden/>
          </w:rPr>
          <w:fldChar w:fldCharType="begin"/>
        </w:r>
        <w:r>
          <w:rPr>
            <w:webHidden/>
          </w:rPr>
          <w:instrText xml:space="preserve"> PAGEREF _Toc273979621 \h </w:instrText>
        </w:r>
        <w:r>
          <w:rPr>
            <w:webHidden/>
          </w:rPr>
          <w:fldChar w:fldCharType="separate"/>
        </w:r>
        <w:r w:rsidR="00AA7C40">
          <w:rPr>
            <w:webHidden/>
          </w:rPr>
          <w:t>28</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22" w:history="1">
        <w:r w:rsidRPr="006166D7">
          <w:rPr>
            <w:rStyle w:val="Hyperlink"/>
            <w:rFonts w:cs="Arial Narrow"/>
          </w:rPr>
          <w:t>4.1. Kvantifikácia výdavkov štátneho rozpočtu</w:t>
        </w:r>
        <w:r>
          <w:rPr>
            <w:webHidden/>
          </w:rPr>
          <w:tab/>
        </w:r>
        <w:r>
          <w:rPr>
            <w:webHidden/>
          </w:rPr>
          <w:fldChar w:fldCharType="begin"/>
        </w:r>
        <w:r>
          <w:rPr>
            <w:webHidden/>
          </w:rPr>
          <w:instrText xml:space="preserve"> PAGEREF _Toc273979622 \h </w:instrText>
        </w:r>
        <w:r>
          <w:rPr>
            <w:webHidden/>
          </w:rPr>
          <w:fldChar w:fldCharType="separate"/>
        </w:r>
        <w:r w:rsidR="00AA7C40">
          <w:rPr>
            <w:webHidden/>
          </w:rPr>
          <w:t>28</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23" w:history="1">
        <w:r w:rsidRPr="00026163">
          <w:rPr>
            <w:rStyle w:val="Hyperlink"/>
            <w:rFonts w:cs="Arial Narrow"/>
          </w:rPr>
          <w:t>4.2. Osobné výdavky</w:t>
        </w:r>
        <w:r w:rsidRPr="00026163">
          <w:rPr>
            <w:webHidden/>
          </w:rPr>
          <w:tab/>
        </w:r>
        <w:r w:rsidRPr="00026163">
          <w:rPr>
            <w:webHidden/>
          </w:rPr>
          <w:fldChar w:fldCharType="begin"/>
        </w:r>
        <w:r w:rsidRPr="00026163">
          <w:rPr>
            <w:webHidden/>
          </w:rPr>
          <w:instrText xml:space="preserve"> PAGEREF _Toc273979623 \h </w:instrText>
        </w:r>
        <w:r w:rsidRPr="00026163">
          <w:rPr>
            <w:webHidden/>
          </w:rPr>
          <w:fldChar w:fldCharType="separate"/>
        </w:r>
        <w:r w:rsidR="00AA7C40">
          <w:rPr>
            <w:webHidden/>
          </w:rPr>
          <w:t>30</w:t>
        </w:r>
        <w:r w:rsidRPr="00026163">
          <w:rPr>
            <w:webHidden/>
          </w:rPr>
          <w:fldChar w:fldCharType="end"/>
        </w:r>
      </w:hyperlink>
    </w:p>
    <w:p w:rsidR="00C106FC">
      <w:pPr>
        <w:pStyle w:val="TOC2"/>
        <w:bidi w:val="0"/>
        <w:rPr>
          <w:rFonts w:ascii="Times New Roman" w:hAnsi="Times New Roman" w:cs="Times New Roman"/>
          <w:sz w:val="24"/>
          <w:szCs w:val="24"/>
          <w:lang w:eastAsia="sk-SK"/>
        </w:rPr>
      </w:pPr>
      <w:hyperlink w:anchor="_Toc273979624" w:history="1">
        <w:r w:rsidRPr="006166D7">
          <w:rPr>
            <w:rStyle w:val="Hyperlink"/>
            <w:rFonts w:cs="Arial Narrow"/>
          </w:rPr>
          <w:t>4.</w:t>
        </w:r>
        <w:r w:rsidR="001E5B24">
          <w:rPr>
            <w:rStyle w:val="Hyperlink"/>
            <w:rFonts w:cs="Arial Narrow"/>
          </w:rPr>
          <w:t>3</w:t>
        </w:r>
        <w:r w:rsidRPr="006166D7">
          <w:rPr>
            <w:rStyle w:val="Hyperlink"/>
            <w:rFonts w:cs="Arial Narrow"/>
          </w:rPr>
          <w:t>. Rozpočtovanie výdavkov podľa kapitol štátneho rozpočtu</w:t>
        </w:r>
        <w:r>
          <w:rPr>
            <w:webHidden/>
          </w:rPr>
          <w:tab/>
        </w:r>
        <w:r>
          <w:rPr>
            <w:webHidden/>
          </w:rPr>
          <w:fldChar w:fldCharType="begin"/>
        </w:r>
        <w:r>
          <w:rPr>
            <w:webHidden/>
          </w:rPr>
          <w:instrText xml:space="preserve"> PAGEREF _Toc273979624 \h </w:instrText>
        </w:r>
        <w:r>
          <w:rPr>
            <w:webHidden/>
          </w:rPr>
          <w:fldChar w:fldCharType="separate"/>
        </w:r>
        <w:r w:rsidR="00AA7C40">
          <w:rPr>
            <w:webHidden/>
          </w:rPr>
          <w:t>32</w:t>
        </w:r>
        <w:r>
          <w:rPr>
            <w:webHidden/>
          </w:rPr>
          <w:fldChar w:fldCharType="end"/>
        </w:r>
      </w:hyperlink>
    </w:p>
    <w:p w:rsidR="00C106FC">
      <w:pPr>
        <w:pStyle w:val="TOC1"/>
        <w:bidi w:val="0"/>
        <w:rPr>
          <w:rFonts w:ascii="Times New Roman" w:hAnsi="Times New Roman" w:cs="Times New Roman"/>
          <w:b w:val="0"/>
          <w:bCs w:val="0"/>
          <w:lang w:eastAsia="sk-SK"/>
        </w:rPr>
      </w:pPr>
      <w:hyperlink w:anchor="_Toc273979632" w:history="1">
        <w:r w:rsidRPr="006166D7">
          <w:rPr>
            <w:rStyle w:val="Hyperlink"/>
            <w:rFonts w:cs="Arial Narrow"/>
          </w:rPr>
          <w:t>5. Štátne finančné aktíva</w:t>
        </w:r>
        <w:r>
          <w:rPr>
            <w:webHidden/>
          </w:rPr>
          <w:tab/>
        </w:r>
        <w:r>
          <w:rPr>
            <w:webHidden/>
          </w:rPr>
          <w:fldChar w:fldCharType="begin"/>
        </w:r>
        <w:r>
          <w:rPr>
            <w:webHidden/>
          </w:rPr>
          <w:instrText xml:space="preserve"> PAGEREF _Toc273979632 \h </w:instrText>
        </w:r>
        <w:r>
          <w:rPr>
            <w:webHidden/>
          </w:rPr>
          <w:fldChar w:fldCharType="separate"/>
        </w:r>
        <w:r w:rsidR="00AA7C40">
          <w:rPr>
            <w:webHidden/>
          </w:rPr>
          <w:t>89</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33" w:history="1">
        <w:r w:rsidRPr="006166D7">
          <w:rPr>
            <w:rStyle w:val="Hyperlink"/>
            <w:rFonts w:cs="Arial Narrow"/>
          </w:rPr>
          <w:t>5.1. Príjmové operácie</w:t>
        </w:r>
        <w:r>
          <w:rPr>
            <w:webHidden/>
          </w:rPr>
          <w:tab/>
        </w:r>
        <w:r>
          <w:rPr>
            <w:webHidden/>
          </w:rPr>
          <w:fldChar w:fldCharType="begin"/>
        </w:r>
        <w:r>
          <w:rPr>
            <w:webHidden/>
          </w:rPr>
          <w:instrText xml:space="preserve"> PAGEREF _Toc273979633 \h </w:instrText>
        </w:r>
        <w:r>
          <w:rPr>
            <w:webHidden/>
          </w:rPr>
          <w:fldChar w:fldCharType="separate"/>
        </w:r>
        <w:r w:rsidR="00AA7C40">
          <w:rPr>
            <w:webHidden/>
          </w:rPr>
          <w:t>90</w:t>
        </w:r>
        <w:r>
          <w:rPr>
            <w:webHidden/>
          </w:rPr>
          <w:fldChar w:fldCharType="end"/>
        </w:r>
      </w:hyperlink>
    </w:p>
    <w:p w:rsidR="00C106FC">
      <w:pPr>
        <w:pStyle w:val="TOC2"/>
        <w:bidi w:val="0"/>
        <w:rPr>
          <w:rFonts w:ascii="Times New Roman" w:hAnsi="Times New Roman" w:cs="Times New Roman"/>
          <w:sz w:val="24"/>
          <w:szCs w:val="24"/>
          <w:lang w:eastAsia="sk-SK"/>
        </w:rPr>
      </w:pPr>
      <w:hyperlink w:anchor="_Toc273979634" w:history="1">
        <w:r w:rsidRPr="006166D7">
          <w:rPr>
            <w:rStyle w:val="Hyperlink"/>
            <w:rFonts w:cs="Arial Narrow"/>
          </w:rPr>
          <w:t>5.2. Výdavkové operácie</w:t>
        </w:r>
        <w:r>
          <w:rPr>
            <w:webHidden/>
          </w:rPr>
          <w:tab/>
        </w:r>
        <w:r>
          <w:rPr>
            <w:webHidden/>
          </w:rPr>
          <w:fldChar w:fldCharType="begin"/>
        </w:r>
        <w:r>
          <w:rPr>
            <w:webHidden/>
          </w:rPr>
          <w:instrText xml:space="preserve"> PAGEREF _Toc273979634 \h </w:instrText>
        </w:r>
        <w:r>
          <w:rPr>
            <w:webHidden/>
          </w:rPr>
          <w:fldChar w:fldCharType="separate"/>
        </w:r>
        <w:r w:rsidR="00AA7C40">
          <w:rPr>
            <w:webHidden/>
          </w:rPr>
          <w:t>91</w:t>
        </w:r>
        <w:r>
          <w:rPr>
            <w:webHidden/>
          </w:rPr>
          <w:fldChar w:fldCharType="end"/>
        </w:r>
      </w:hyperlink>
    </w:p>
    <w:p w:rsidR="00C106FC">
      <w:pPr>
        <w:pStyle w:val="TOC1"/>
        <w:bidi w:val="0"/>
        <w:rPr>
          <w:rFonts w:ascii="Times New Roman" w:hAnsi="Times New Roman" w:cs="Times New Roman"/>
          <w:b w:val="0"/>
          <w:bCs w:val="0"/>
          <w:lang w:eastAsia="sk-SK"/>
        </w:rPr>
      </w:pPr>
      <w:hyperlink w:anchor="_Toc273979635" w:history="1">
        <w:r w:rsidRPr="006166D7">
          <w:rPr>
            <w:rStyle w:val="Hyperlink"/>
            <w:rFonts w:cs="Arial Narrow"/>
          </w:rPr>
          <w:t>6. Štátny rozpočet v metodike ESA 95</w:t>
        </w:r>
        <w:r>
          <w:rPr>
            <w:webHidden/>
          </w:rPr>
          <w:tab/>
        </w:r>
        <w:r>
          <w:rPr>
            <w:webHidden/>
          </w:rPr>
          <w:fldChar w:fldCharType="begin"/>
        </w:r>
        <w:r>
          <w:rPr>
            <w:webHidden/>
          </w:rPr>
          <w:instrText xml:space="preserve"> PAGEREF _Toc273979635 \h </w:instrText>
        </w:r>
        <w:r>
          <w:rPr>
            <w:webHidden/>
          </w:rPr>
          <w:fldChar w:fldCharType="separate"/>
        </w:r>
        <w:r w:rsidR="00AA7C40">
          <w:rPr>
            <w:webHidden/>
          </w:rPr>
          <w:t>92</w:t>
        </w:r>
        <w:r>
          <w:rPr>
            <w:webHidden/>
          </w:rPr>
          <w:fldChar w:fldCharType="end"/>
        </w:r>
      </w:hyperlink>
    </w:p>
    <w:p w:rsidR="001F3142" w:rsidP="00C52ECF">
      <w:pPr>
        <w:pStyle w:val="Heading1"/>
        <w:bidi w:val="0"/>
        <w:rPr>
          <w:rFonts w:ascii="Arial Narrow" w:hAnsi="Arial Narrow" w:cs="Arial Narrow"/>
          <w:b w:val="0"/>
          <w:bCs w:val="0"/>
          <w:kern w:val="0"/>
          <w:sz w:val="28"/>
          <w:szCs w:val="28"/>
        </w:rPr>
      </w:pPr>
      <w:r w:rsidR="00311DA0">
        <w:rPr>
          <w:sz w:val="28"/>
          <w:szCs w:val="28"/>
        </w:rPr>
        <w:fldChar w:fldCharType="end"/>
      </w:r>
    </w:p>
    <w:p w:rsidR="001F3142" w:rsidP="001F3142">
      <w:pPr>
        <w:bidi w:val="0"/>
      </w:pPr>
    </w:p>
    <w:p w:rsidR="001F3142" w:rsidRPr="00F968EF" w:rsidP="001F3142">
      <w:pPr>
        <w:bidi w:val="0"/>
        <w:rPr>
          <w:rFonts w:ascii="Arial Narrow" w:hAnsi="Arial Narrow" w:cs="Arial Narrow"/>
          <w:b/>
          <w:bCs/>
        </w:rPr>
      </w:pPr>
      <w:r w:rsidRPr="00F968EF" w:rsidR="00F968EF">
        <w:rPr>
          <w:rFonts w:ascii="Arial Narrow" w:hAnsi="Arial Narrow" w:cs="Arial Narrow"/>
          <w:b/>
          <w:bCs/>
        </w:rPr>
        <w:t>Prílohy</w:t>
      </w:r>
    </w:p>
    <w:p w:rsidR="001F3142" w:rsidP="001F3142">
      <w:pPr>
        <w:bidi w:val="0"/>
      </w:pPr>
    </w:p>
    <w:p w:rsidR="008B7210" w:rsidP="001F3142">
      <w:pPr>
        <w:bidi w:val="0"/>
      </w:pPr>
    </w:p>
    <w:p w:rsidR="001F3142" w:rsidP="00BE7180">
      <w:pPr>
        <w:numPr>
          <w:numId w:val="4"/>
        </w:numPr>
        <w:bidi w:val="0"/>
        <w:spacing w:before="120"/>
        <w:ind w:left="284" w:hanging="284"/>
        <w:rPr>
          <w:rFonts w:ascii="Arial Narrow" w:hAnsi="Arial Narrow" w:cs="Arial Narrow"/>
          <w:sz w:val="22"/>
          <w:szCs w:val="22"/>
        </w:rPr>
      </w:pPr>
      <w:r w:rsidR="00F968EF">
        <w:rPr>
          <w:rFonts w:ascii="Arial Narrow" w:hAnsi="Arial Narrow" w:cs="Arial Narrow"/>
          <w:sz w:val="22"/>
          <w:szCs w:val="22"/>
        </w:rPr>
        <w:t>Rozpočtovanie príjmov a výdavkov ostatných subjektov verejnej správy v metodike ESA 95</w:t>
      </w:r>
    </w:p>
    <w:p w:rsidR="00F968EF" w:rsidP="00BE7180">
      <w:pPr>
        <w:numPr>
          <w:numId w:val="4"/>
        </w:numPr>
        <w:bidi w:val="0"/>
        <w:spacing w:before="120"/>
        <w:ind w:left="284" w:hanging="284"/>
        <w:rPr>
          <w:rFonts w:ascii="Arial Narrow" w:hAnsi="Arial Narrow" w:cs="Arial Narrow"/>
          <w:sz w:val="22"/>
          <w:szCs w:val="22"/>
        </w:rPr>
      </w:pPr>
      <w:r>
        <w:rPr>
          <w:rFonts w:ascii="Arial Narrow" w:hAnsi="Arial Narrow" w:cs="Arial Narrow"/>
          <w:sz w:val="22"/>
          <w:szCs w:val="22"/>
        </w:rPr>
        <w:t>Rozpočtové vzťahy SR a EÚ</w:t>
      </w:r>
    </w:p>
    <w:p w:rsidR="001F3142" w:rsidP="001F3142">
      <w:pPr>
        <w:bidi w:val="0"/>
      </w:pPr>
    </w:p>
    <w:p w:rsidR="00D67C7E" w:rsidP="001F3142">
      <w:pPr>
        <w:bidi w:val="0"/>
      </w:pPr>
    </w:p>
    <w:p w:rsidR="00D67C7E" w:rsidP="001F3142">
      <w:pPr>
        <w:bidi w:val="0"/>
      </w:pPr>
    </w:p>
    <w:p w:rsidR="00B14FBE" w:rsidP="001F3142">
      <w:pPr>
        <w:bidi w:val="0"/>
      </w:pPr>
    </w:p>
    <w:p w:rsidR="00B14FBE" w:rsidP="001F3142">
      <w:pPr>
        <w:bidi w:val="0"/>
      </w:pPr>
    </w:p>
    <w:p w:rsidR="00B14FBE" w:rsidP="001F3142">
      <w:pPr>
        <w:bidi w:val="0"/>
      </w:pPr>
    </w:p>
    <w:p w:rsidR="00B14FBE" w:rsidP="001F3142">
      <w:pPr>
        <w:bidi w:val="0"/>
      </w:pPr>
    </w:p>
    <w:p w:rsidR="00B14FBE" w:rsidP="001F3142">
      <w:pPr>
        <w:bidi w:val="0"/>
      </w:pPr>
    </w:p>
    <w:p w:rsidR="001F3142" w:rsidP="001F3142">
      <w:pPr>
        <w:bidi w:val="0"/>
      </w:pPr>
    </w:p>
    <w:p w:rsidR="001F3142" w:rsidP="00513FFB">
      <w:pPr>
        <w:pStyle w:val="Heading1"/>
        <w:bidi w:val="0"/>
        <w:jc w:val="center"/>
        <w:rPr>
          <w:rFonts w:ascii="Arial Narrow" w:hAnsi="Arial Narrow" w:cs="Arial Narrow"/>
          <w:sz w:val="28"/>
          <w:szCs w:val="28"/>
        </w:rPr>
      </w:pPr>
      <w:bookmarkStart w:id="6" w:name="_Toc273979607"/>
      <w:r w:rsidRPr="00513FFB" w:rsidR="00513FFB">
        <w:rPr>
          <w:rFonts w:ascii="Arial Narrow" w:hAnsi="Arial Narrow" w:cs="Arial Narrow"/>
          <w:sz w:val="28"/>
          <w:szCs w:val="28"/>
        </w:rPr>
        <w:t>Predkladacia správa</w:t>
      </w:r>
      <w:bookmarkEnd w:id="6"/>
    </w:p>
    <w:p w:rsidR="0013660A" w:rsidP="0013660A">
      <w:pPr>
        <w:bidi w:val="0"/>
        <w:jc w:val="both"/>
        <w:rPr>
          <w:rFonts w:ascii="Arial Narrow" w:hAnsi="Arial Narrow" w:cs="Arial Narrow"/>
          <w:b/>
          <w:bCs/>
          <w:sz w:val="22"/>
          <w:szCs w:val="22"/>
        </w:rPr>
      </w:pPr>
      <w:r>
        <w:rPr>
          <w:rFonts w:ascii="Arial Narrow" w:hAnsi="Arial Narrow" w:cs="Arial Narrow"/>
          <w:b/>
          <w:bCs/>
          <w:sz w:val="22"/>
          <w:szCs w:val="22"/>
        </w:rPr>
        <w:t xml:space="preserve"> </w:t>
      </w:r>
    </w:p>
    <w:p w:rsidR="000D7887" w:rsidRPr="0013660A" w:rsidP="000D7887">
      <w:pPr>
        <w:bidi w:val="0"/>
        <w:ind w:firstLine="708"/>
        <w:jc w:val="both"/>
        <w:rPr>
          <w:rFonts w:ascii="Arial Narrow" w:hAnsi="Arial Narrow" w:cs="Arial Narrow"/>
          <w:sz w:val="22"/>
          <w:szCs w:val="22"/>
        </w:rPr>
      </w:pPr>
      <w:r w:rsidRPr="00F76423">
        <w:rPr>
          <w:rFonts w:ascii="Arial Narrow" w:hAnsi="Arial Narrow" w:cs="Arial Narrow"/>
          <w:b/>
          <w:bCs/>
          <w:sz w:val="22"/>
          <w:szCs w:val="22"/>
        </w:rPr>
        <w:t>Slovensko sa v posledných dvoch rokoch mimoriadne rýchl</w:t>
      </w:r>
      <w:r w:rsidR="009F2851">
        <w:rPr>
          <w:rFonts w:ascii="Arial Narrow" w:hAnsi="Arial Narrow" w:cs="Arial Narrow"/>
          <w:b/>
          <w:bCs/>
          <w:sz w:val="22"/>
          <w:szCs w:val="22"/>
        </w:rPr>
        <w:t>o</w:t>
      </w:r>
      <w:r w:rsidRPr="00F76423">
        <w:rPr>
          <w:rFonts w:ascii="Arial Narrow" w:hAnsi="Arial Narrow" w:cs="Arial Narrow"/>
          <w:b/>
          <w:bCs/>
          <w:sz w:val="22"/>
          <w:szCs w:val="22"/>
        </w:rPr>
        <w:t xml:space="preserve"> zadlžuje.</w:t>
      </w:r>
      <w:r w:rsidRPr="00F76423">
        <w:rPr>
          <w:rFonts w:ascii="Arial Narrow" w:hAnsi="Arial Narrow" w:cs="Arial Narrow"/>
          <w:sz w:val="22"/>
          <w:szCs w:val="22"/>
        </w:rPr>
        <w:t xml:space="preserve"> Deficit verejných financií dosiahol v roku 2009 7,9 % HDP a v tomto roku to bude podobné číslo. Verejný dlh sa za dva roky zvýšil o viac ako polovicu - z 27,7 % HDP na konci roku 2008 na predpokladaných </w:t>
      </w:r>
      <w:r w:rsidR="00AB426D">
        <w:rPr>
          <w:rFonts w:ascii="Arial Narrow" w:hAnsi="Arial Narrow" w:cs="Arial Narrow"/>
          <w:sz w:val="22"/>
          <w:szCs w:val="22"/>
        </w:rPr>
        <w:t>43,8</w:t>
      </w:r>
      <w:r w:rsidRPr="00F76423">
        <w:rPr>
          <w:rFonts w:ascii="Arial Narrow" w:hAnsi="Arial Narrow" w:cs="Arial Narrow"/>
          <w:sz w:val="22"/>
          <w:szCs w:val="22"/>
        </w:rPr>
        <w:t xml:space="preserve"> % HDP koncom roku 2010. </w:t>
      </w:r>
      <w:r w:rsidRPr="00783727" w:rsidR="00783727">
        <w:rPr>
          <w:rFonts w:ascii="Arial Narrow" w:hAnsi="Arial Narrow" w:cs="Arial Narrow"/>
          <w:sz w:val="22"/>
          <w:szCs w:val="22"/>
        </w:rPr>
        <w:t>Dlh Slovenska pripadajúci na jedného obyvateľa vzrástol z</w:t>
      </w:r>
      <w:r w:rsidR="00783727">
        <w:rPr>
          <w:rFonts w:ascii="Arial Narrow" w:hAnsi="Arial Narrow" w:cs="Arial Narrow"/>
          <w:sz w:val="22"/>
          <w:szCs w:val="22"/>
        </w:rPr>
        <w:t> </w:t>
      </w:r>
      <w:r w:rsidRPr="00783727" w:rsidR="00783727">
        <w:rPr>
          <w:rFonts w:ascii="Arial Narrow" w:hAnsi="Arial Narrow" w:cs="Arial Narrow"/>
          <w:sz w:val="22"/>
          <w:szCs w:val="22"/>
        </w:rPr>
        <w:t>3</w:t>
      </w:r>
      <w:r w:rsidR="00783727">
        <w:rPr>
          <w:rFonts w:ascii="Arial Narrow" w:hAnsi="Arial Narrow" w:cs="Arial Narrow"/>
          <w:sz w:val="22"/>
          <w:szCs w:val="22"/>
        </w:rPr>
        <w:t xml:space="preserve"> </w:t>
      </w:r>
      <w:r w:rsidRPr="00783727" w:rsidR="00783727">
        <w:rPr>
          <w:rFonts w:ascii="Arial Narrow" w:hAnsi="Arial Narrow" w:cs="Arial Narrow"/>
          <w:sz w:val="22"/>
          <w:szCs w:val="22"/>
        </w:rPr>
        <w:t xml:space="preserve">439 </w:t>
      </w:r>
      <w:r w:rsidR="00783727">
        <w:rPr>
          <w:rFonts w:ascii="Arial Narrow" w:hAnsi="Arial Narrow" w:cs="Arial Narrow"/>
          <w:sz w:val="22"/>
          <w:szCs w:val="22"/>
        </w:rPr>
        <w:t>eur</w:t>
      </w:r>
      <w:r w:rsidRPr="00783727" w:rsidR="00783727">
        <w:rPr>
          <w:rFonts w:ascii="Arial Narrow" w:hAnsi="Arial Narrow" w:cs="Arial Narrow"/>
          <w:sz w:val="22"/>
          <w:szCs w:val="22"/>
        </w:rPr>
        <w:t xml:space="preserve"> v roku 2008 na 5</w:t>
      </w:r>
      <w:r w:rsidR="00783727">
        <w:rPr>
          <w:rFonts w:ascii="Arial Narrow" w:hAnsi="Arial Narrow" w:cs="Arial Narrow"/>
          <w:sz w:val="22"/>
          <w:szCs w:val="22"/>
        </w:rPr>
        <w:t xml:space="preserve"> </w:t>
      </w:r>
      <w:r w:rsidRPr="00783727" w:rsidR="00783727">
        <w:rPr>
          <w:rFonts w:ascii="Arial Narrow" w:hAnsi="Arial Narrow" w:cs="Arial Narrow"/>
          <w:sz w:val="22"/>
          <w:szCs w:val="22"/>
        </w:rPr>
        <w:t>326 eur v roku 2010</w:t>
      </w:r>
      <w:r w:rsidR="00783727">
        <w:rPr>
          <w:rFonts w:ascii="Arial Narrow" w:hAnsi="Arial Narrow" w:cs="Arial Narrow"/>
          <w:sz w:val="22"/>
          <w:szCs w:val="22"/>
        </w:rPr>
        <w:t>, čo predstavuje nárast</w:t>
      </w:r>
      <w:r w:rsidRPr="00783727" w:rsidR="00783727">
        <w:rPr>
          <w:rFonts w:ascii="Arial Narrow" w:hAnsi="Arial Narrow" w:cs="Arial Narrow"/>
          <w:sz w:val="22"/>
          <w:szCs w:val="22"/>
        </w:rPr>
        <w:t xml:space="preserve"> o vyše 54</w:t>
      </w:r>
      <w:r w:rsidR="00783727">
        <w:rPr>
          <w:rFonts w:ascii="Arial Narrow" w:hAnsi="Arial Narrow" w:cs="Arial Narrow"/>
          <w:sz w:val="22"/>
          <w:szCs w:val="22"/>
        </w:rPr>
        <w:t xml:space="preserve"> </w:t>
      </w:r>
      <w:r w:rsidRPr="00783727" w:rsidR="00783727">
        <w:rPr>
          <w:rFonts w:ascii="Arial Narrow" w:hAnsi="Arial Narrow" w:cs="Arial Narrow"/>
          <w:sz w:val="22"/>
          <w:szCs w:val="22"/>
        </w:rPr>
        <w:t>%.  </w:t>
      </w:r>
      <w:r w:rsidRPr="00F76423">
        <w:rPr>
          <w:rFonts w:ascii="Arial Narrow" w:hAnsi="Arial Narrow" w:cs="Arial Narrow"/>
          <w:sz w:val="22"/>
          <w:szCs w:val="22"/>
        </w:rPr>
        <w:t>Prudké zadlžovanie je spôsobené čiastočne celosvetovou hospodárskou krízou. Druhým významným dôvodom mimoriadne prudkého zadlžovania Slovenska je to, že predchádzajúca vláda nechcela pred parlamentnými voľbami prijímať potrebné, avšak nie veľmi populárne opatrenia. Slovensko sa preto zadlžovalo rýchlejšie ako iné európske štáty, hoci na rozdiel od iných štátov nemuselo z rozpočtu zachraňovať finančné inštitúcie. Ozdravenie verejných financií je kľúčovou prioritou vlády. V jej programovom vyhlásení sa píše: „Zásadným cieľom vlády SR je zníženie deficitu verejných financií pod úroveň 3 % hrubého domáceho produktu v roku 2013 tak, aby Slovensko dodržalo svoje záväzky voči Európskej únii vyplývajúce z Paktu stability a rastu. Vláda SR prijme väčšinu opatrení potrebných na zníženie deficitu s účinnosťou od roku 2011.“</w:t>
      </w:r>
    </w:p>
    <w:p w:rsidR="000D7887" w:rsidRPr="0013660A" w:rsidP="000D7887">
      <w:pPr>
        <w:bidi w:val="0"/>
        <w:jc w:val="both"/>
        <w:rPr>
          <w:rFonts w:ascii="Arial Narrow" w:hAnsi="Arial Narrow" w:cs="Arial Narrow"/>
          <w:sz w:val="22"/>
          <w:szCs w:val="22"/>
        </w:rPr>
      </w:pPr>
      <w:r>
        <w:rPr>
          <w:rFonts w:ascii="Arial Narrow" w:hAnsi="Arial Narrow" w:cs="Arial Narrow"/>
          <w:sz w:val="22"/>
          <w:szCs w:val="22"/>
        </w:rPr>
        <w:t xml:space="preserve"> </w:t>
      </w:r>
    </w:p>
    <w:p w:rsidR="000D7887"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 xml:space="preserve">Vláda sa rozhodla pre ozdravenie verejných financií z dvoch hlavných dôvodov. Prvým je fakt, že v budúcom roku si Slovensko musí na finančnom trhu požičať 8 mld. </w:t>
      </w:r>
      <w:r>
        <w:rPr>
          <w:rFonts w:ascii="Arial Narrow" w:hAnsi="Arial Narrow" w:cs="Arial Narrow"/>
          <w:sz w:val="22"/>
          <w:szCs w:val="22"/>
        </w:rPr>
        <w:t>eur</w:t>
      </w:r>
      <w:r w:rsidRPr="0013660A">
        <w:rPr>
          <w:rFonts w:ascii="Arial Narrow" w:hAnsi="Arial Narrow" w:cs="Arial Narrow"/>
          <w:sz w:val="22"/>
          <w:szCs w:val="22"/>
        </w:rPr>
        <w:t xml:space="preserve">, inak nebude schopné plniť svoje záväzky. Na získanie takýchto obrovských zdrojov je nevyhnutná dôvera finančných trhov. Hoci celková úroveň nášho verejného dlhu stále nie je v porovnaní s inými štátmi vysoká, sme omnoho zraniteľnejší ako napríklad Japonsko alebo Veľká Británia. Na rozdiel od týchto veľkých štátov so silným domácim finančným sektorom je totiž Slovensko malou krajinou s otvorenou ekonomikou a relatívne malým objemom domácich úspor. </w:t>
      </w:r>
      <w:r w:rsidRPr="0013660A">
        <w:rPr>
          <w:rFonts w:ascii="Arial Narrow" w:hAnsi="Arial Narrow" w:cs="Arial Narrow"/>
          <w:b/>
          <w:bCs/>
          <w:sz w:val="22"/>
          <w:szCs w:val="22"/>
        </w:rPr>
        <w:t>Slovensko musí jasne preukázať, že v budúcnosti bude schopné svoje dlhy splácať.</w:t>
      </w:r>
      <w:r w:rsidRPr="0013660A">
        <w:rPr>
          <w:rFonts w:ascii="Arial Narrow" w:hAnsi="Arial Narrow" w:cs="Arial Narrow"/>
          <w:sz w:val="22"/>
          <w:szCs w:val="22"/>
        </w:rPr>
        <w:t xml:space="preserve"> V opačnom prípade nám hrozí scenár Grécka - najprv vyššie a vyššie úroky na náš dlh a nakoniec strata schopnosti vôbec si požičať. </w:t>
      </w:r>
      <w:r>
        <w:rPr>
          <w:rFonts w:ascii="Arial Narrow" w:hAnsi="Arial Narrow" w:cs="Arial Narrow"/>
          <w:sz w:val="22"/>
          <w:szCs w:val="22"/>
        </w:rPr>
        <w:t xml:space="preserve">Uvedené </w:t>
      </w:r>
      <w:r w:rsidRPr="0013660A">
        <w:rPr>
          <w:rFonts w:ascii="Arial Narrow" w:hAnsi="Arial Narrow" w:cs="Arial Narrow"/>
          <w:sz w:val="22"/>
          <w:szCs w:val="22"/>
        </w:rPr>
        <w:t xml:space="preserve"> by </w:t>
      </w:r>
      <w:r w:rsidRPr="0056720E">
        <w:rPr>
          <w:rFonts w:ascii="Arial Narrow" w:hAnsi="Arial Narrow" w:cs="Arial Narrow"/>
          <w:sz w:val="22"/>
          <w:szCs w:val="22"/>
        </w:rPr>
        <w:t>viedlo k neporovnateľne tvrdším opatreniam ako sú opatrenia</w:t>
      </w:r>
      <w:r w:rsidRPr="0013660A">
        <w:rPr>
          <w:rFonts w:ascii="Arial Narrow" w:hAnsi="Arial Narrow" w:cs="Arial Narrow"/>
          <w:sz w:val="22"/>
          <w:szCs w:val="22"/>
        </w:rPr>
        <w:t xml:space="preserve">, ktoré teraz navrhuje vláda. Výsledkom tohto scenára by bol prudký prepad ekonomiky a najmä životnej úrovne obyvateľov. </w:t>
      </w:r>
    </w:p>
    <w:p w:rsidR="000D7887" w:rsidRPr="0013660A" w:rsidP="000D7887">
      <w:pPr>
        <w:bidi w:val="0"/>
        <w:ind w:firstLine="708"/>
        <w:jc w:val="both"/>
        <w:rPr>
          <w:rFonts w:ascii="Arial Narrow" w:hAnsi="Arial Narrow" w:cs="Arial Narrow"/>
          <w:sz w:val="22"/>
          <w:szCs w:val="22"/>
        </w:rPr>
      </w:pPr>
    </w:p>
    <w:p w:rsidR="000D7887"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 xml:space="preserve">Druhým dôvodom ozdravovania verejných financií je to, že </w:t>
      </w:r>
      <w:r w:rsidRPr="0013660A">
        <w:rPr>
          <w:rFonts w:ascii="Arial Narrow" w:hAnsi="Arial Narrow" w:cs="Arial Narrow"/>
          <w:b/>
          <w:bCs/>
          <w:sz w:val="22"/>
          <w:szCs w:val="22"/>
        </w:rPr>
        <w:t>vláda považuje prudké zadlžovanie budúcich generácií za nespravodlivé</w:t>
      </w:r>
      <w:r w:rsidRPr="0013660A">
        <w:rPr>
          <w:rFonts w:ascii="Arial Narrow" w:hAnsi="Arial Narrow" w:cs="Arial Narrow"/>
          <w:sz w:val="22"/>
          <w:szCs w:val="22"/>
        </w:rPr>
        <w:t xml:space="preserve">. Vysoký verejný dlh v kombinácii so starnutím našej populácie vytvára pre budúce generácie príliš vysokú záťaž a ohrozuje dlhodobú udržateľnosť verejných financií a rastu životnej úrovne na Slovensku. </w:t>
      </w:r>
    </w:p>
    <w:p w:rsidR="000D7887" w:rsidRPr="0013660A" w:rsidP="000D7887">
      <w:pPr>
        <w:bidi w:val="0"/>
        <w:ind w:firstLine="708"/>
        <w:jc w:val="both"/>
        <w:rPr>
          <w:rFonts w:ascii="Arial Narrow" w:hAnsi="Arial Narrow" w:cs="Arial Narrow"/>
          <w:sz w:val="22"/>
          <w:szCs w:val="22"/>
        </w:rPr>
      </w:pPr>
    </w:p>
    <w:p w:rsidR="000D7887"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Základným ukazovateľom verejných financií je ich deficit alebo prebytok. Pri roz</w:t>
      </w:r>
      <w:r w:rsidR="009F2851">
        <w:rPr>
          <w:rFonts w:ascii="Arial Narrow" w:hAnsi="Arial Narrow" w:cs="Arial Narrow"/>
          <w:sz w:val="22"/>
          <w:szCs w:val="22"/>
        </w:rPr>
        <w:t>hodovaní o výške tohto parametra</w:t>
      </w:r>
      <w:r w:rsidRPr="0013660A">
        <w:rPr>
          <w:rFonts w:ascii="Arial Narrow" w:hAnsi="Arial Narrow" w:cs="Arial Narrow"/>
          <w:sz w:val="22"/>
          <w:szCs w:val="22"/>
        </w:rPr>
        <w:t xml:space="preserve"> vláda posudzovala dve kritériá. </w:t>
      </w:r>
      <w:r w:rsidRPr="0013660A">
        <w:rPr>
          <w:rFonts w:ascii="Arial Narrow" w:hAnsi="Arial Narrow" w:cs="Arial Narrow"/>
          <w:b/>
          <w:bCs/>
          <w:sz w:val="22"/>
          <w:szCs w:val="22"/>
        </w:rPr>
        <w:t>Na jednej strane to bol záujem o jednoznačné zníženie deficitu, ktoré presvedčí finančné trhy o dôveryhodnosti Slovenska. Na strane druhej to bola snaha, aby opatrenia nezasiahli príliš tvrdo domácu ekonomiku a nezadusili jej rast.</w:t>
      </w:r>
      <w:r w:rsidRPr="0013660A">
        <w:rPr>
          <w:rFonts w:ascii="Arial Narrow" w:hAnsi="Arial Narrow" w:cs="Arial Narrow"/>
          <w:sz w:val="22"/>
          <w:szCs w:val="22"/>
        </w:rPr>
        <w:t xml:space="preserve"> Úroveň rozpočtovaného deficitu bola preto pre rok 2011 nastavená na úroveň 4,9</w:t>
      </w:r>
      <w:r>
        <w:rPr>
          <w:rFonts w:ascii="Arial Narrow" w:hAnsi="Arial Narrow" w:cs="Arial Narrow"/>
          <w:sz w:val="22"/>
          <w:szCs w:val="22"/>
        </w:rPr>
        <w:t xml:space="preserve"> </w:t>
      </w:r>
      <w:r w:rsidRPr="0013660A">
        <w:rPr>
          <w:rFonts w:ascii="Arial Narrow" w:hAnsi="Arial Narrow" w:cs="Arial Narrow"/>
          <w:sz w:val="22"/>
          <w:szCs w:val="22"/>
        </w:rPr>
        <w:t>%, pričom ozdravovanie verejných financií bude v nasledujúcich dvoch rokoch pokračovať tak, aby Slovensko splnil</w:t>
      </w:r>
      <w:r>
        <w:rPr>
          <w:rFonts w:ascii="Arial Narrow" w:hAnsi="Arial Narrow" w:cs="Arial Narrow"/>
          <w:sz w:val="22"/>
          <w:szCs w:val="22"/>
        </w:rPr>
        <w:t>o</w:t>
      </w:r>
      <w:r w:rsidRPr="0013660A">
        <w:rPr>
          <w:rFonts w:ascii="Arial Narrow" w:hAnsi="Arial Narrow" w:cs="Arial Narrow"/>
          <w:sz w:val="22"/>
          <w:szCs w:val="22"/>
        </w:rPr>
        <w:t xml:space="preserve"> svoj záväzok voči Európskej únii a v roku 2013 klesol náš deficit pod 3</w:t>
      </w:r>
      <w:r>
        <w:rPr>
          <w:rFonts w:ascii="Arial Narrow" w:hAnsi="Arial Narrow" w:cs="Arial Narrow"/>
          <w:sz w:val="22"/>
          <w:szCs w:val="22"/>
        </w:rPr>
        <w:t xml:space="preserve"> </w:t>
      </w:r>
      <w:r w:rsidRPr="0013660A">
        <w:rPr>
          <w:rFonts w:ascii="Arial Narrow" w:hAnsi="Arial Narrow" w:cs="Arial Narrow"/>
          <w:sz w:val="22"/>
          <w:szCs w:val="22"/>
        </w:rPr>
        <w:t xml:space="preserve">% HDP. Navrhované tempo ozdravenia bolo konsenzuálne prijaté zo strany politických strán na Slovensku, vrátane opozície, ale aj medzinárodných inštitúcií a odbornej verejnosti. </w:t>
      </w:r>
    </w:p>
    <w:p w:rsidR="000D7887" w:rsidRPr="0013660A" w:rsidP="000D7887">
      <w:pPr>
        <w:bidi w:val="0"/>
        <w:ind w:firstLine="708"/>
        <w:jc w:val="both"/>
        <w:rPr>
          <w:rFonts w:ascii="Arial Narrow" w:hAnsi="Arial Narrow" w:cs="Arial Narrow"/>
          <w:sz w:val="22"/>
          <w:szCs w:val="22"/>
        </w:rPr>
      </w:pPr>
    </w:p>
    <w:p w:rsidR="000D7887" w:rsidRPr="0013660A"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 xml:space="preserve">Výsledkom navrhovaného tempa ozdravenia verejných financií bude </w:t>
      </w:r>
      <w:r w:rsidRPr="0013660A">
        <w:rPr>
          <w:rFonts w:ascii="Arial Narrow" w:hAnsi="Arial Narrow" w:cs="Arial Narrow"/>
          <w:b/>
          <w:bCs/>
          <w:sz w:val="22"/>
          <w:szCs w:val="22"/>
        </w:rPr>
        <w:t xml:space="preserve">postupné spomalenie narastania dlhu a jeho </w:t>
      </w:r>
      <w:r w:rsidR="00AB426D">
        <w:rPr>
          <w:rFonts w:ascii="Arial Narrow" w:hAnsi="Arial Narrow" w:cs="Arial Narrow"/>
          <w:b/>
          <w:bCs/>
          <w:sz w:val="22"/>
          <w:szCs w:val="22"/>
        </w:rPr>
        <w:t>pokles už od</w:t>
      </w:r>
      <w:r w:rsidRPr="0013660A">
        <w:rPr>
          <w:rFonts w:ascii="Arial Narrow" w:hAnsi="Arial Narrow" w:cs="Arial Narrow"/>
          <w:b/>
          <w:bCs/>
          <w:sz w:val="22"/>
          <w:szCs w:val="22"/>
        </w:rPr>
        <w:t> roku 2013</w:t>
      </w:r>
      <w:r w:rsidRPr="0013660A">
        <w:rPr>
          <w:rFonts w:ascii="Arial Narrow" w:hAnsi="Arial Narrow" w:cs="Arial Narrow"/>
          <w:sz w:val="22"/>
          <w:szCs w:val="22"/>
        </w:rPr>
        <w:t xml:space="preserve">. Vláda tak splní aj ďalší cieľ svojho programového vyhlásenia, ktorým je stabilizácia a pokles zadlžovania. „Výrazné zníženie deficitu verejných financií umožní, aby vláda začala ku koncu volebného obdobia znižovať podiel verejného dlhu na hrubom domácom produkte,“ píše sa vo vládnom programe. </w:t>
      </w:r>
    </w:p>
    <w:p w:rsidR="000D7887" w:rsidRPr="0013660A" w:rsidP="000D7887">
      <w:pPr>
        <w:bidi w:val="0"/>
        <w:jc w:val="both"/>
        <w:rPr>
          <w:rFonts w:ascii="Arial Narrow" w:hAnsi="Arial Narrow" w:cs="Arial Narrow"/>
          <w:sz w:val="22"/>
          <w:szCs w:val="22"/>
        </w:rPr>
      </w:pPr>
    </w:p>
    <w:p w:rsidR="000D7887" w:rsidRPr="0013660A"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K medziročnému zníženiu deficitu z</w:t>
      </w:r>
      <w:r w:rsidR="00AB426D">
        <w:rPr>
          <w:rFonts w:ascii="Arial Narrow" w:hAnsi="Arial Narrow" w:cs="Arial Narrow"/>
          <w:sz w:val="22"/>
          <w:szCs w:val="22"/>
        </w:rPr>
        <w:t xml:space="preserve"> predpokladaných</w:t>
      </w:r>
      <w:r w:rsidRPr="0013660A">
        <w:rPr>
          <w:rFonts w:ascii="Arial Narrow" w:hAnsi="Arial Narrow" w:cs="Arial Narrow"/>
          <w:sz w:val="22"/>
          <w:szCs w:val="22"/>
        </w:rPr>
        <w:t> 7,8</w:t>
      </w:r>
      <w:r>
        <w:rPr>
          <w:rFonts w:ascii="Arial Narrow" w:hAnsi="Arial Narrow" w:cs="Arial Narrow"/>
          <w:sz w:val="22"/>
          <w:szCs w:val="22"/>
        </w:rPr>
        <w:t xml:space="preserve"> </w:t>
      </w:r>
      <w:r w:rsidRPr="0013660A">
        <w:rPr>
          <w:rFonts w:ascii="Arial Narrow" w:hAnsi="Arial Narrow" w:cs="Arial Narrow"/>
          <w:sz w:val="22"/>
          <w:szCs w:val="22"/>
        </w:rPr>
        <w:t xml:space="preserve">% </w:t>
      </w:r>
      <w:r w:rsidR="009F2851">
        <w:rPr>
          <w:rFonts w:ascii="Arial Narrow" w:hAnsi="Arial Narrow" w:cs="Arial Narrow"/>
          <w:sz w:val="22"/>
          <w:szCs w:val="22"/>
        </w:rPr>
        <w:t xml:space="preserve">HDP </w:t>
      </w:r>
      <w:r w:rsidRPr="0013660A">
        <w:rPr>
          <w:rFonts w:ascii="Arial Narrow" w:hAnsi="Arial Narrow" w:cs="Arial Narrow"/>
          <w:sz w:val="22"/>
          <w:szCs w:val="22"/>
        </w:rPr>
        <w:t>v roku 2010 na 4,9</w:t>
      </w:r>
      <w:r>
        <w:rPr>
          <w:rFonts w:ascii="Arial Narrow" w:hAnsi="Arial Narrow" w:cs="Arial Narrow"/>
          <w:sz w:val="22"/>
          <w:szCs w:val="22"/>
        </w:rPr>
        <w:t xml:space="preserve"> </w:t>
      </w:r>
      <w:r w:rsidRPr="0013660A">
        <w:rPr>
          <w:rFonts w:ascii="Arial Narrow" w:hAnsi="Arial Narrow" w:cs="Arial Narrow"/>
          <w:sz w:val="22"/>
          <w:szCs w:val="22"/>
        </w:rPr>
        <w:t xml:space="preserve">% v roku 2011 prispel takmer pol percentom rast ekonomiky. Inak povedané, </w:t>
      </w:r>
      <w:r w:rsidRPr="0013660A">
        <w:rPr>
          <w:rFonts w:ascii="Arial Narrow" w:hAnsi="Arial Narrow" w:cs="Arial Narrow"/>
          <w:b/>
          <w:bCs/>
          <w:sz w:val="22"/>
          <w:szCs w:val="22"/>
        </w:rPr>
        <w:t>keby vláda nerobila podstatné zmeny v rozpočtovej politike, len by „prirodzene“ nechala rásť príjmy aj výdavky, deficit by dosiahol približne 7,4</w:t>
      </w:r>
      <w:r>
        <w:rPr>
          <w:rFonts w:ascii="Arial Narrow" w:hAnsi="Arial Narrow" w:cs="Arial Narrow"/>
          <w:b/>
          <w:bCs/>
          <w:sz w:val="22"/>
          <w:szCs w:val="22"/>
        </w:rPr>
        <w:t xml:space="preserve"> </w:t>
      </w:r>
      <w:r w:rsidRPr="0013660A">
        <w:rPr>
          <w:rFonts w:ascii="Arial Narrow" w:hAnsi="Arial Narrow" w:cs="Arial Narrow"/>
          <w:b/>
          <w:bCs/>
          <w:sz w:val="22"/>
          <w:szCs w:val="22"/>
        </w:rPr>
        <w:t xml:space="preserve">% HDP. </w:t>
      </w:r>
      <w:r w:rsidRPr="0013660A">
        <w:rPr>
          <w:rFonts w:ascii="Arial Narrow" w:hAnsi="Arial Narrow" w:cs="Arial Narrow"/>
          <w:sz w:val="22"/>
          <w:szCs w:val="22"/>
        </w:rPr>
        <w:t>Ozdravné opatrenia zabezpečili zníženie deficitu o ďalších 2,5</w:t>
      </w:r>
      <w:r>
        <w:rPr>
          <w:rFonts w:ascii="Arial Narrow" w:hAnsi="Arial Narrow" w:cs="Arial Narrow"/>
          <w:sz w:val="22"/>
          <w:szCs w:val="22"/>
        </w:rPr>
        <w:t xml:space="preserve"> </w:t>
      </w:r>
      <w:r w:rsidRPr="0013660A">
        <w:rPr>
          <w:rFonts w:ascii="Arial Narrow" w:hAnsi="Arial Narrow" w:cs="Arial Narrow"/>
          <w:sz w:val="22"/>
          <w:szCs w:val="22"/>
        </w:rPr>
        <w:t>% HDP, teda o 1,75 ml</w:t>
      </w:r>
      <w:r>
        <w:rPr>
          <w:rFonts w:ascii="Arial Narrow" w:hAnsi="Arial Narrow" w:cs="Arial Narrow"/>
          <w:sz w:val="22"/>
          <w:szCs w:val="22"/>
        </w:rPr>
        <w:t>d</w:t>
      </w:r>
      <w:r w:rsidRPr="0013660A">
        <w:rPr>
          <w:rFonts w:ascii="Arial Narrow" w:hAnsi="Arial Narrow" w:cs="Arial Narrow"/>
          <w:sz w:val="22"/>
          <w:szCs w:val="22"/>
        </w:rPr>
        <w:t xml:space="preserve">. </w:t>
      </w:r>
      <w:r>
        <w:rPr>
          <w:rFonts w:ascii="Arial Narrow" w:hAnsi="Arial Narrow" w:cs="Arial Narrow"/>
          <w:sz w:val="22"/>
          <w:szCs w:val="22"/>
        </w:rPr>
        <w:t>eur.</w:t>
      </w:r>
      <w:r w:rsidRPr="0013660A">
        <w:rPr>
          <w:rFonts w:ascii="Arial Narrow" w:hAnsi="Arial Narrow" w:cs="Arial Narrow"/>
          <w:sz w:val="22"/>
          <w:szCs w:val="22"/>
        </w:rPr>
        <w:t xml:space="preserve"> </w:t>
      </w:r>
    </w:p>
    <w:p w:rsidR="000D7887" w:rsidRPr="0013660A" w:rsidP="000D7887">
      <w:pPr>
        <w:bidi w:val="0"/>
        <w:jc w:val="both"/>
        <w:rPr>
          <w:rFonts w:ascii="Arial Narrow" w:hAnsi="Arial Narrow" w:cs="Arial Narrow"/>
          <w:b/>
          <w:bCs/>
          <w:sz w:val="22"/>
          <w:szCs w:val="22"/>
        </w:rPr>
      </w:pPr>
    </w:p>
    <w:p w:rsidR="000D7887" w:rsidP="000D7887">
      <w:pPr>
        <w:bidi w:val="0"/>
        <w:ind w:firstLine="708"/>
        <w:jc w:val="both"/>
        <w:rPr>
          <w:rFonts w:ascii="Arial Narrow" w:hAnsi="Arial Narrow" w:cs="Arial Narrow"/>
          <w:sz w:val="22"/>
          <w:szCs w:val="22"/>
        </w:rPr>
      </w:pPr>
      <w:r w:rsidRPr="0013660A">
        <w:rPr>
          <w:rFonts w:ascii="Arial Narrow" w:hAnsi="Arial Narrow" w:cs="Arial Narrow"/>
          <w:b/>
          <w:bCs/>
          <w:sz w:val="22"/>
          <w:szCs w:val="22"/>
        </w:rPr>
        <w:t>Menšia časť ozdravných opatrení sa navrhuje na strane príjmov verejných financií.</w:t>
      </w:r>
      <w:r w:rsidRPr="0013660A">
        <w:rPr>
          <w:rFonts w:ascii="Arial Narrow" w:hAnsi="Arial Narrow" w:cs="Arial Narrow"/>
          <w:sz w:val="22"/>
          <w:szCs w:val="22"/>
        </w:rPr>
        <w:t xml:space="preserve"> Ide o sumár krokov v oblasti DPH, spotrebných daní, nedaňových príjmov, ale aj dane z príjmov a odvodov. Týmito opatreniami sa medziročne zvýši daňovo-odvodové zaťaženie na 28,6</w:t>
      </w:r>
      <w:r>
        <w:rPr>
          <w:rFonts w:ascii="Arial Narrow" w:hAnsi="Arial Narrow" w:cs="Arial Narrow"/>
          <w:sz w:val="22"/>
          <w:szCs w:val="22"/>
        </w:rPr>
        <w:t xml:space="preserve"> </w:t>
      </w:r>
      <w:r w:rsidRPr="0013660A">
        <w:rPr>
          <w:rFonts w:ascii="Arial Narrow" w:hAnsi="Arial Narrow" w:cs="Arial Narrow"/>
          <w:sz w:val="22"/>
          <w:szCs w:val="22"/>
        </w:rPr>
        <w:t>%. Stále však zostane pod úrovňou roku 2008 (28,9</w:t>
      </w:r>
      <w:r>
        <w:rPr>
          <w:rFonts w:ascii="Arial Narrow" w:hAnsi="Arial Narrow" w:cs="Arial Narrow"/>
          <w:sz w:val="22"/>
          <w:szCs w:val="22"/>
        </w:rPr>
        <w:t xml:space="preserve"> </w:t>
      </w:r>
      <w:r w:rsidRPr="0013660A">
        <w:rPr>
          <w:rFonts w:ascii="Arial Narrow" w:hAnsi="Arial Narrow" w:cs="Arial Narrow"/>
          <w:sz w:val="22"/>
          <w:szCs w:val="22"/>
        </w:rPr>
        <w:t>%) a v priebehu rokov 2012 a 2013 opäť klesne pod 28</w:t>
      </w:r>
      <w:r>
        <w:rPr>
          <w:rFonts w:ascii="Arial Narrow" w:hAnsi="Arial Narrow" w:cs="Arial Narrow"/>
          <w:sz w:val="22"/>
          <w:szCs w:val="22"/>
        </w:rPr>
        <w:t xml:space="preserve"> </w:t>
      </w:r>
      <w:r w:rsidRPr="0013660A">
        <w:rPr>
          <w:rFonts w:ascii="Arial Narrow" w:hAnsi="Arial Narrow" w:cs="Arial Narrow"/>
          <w:sz w:val="22"/>
          <w:szCs w:val="22"/>
        </w:rPr>
        <w:t xml:space="preserve">% HDP. </w:t>
      </w:r>
    </w:p>
    <w:p w:rsidR="000D7887" w:rsidRPr="0013660A" w:rsidP="000D7887">
      <w:pPr>
        <w:bidi w:val="0"/>
        <w:ind w:firstLine="708"/>
        <w:jc w:val="both"/>
        <w:rPr>
          <w:rFonts w:ascii="Arial Narrow" w:hAnsi="Arial Narrow" w:cs="Arial Narrow"/>
          <w:sz w:val="22"/>
          <w:szCs w:val="22"/>
        </w:rPr>
      </w:pPr>
    </w:p>
    <w:p w:rsidR="00B14EA6" w:rsidP="000D7887">
      <w:pPr>
        <w:bidi w:val="0"/>
        <w:ind w:firstLine="708"/>
        <w:jc w:val="both"/>
        <w:rPr>
          <w:rFonts w:ascii="Arial Narrow" w:hAnsi="Arial Narrow" w:cs="Arial Narrow"/>
          <w:sz w:val="22"/>
          <w:szCs w:val="22"/>
        </w:rPr>
      </w:pPr>
      <w:r w:rsidRPr="0013660A" w:rsidR="000D7887">
        <w:rPr>
          <w:rFonts w:ascii="Arial Narrow" w:hAnsi="Arial Narrow" w:cs="Arial Narrow"/>
          <w:b/>
          <w:bCs/>
          <w:sz w:val="22"/>
          <w:szCs w:val="22"/>
        </w:rPr>
        <w:t>Väčšia časť ozdravenia verejných financií sa navrhuje na strane výdavkov</w:t>
      </w:r>
      <w:r w:rsidRPr="0013660A" w:rsidR="000D7887">
        <w:rPr>
          <w:rFonts w:ascii="Arial Narrow" w:hAnsi="Arial Narrow" w:cs="Arial Narrow"/>
          <w:sz w:val="22"/>
          <w:szCs w:val="22"/>
        </w:rPr>
        <w:t>. Keďže nová vláda mala na prípravu rozpočtu iba dva mesiace, nebolo žiaľ možné navrhnúť, schváliť a do rozpočtu zakomponovať výraznejšie systémové zmeny smerujúce k znižovaniu výdavkov, akou je napríklad reforma sociálneho alebo dôchodkového systému. Takéto zmeny budú súčasťou rozpočtov na nasledujúce roky. Pri tvorbe rozpočtu na rok 2011 sa využili najmä plošné škrty mzdových a prevádzkových výdavkov v kombinácii s individuálny</w:t>
      </w:r>
      <w:r w:rsidR="000D7887">
        <w:rPr>
          <w:rFonts w:ascii="Arial Narrow" w:hAnsi="Arial Narrow" w:cs="Arial Narrow"/>
          <w:sz w:val="22"/>
          <w:szCs w:val="22"/>
        </w:rPr>
        <w:t>m</w:t>
      </w:r>
      <w:r w:rsidRPr="0013660A" w:rsidR="000D7887">
        <w:rPr>
          <w:rFonts w:ascii="Arial Narrow" w:hAnsi="Arial Narrow" w:cs="Arial Narrow"/>
          <w:sz w:val="22"/>
          <w:szCs w:val="22"/>
        </w:rPr>
        <w:t xml:space="preserve"> znižovaním kapitálových výdavkov (ako napríklad národný futbalový štadión) a niektorých konkrétnych  transferov (ako napríklad národný doplatok k priamym platbám pre farmárov). </w:t>
      </w:r>
    </w:p>
    <w:p w:rsidR="00B14EA6" w:rsidP="000D7887">
      <w:pPr>
        <w:bidi w:val="0"/>
        <w:ind w:firstLine="708"/>
        <w:jc w:val="both"/>
        <w:rPr>
          <w:rFonts w:ascii="Arial Narrow" w:hAnsi="Arial Narrow" w:cs="Arial Narrow"/>
          <w:sz w:val="22"/>
          <w:szCs w:val="22"/>
        </w:rPr>
      </w:pPr>
    </w:p>
    <w:p w:rsidR="00B14EA6" w:rsidP="00B14EA6">
      <w:pPr>
        <w:bidi w:val="0"/>
        <w:ind w:firstLine="708"/>
        <w:jc w:val="both"/>
        <w:rPr>
          <w:rFonts w:ascii="Arial Narrow" w:hAnsi="Arial Narrow" w:cs="Arial Narrow"/>
          <w:sz w:val="22"/>
          <w:szCs w:val="22"/>
        </w:rPr>
      </w:pPr>
      <w:r w:rsidRPr="00B14EA6">
        <w:rPr>
          <w:rFonts w:ascii="Arial Narrow" w:hAnsi="Arial Narrow" w:cs="Arial Narrow"/>
          <w:sz w:val="22"/>
          <w:szCs w:val="22"/>
        </w:rPr>
        <w:t xml:space="preserve">Základné výdavky na chod štátu (výdavky štátneho rozpočtu bez výdavkov na úroky zo štátneho dlhu, transferu na krytie platobnej schopnosti Sociálnej poisťovne a bez eurofondov, vrátane spolufinancovania)  dosiahnu v roku 2011 výšku </w:t>
      </w:r>
      <w:r w:rsidRPr="0055660C" w:rsidR="0055660C">
        <w:rPr>
          <w:rFonts w:ascii="Arial Narrow" w:hAnsi="Arial Narrow" w:cs="Arial Narrow"/>
          <w:sz w:val="22"/>
          <w:szCs w:val="22"/>
        </w:rPr>
        <w:t xml:space="preserve">10,1 </w:t>
      </w:r>
      <w:r w:rsidRPr="0055660C">
        <w:rPr>
          <w:rFonts w:ascii="Arial Narrow" w:hAnsi="Arial Narrow" w:cs="Arial Narrow"/>
          <w:sz w:val="22"/>
          <w:szCs w:val="22"/>
        </w:rPr>
        <w:t xml:space="preserve">mld. </w:t>
      </w:r>
      <w:r w:rsidR="006C1CA5">
        <w:rPr>
          <w:rFonts w:ascii="Arial Narrow" w:hAnsi="Arial Narrow" w:cs="Arial Narrow"/>
          <w:sz w:val="22"/>
          <w:szCs w:val="22"/>
        </w:rPr>
        <w:t>eur</w:t>
      </w:r>
      <w:r w:rsidRPr="0055660C">
        <w:rPr>
          <w:rFonts w:ascii="Arial Narrow" w:hAnsi="Arial Narrow" w:cs="Arial Narrow"/>
          <w:sz w:val="22"/>
          <w:szCs w:val="22"/>
        </w:rPr>
        <w:t>. V porovnaní s predpokladanými výdavkami v roku 2010 klesnú o</w:t>
      </w:r>
      <w:r w:rsidR="00791DAA">
        <w:rPr>
          <w:rFonts w:ascii="Arial Narrow" w:hAnsi="Arial Narrow" w:cs="Arial Narrow"/>
          <w:sz w:val="22"/>
          <w:szCs w:val="22"/>
        </w:rPr>
        <w:t>      5,9</w:t>
      </w:r>
      <w:r w:rsidRPr="0055660C">
        <w:rPr>
          <w:rFonts w:ascii="Arial Narrow" w:hAnsi="Arial Narrow" w:cs="Arial Narrow"/>
          <w:sz w:val="22"/>
          <w:szCs w:val="22"/>
        </w:rPr>
        <w:t xml:space="preserve"> %. V porovnaní so skutočnosťou roku </w:t>
      </w:r>
      <w:r w:rsidR="00791DAA">
        <w:rPr>
          <w:rFonts w:ascii="Arial Narrow" w:hAnsi="Arial Narrow" w:cs="Arial Narrow"/>
          <w:sz w:val="22"/>
          <w:szCs w:val="22"/>
        </w:rPr>
        <w:t>2009 je pokles 5,0</w:t>
      </w:r>
      <w:r w:rsidRPr="0055660C">
        <w:rPr>
          <w:rFonts w:ascii="Arial Narrow" w:hAnsi="Arial Narrow" w:cs="Arial Narrow"/>
          <w:sz w:val="22"/>
          <w:szCs w:val="22"/>
        </w:rPr>
        <w:t xml:space="preserve"> %. A to napriek inflácii, a napriek tomu, že v rozpočte sa</w:t>
      </w:r>
      <w:r w:rsidRPr="00B14EA6">
        <w:rPr>
          <w:rFonts w:ascii="Arial Narrow" w:hAnsi="Arial Narrow" w:cs="Arial Narrow"/>
          <w:sz w:val="22"/>
          <w:szCs w:val="22"/>
        </w:rPr>
        <w:t xml:space="preserve"> financujú aj niektoré prioritné výdavky, napríklad na protipovodňovú ochranu alebo na posilnenie výstavby diaľnic.  </w:t>
      </w:r>
    </w:p>
    <w:p w:rsidR="00B14EA6" w:rsidRPr="00B14EA6" w:rsidP="00B14EA6">
      <w:pPr>
        <w:bidi w:val="0"/>
        <w:ind w:firstLine="708"/>
        <w:jc w:val="both"/>
        <w:rPr>
          <w:rFonts w:ascii="Arial Narrow" w:hAnsi="Arial Narrow" w:cs="Arial Narrow"/>
          <w:sz w:val="22"/>
          <w:szCs w:val="22"/>
        </w:rPr>
      </w:pPr>
    </w:p>
    <w:p w:rsidR="00B14EA6" w:rsidP="00B14EA6">
      <w:pPr>
        <w:bidi w:val="0"/>
        <w:ind w:firstLine="708"/>
        <w:jc w:val="both"/>
      </w:pPr>
      <w:r w:rsidRPr="00B14EA6">
        <w:rPr>
          <w:rFonts w:ascii="Arial Narrow" w:hAnsi="Arial Narrow" w:cs="Arial Narrow"/>
          <w:sz w:val="22"/>
          <w:szCs w:val="22"/>
        </w:rPr>
        <w:t xml:space="preserve">Základným predpokladom ozdravenia verejných financií je výrazný pokles korupcie vo verejnom sektore. Už nikdy sa nesmú opakovať kauzy typu tendra na elektronické mýto alebo predaja kvót na CO2 emisie, pri ktorých štát stratil stovky miliónov eur. Výrazná zmena musí nastať v systéme verejného obstarávania, kde musia postupne začať dominovať elektronické aukcie, ktoré pri správnom využívaní dramaticky obmedzia priestor pre korupciu. </w:t>
      </w:r>
    </w:p>
    <w:p w:rsidR="00B14EA6" w:rsidP="000D7887">
      <w:pPr>
        <w:bidi w:val="0"/>
        <w:ind w:firstLine="708"/>
        <w:jc w:val="both"/>
        <w:rPr>
          <w:rFonts w:ascii="Arial Narrow" w:hAnsi="Arial Narrow" w:cs="Arial Narrow"/>
          <w:sz w:val="22"/>
          <w:szCs w:val="22"/>
        </w:rPr>
      </w:pPr>
    </w:p>
    <w:p w:rsidR="00B14EA6" w:rsidRPr="00B14EA6" w:rsidP="00B14EA6">
      <w:pPr>
        <w:bidi w:val="0"/>
        <w:ind w:firstLine="708"/>
        <w:jc w:val="both"/>
        <w:rPr>
          <w:rFonts w:ascii="Arial Narrow" w:hAnsi="Arial Narrow" w:cs="Arial Narrow"/>
          <w:sz w:val="22"/>
          <w:szCs w:val="22"/>
        </w:rPr>
      </w:pPr>
      <w:r w:rsidRPr="0013660A" w:rsidR="000D7887">
        <w:rPr>
          <w:rFonts w:ascii="Arial Narrow" w:hAnsi="Arial Narrow" w:cs="Arial Narrow"/>
          <w:sz w:val="22"/>
          <w:szCs w:val="22"/>
        </w:rPr>
        <w:t>Ozdravný balík je v súlade s vládnym programom, v ktorom sa píše: „Znižovanie deficitu bude vláda SR realizovať opatreniami na strane príjmov aj výdavkov verejných financií. Opatrenia na strane príjmov budú smerovať k stabilizácii ich podielu na hrubom domácom produkte, ktorý postupne klesá. Opatrenia vo výdavkovej časti rozpočtu budú ich podiel znižovať.“</w:t>
      </w:r>
      <w:r>
        <w:rPr>
          <w:rFonts w:ascii="Arial Narrow" w:hAnsi="Arial Narrow" w:cs="Arial Narrow"/>
          <w:sz w:val="22"/>
          <w:szCs w:val="22"/>
        </w:rPr>
        <w:t xml:space="preserve"> </w:t>
      </w:r>
      <w:r w:rsidRPr="00B14EA6">
        <w:rPr>
          <w:rFonts w:ascii="Arial Narrow" w:hAnsi="Arial Narrow" w:cs="Arial Narrow"/>
          <w:sz w:val="22"/>
          <w:szCs w:val="22"/>
        </w:rPr>
        <w:t xml:space="preserve">Pre zdravý vývoj slovenskej ekonomiky bude v roku 2011 veľmi dôležité, aby sa podarilo podstatne zrýchliť čerpanie EÚ fondov. </w:t>
      </w:r>
      <w:r>
        <w:rPr>
          <w:rFonts w:ascii="Arial Narrow" w:hAnsi="Arial Narrow" w:cs="Arial Narrow"/>
          <w:sz w:val="22"/>
          <w:szCs w:val="22"/>
        </w:rPr>
        <w:t xml:space="preserve">Ich </w:t>
      </w:r>
      <w:r w:rsidRPr="00B14EA6">
        <w:rPr>
          <w:rFonts w:ascii="Arial Narrow" w:hAnsi="Arial Narrow" w:cs="Arial Narrow"/>
          <w:sz w:val="22"/>
          <w:szCs w:val="22"/>
        </w:rPr>
        <w:t xml:space="preserve">rozpočtovaná úroveň, ako aj rozpočtovanie potrebného spolufinancovania, je zhodná s očakávaniami rezortov, ktoré sú za čerpanie zodpovedné. Druhým dôležitým predpokladom ozdravenia slovenskej ekonomiky bude zlepšenie prostredia pre tvorbu pracovných miest. Konkurencieschopnosť našej ekonomiky v posledných rokoch prudko poklesla, tento trend je potrebné čo najskôr obrátiť. K tomu sú nevyhnutné zmeny legislatívnych podmienok na trhu práce, zlepšenie vymáhateľnosti práva, pokles korupcie, či znižovanie administratívnej náročnosti podnikania. </w:t>
      </w:r>
    </w:p>
    <w:p w:rsidR="000D7887" w:rsidRPr="0013660A" w:rsidP="000D7887">
      <w:pPr>
        <w:bidi w:val="0"/>
        <w:jc w:val="both"/>
        <w:rPr>
          <w:rFonts w:ascii="Arial Narrow" w:hAnsi="Arial Narrow" w:cs="Arial Narrow"/>
          <w:sz w:val="22"/>
          <w:szCs w:val="22"/>
        </w:rPr>
      </w:pPr>
    </w:p>
    <w:p w:rsidR="000D7887" w:rsidRPr="0013660A" w:rsidP="000D7887">
      <w:pPr>
        <w:bidi w:val="0"/>
        <w:ind w:firstLine="708"/>
        <w:jc w:val="both"/>
        <w:rPr>
          <w:rFonts w:ascii="Arial Narrow" w:hAnsi="Arial Narrow" w:cs="Arial Narrow"/>
          <w:sz w:val="22"/>
          <w:szCs w:val="22"/>
        </w:rPr>
      </w:pPr>
      <w:r w:rsidRPr="0013660A">
        <w:rPr>
          <w:rFonts w:ascii="Arial Narrow" w:hAnsi="Arial Narrow" w:cs="Arial Narrow"/>
          <w:sz w:val="22"/>
          <w:szCs w:val="22"/>
        </w:rPr>
        <w:t xml:space="preserve">Výsledkom rastu ekonomiky a navrhovaných ozdravných opatrení je predložený návrh rozpočtu. Faktom je, že tento návrh </w:t>
      </w:r>
      <w:r w:rsidRPr="0013660A">
        <w:rPr>
          <w:rFonts w:ascii="Arial Narrow" w:hAnsi="Arial Narrow" w:cs="Arial Narrow"/>
          <w:b/>
          <w:bCs/>
          <w:sz w:val="22"/>
          <w:szCs w:val="22"/>
        </w:rPr>
        <w:t>rozpočtu v sebe nesie značné neistoty</w:t>
      </w:r>
      <w:r w:rsidRPr="0013660A">
        <w:rPr>
          <w:rFonts w:ascii="Arial Narrow" w:hAnsi="Arial Narrow" w:cs="Arial Narrow"/>
          <w:sz w:val="22"/>
          <w:szCs w:val="22"/>
        </w:rPr>
        <w:t>. Tie sú spôsobené výraznými rizikami pri predpokladoch vývoja svetovej ekonomiky. Hoci náznaky oživenia sú v poslednom čase sľubné, mnohí ekonómovia varujú pred unáhleným optimizmom. Rizikom je výška skutočného deficitu verejných financií v tomto roku, pretože vývoj v niektorých zložkách je stále neistý. Týka sa to napríklad aj hospodárenia</w:t>
      </w:r>
      <w:r>
        <w:rPr>
          <w:rFonts w:ascii="Arial Narrow" w:hAnsi="Arial Narrow" w:cs="Arial Narrow"/>
          <w:sz w:val="22"/>
          <w:szCs w:val="22"/>
        </w:rPr>
        <w:t xml:space="preserve"> vyšších územných celkov a hospodárenia </w:t>
      </w:r>
      <w:r w:rsidRPr="0013660A">
        <w:rPr>
          <w:rFonts w:ascii="Arial Narrow" w:hAnsi="Arial Narrow" w:cs="Arial Narrow"/>
          <w:sz w:val="22"/>
          <w:szCs w:val="22"/>
        </w:rPr>
        <w:t>miest a obcí, ktoré majú voľby koncom novembra. A treťou neistotou je aj dopad viacerých ozdravných opatrení na príjmy a výdavky verejných financií</w:t>
      </w:r>
      <w:r w:rsidR="002A6464">
        <w:rPr>
          <w:rFonts w:ascii="Arial Narrow" w:hAnsi="Arial Narrow" w:cs="Arial Narrow"/>
          <w:sz w:val="22"/>
          <w:szCs w:val="22"/>
        </w:rPr>
        <w:t>.</w:t>
      </w:r>
      <w:r w:rsidRPr="0013660A">
        <w:rPr>
          <w:rFonts w:ascii="Arial Narrow" w:hAnsi="Arial Narrow" w:cs="Arial Narrow"/>
          <w:sz w:val="22"/>
          <w:szCs w:val="22"/>
        </w:rPr>
        <w:t xml:space="preserve"> </w:t>
      </w:r>
    </w:p>
    <w:p w:rsidR="000D7887" w:rsidRPr="0013660A" w:rsidP="000D7887">
      <w:pPr>
        <w:bidi w:val="0"/>
        <w:jc w:val="both"/>
        <w:rPr>
          <w:rFonts w:ascii="Arial Narrow" w:hAnsi="Arial Narrow" w:cs="Arial Narrow"/>
          <w:sz w:val="22"/>
          <w:szCs w:val="22"/>
        </w:rPr>
      </w:pPr>
    </w:p>
    <w:p w:rsidR="000D7887" w:rsidRPr="0013660A" w:rsidP="000D7887">
      <w:pPr>
        <w:keepNext/>
        <w:keepLines/>
        <w:widowControl w:val="0"/>
        <w:bidi w:val="0"/>
        <w:spacing w:before="120"/>
        <w:ind w:firstLine="709"/>
        <w:jc w:val="both"/>
        <w:rPr>
          <w:rFonts w:ascii="Arial Narrow" w:hAnsi="Arial Narrow" w:cs="Arial Narrow"/>
          <w:sz w:val="22"/>
          <w:szCs w:val="22"/>
        </w:rPr>
      </w:pPr>
      <w:r w:rsidRPr="0013660A">
        <w:rPr>
          <w:rFonts w:ascii="Arial Narrow" w:hAnsi="Arial Narrow" w:cs="Arial Narrow"/>
          <w:b/>
          <w:bCs/>
          <w:sz w:val="22"/>
          <w:szCs w:val="22"/>
        </w:rPr>
        <w:t>Predložený návrh rozpočtu bol pripravovaný s cieľom otvorene a pravdivo pomenovať stav verejných financií.</w:t>
      </w:r>
      <w:r w:rsidRPr="0013660A">
        <w:rPr>
          <w:rFonts w:ascii="Arial Narrow" w:hAnsi="Arial Narrow" w:cs="Arial Narrow"/>
          <w:sz w:val="22"/>
          <w:szCs w:val="22"/>
        </w:rPr>
        <w:t xml:space="preserve"> Na rozdiel od rozpočtu na rok 2010 nie sú v ňom vedome zakomponované nijaké nereálne položky, ani skryté dlhy. Hoci pre krátkosť času na prípravu nie je optimálny, pri jeho tvorb</w:t>
      </w:r>
      <w:r>
        <w:rPr>
          <w:rFonts w:ascii="Arial Narrow" w:hAnsi="Arial Narrow" w:cs="Arial Narrow"/>
          <w:sz w:val="22"/>
          <w:szCs w:val="22"/>
        </w:rPr>
        <w:t>e</w:t>
      </w:r>
      <w:r w:rsidRPr="0013660A">
        <w:rPr>
          <w:rFonts w:ascii="Arial Narrow" w:hAnsi="Arial Narrow" w:cs="Arial Narrow"/>
          <w:sz w:val="22"/>
          <w:szCs w:val="22"/>
        </w:rPr>
        <w:t xml:space="preserve"> bola maximálna snaha o transparentnosť.   </w:t>
      </w:r>
    </w:p>
    <w:p w:rsidR="000D7887" w:rsidP="000D7887">
      <w:pPr>
        <w:bidi w:val="0"/>
      </w:pPr>
    </w:p>
    <w:p w:rsidR="000D7887" w:rsidRPr="001604DF" w:rsidP="000D7887">
      <w:pPr>
        <w:bidi w:val="0"/>
        <w:rPr>
          <w:rFonts w:ascii="Arial Narrow" w:hAnsi="Arial Narrow" w:cs="Arial Narrow"/>
          <w:sz w:val="22"/>
          <w:szCs w:val="22"/>
        </w:rPr>
      </w:pPr>
      <w:r>
        <w:tab/>
      </w:r>
      <w:r w:rsidRPr="00F76423">
        <w:rPr>
          <w:rFonts w:ascii="Arial Narrow" w:hAnsi="Arial Narrow" w:cs="Arial Narrow"/>
          <w:sz w:val="22"/>
          <w:szCs w:val="22"/>
        </w:rPr>
        <w:t>Vzhľadom na charakter materiálu sa doložka vybraných vplyvov nevyhotovuje.</w:t>
      </w: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0F2FD8" w:rsidP="0013660A">
      <w:pPr>
        <w:bidi w:val="0"/>
        <w:ind w:firstLine="708"/>
        <w:jc w:val="both"/>
        <w:rPr>
          <w:rFonts w:ascii="Arial Narrow" w:hAnsi="Arial Narrow" w:cs="Arial Narrow"/>
          <w:sz w:val="22"/>
          <w:szCs w:val="22"/>
        </w:rPr>
      </w:pPr>
    </w:p>
    <w:p w:rsidR="00A1281C" w:rsidRPr="002A4A3A" w:rsidP="00A1281C">
      <w:pPr>
        <w:pStyle w:val="Heading1"/>
        <w:bidi w:val="0"/>
        <w:rPr>
          <w:rFonts w:ascii="Arial Narrow" w:hAnsi="Arial Narrow" w:cs="Arial Narrow"/>
          <w:sz w:val="28"/>
          <w:szCs w:val="28"/>
        </w:rPr>
      </w:pPr>
      <w:bookmarkStart w:id="7" w:name="_Toc273463972"/>
      <w:bookmarkStart w:id="8" w:name="_Toc273464602"/>
      <w:bookmarkStart w:id="9" w:name="_Toc273464843"/>
      <w:bookmarkStart w:id="10" w:name="_Toc273474192"/>
      <w:bookmarkStart w:id="11" w:name="_Toc273979608"/>
      <w:bookmarkEnd w:id="0"/>
      <w:bookmarkEnd w:id="1"/>
      <w:bookmarkEnd w:id="2"/>
      <w:bookmarkEnd w:id="3"/>
      <w:r w:rsidRPr="0087062F">
        <w:rPr>
          <w:rFonts w:ascii="Arial Narrow" w:hAnsi="Arial Narrow" w:cs="Arial Narrow"/>
          <w:sz w:val="28"/>
          <w:szCs w:val="28"/>
        </w:rPr>
        <w:t>1. Vývoj makroekonomického prostredia</w:t>
      </w:r>
      <w:bookmarkEnd w:id="7"/>
      <w:bookmarkEnd w:id="8"/>
      <w:bookmarkEnd w:id="9"/>
      <w:bookmarkEnd w:id="10"/>
      <w:bookmarkEnd w:id="11"/>
      <w:r>
        <w:rPr>
          <w:rFonts w:ascii="Arial Narrow" w:hAnsi="Arial Narrow" w:cs="Arial Narrow"/>
          <w:sz w:val="28"/>
          <w:szCs w:val="28"/>
        </w:rPr>
        <w:t xml:space="preserve"> </w:t>
      </w:r>
    </w:p>
    <w:p w:rsidR="00A1281C" w:rsidRPr="0087062F" w:rsidP="00A1281C">
      <w:pPr>
        <w:pStyle w:val="Heading2"/>
        <w:bidi w:val="0"/>
        <w:rPr>
          <w:rFonts w:ascii="Arial Narrow" w:hAnsi="Arial Narrow" w:cs="Arial Narrow"/>
          <w:i w:val="0"/>
          <w:iCs w:val="0"/>
          <w:sz w:val="24"/>
          <w:szCs w:val="24"/>
        </w:rPr>
      </w:pPr>
      <w:bookmarkStart w:id="12" w:name="_Toc97700651"/>
      <w:bookmarkStart w:id="13" w:name="_Toc148255236"/>
      <w:bookmarkStart w:id="14" w:name="_Toc273979609"/>
      <w:r w:rsidRPr="0087062F">
        <w:rPr>
          <w:rFonts w:ascii="Arial Narrow" w:hAnsi="Arial Narrow" w:cs="Arial Narrow"/>
          <w:i w:val="0"/>
          <w:iCs w:val="0"/>
          <w:sz w:val="24"/>
          <w:szCs w:val="24"/>
        </w:rPr>
        <w:t xml:space="preserve">1.1 Charakteristika vývoja ekonomiky v roku </w:t>
      </w:r>
      <w:r w:rsidRPr="00BD1713">
        <w:rPr>
          <w:rFonts w:ascii="Arial Narrow" w:hAnsi="Arial Narrow" w:cs="Arial Narrow"/>
          <w:i w:val="0"/>
          <w:iCs w:val="0"/>
          <w:sz w:val="24"/>
          <w:szCs w:val="24"/>
        </w:rPr>
        <w:t>20</w:t>
      </w:r>
      <w:bookmarkEnd w:id="12"/>
      <w:bookmarkEnd w:id="13"/>
      <w:r>
        <w:rPr>
          <w:rFonts w:ascii="Arial Narrow" w:hAnsi="Arial Narrow" w:cs="Arial Narrow"/>
          <w:i w:val="0"/>
          <w:iCs w:val="0"/>
          <w:sz w:val="24"/>
          <w:szCs w:val="24"/>
        </w:rPr>
        <w:t>10</w:t>
      </w:r>
      <w:bookmarkEnd w:id="14"/>
    </w:p>
    <w:p w:rsidR="00A1281C" w:rsidP="00A1281C">
      <w:pPr>
        <w:bidi w:val="0"/>
        <w:ind w:firstLine="680"/>
        <w:jc w:val="both"/>
        <w:rPr>
          <w:rFonts w:ascii="Arial Narrow" w:hAnsi="Arial Narrow" w:cs="Arial Narrow"/>
          <w:sz w:val="22"/>
          <w:szCs w:val="22"/>
        </w:rPr>
      </w:pPr>
      <w:bookmarkStart w:id="15" w:name="_Toc97700652"/>
      <w:bookmarkStart w:id="16" w:name="_Toc148255237"/>
    </w:p>
    <w:p w:rsidR="00A1281C" w:rsidP="00A1281C">
      <w:pPr>
        <w:bidi w:val="0"/>
        <w:ind w:firstLine="680"/>
        <w:jc w:val="both"/>
        <w:rPr>
          <w:rFonts w:ascii="Arial Narrow" w:hAnsi="Arial Narrow" w:cs="Arial Narrow"/>
          <w:sz w:val="22"/>
          <w:szCs w:val="22"/>
        </w:rPr>
      </w:pPr>
      <w:r>
        <w:rPr>
          <w:rFonts w:ascii="Arial Narrow" w:hAnsi="Arial Narrow" w:cs="Arial Narrow"/>
          <w:sz w:val="22"/>
          <w:szCs w:val="22"/>
        </w:rPr>
        <w:t xml:space="preserve">Po prepade HDP v roku 2009 o 4,7 % </w:t>
      </w:r>
      <w:r w:rsidRPr="00A54502">
        <w:rPr>
          <w:rFonts w:ascii="Arial Narrow" w:hAnsi="Arial Narrow" w:cs="Arial Narrow"/>
          <w:b/>
          <w:bCs/>
          <w:sz w:val="22"/>
          <w:szCs w:val="22"/>
        </w:rPr>
        <w:t xml:space="preserve">slovenská ekonomika </w:t>
      </w:r>
      <w:r>
        <w:rPr>
          <w:rFonts w:ascii="Arial Narrow" w:hAnsi="Arial Narrow" w:cs="Arial Narrow"/>
          <w:b/>
          <w:bCs/>
          <w:sz w:val="22"/>
          <w:szCs w:val="22"/>
        </w:rPr>
        <w:t>v</w:t>
      </w:r>
      <w:r w:rsidRPr="00A54502">
        <w:rPr>
          <w:rFonts w:ascii="Arial Narrow" w:hAnsi="Arial Narrow" w:cs="Arial Narrow"/>
          <w:b/>
          <w:bCs/>
          <w:sz w:val="22"/>
          <w:szCs w:val="22"/>
        </w:rPr>
        <w:t> roku 2010 opäť porastie 4% tempom</w:t>
      </w:r>
      <w:r>
        <w:rPr>
          <w:rFonts w:ascii="Arial Narrow" w:hAnsi="Arial Narrow" w:cs="Arial Narrow"/>
          <w:sz w:val="22"/>
          <w:szCs w:val="22"/>
        </w:rPr>
        <w:t>. Rast je predovšetkým dôsledkom silnejšieho ako očakávaného oživenia dopytu našich obchodných partnerov, najmä nášho najväčšieho obchodného partnera Nemecka. Na druhej strane však pretrváva negatívny vývoj na strane spotreby domácností a na trhu práce.</w:t>
      </w:r>
    </w:p>
    <w:p w:rsidR="00A1281C" w:rsidRPr="006345F1" w:rsidP="00A1281C">
      <w:pPr>
        <w:bidi w:val="0"/>
        <w:ind w:firstLine="680"/>
        <w:jc w:val="both"/>
        <w:rPr>
          <w:rFonts w:ascii="Arial Narrow" w:hAnsi="Arial Narrow" w:cs="Arial Narrow"/>
          <w:sz w:val="22"/>
          <w:szCs w:val="22"/>
        </w:rPr>
      </w:pPr>
    </w:p>
    <w:p w:rsidR="00A1281C" w:rsidP="00A1281C">
      <w:pPr>
        <w:bidi w:val="0"/>
        <w:ind w:firstLine="680"/>
        <w:jc w:val="both"/>
        <w:rPr>
          <w:rFonts w:ascii="Arial Narrow" w:hAnsi="Arial Narrow" w:cs="Arial Narrow"/>
          <w:sz w:val="22"/>
          <w:szCs w:val="22"/>
        </w:rPr>
      </w:pPr>
      <w:r w:rsidRPr="002A4A3A">
        <w:rPr>
          <w:rFonts w:ascii="Arial Narrow" w:hAnsi="Arial Narrow" w:cs="Arial Narrow"/>
          <w:sz w:val="22"/>
          <w:szCs w:val="22"/>
        </w:rPr>
        <w:t xml:space="preserve">Podľa </w:t>
      </w:r>
      <w:r>
        <w:rPr>
          <w:rFonts w:ascii="Arial Narrow" w:hAnsi="Arial Narrow" w:cs="Arial Narrow"/>
          <w:sz w:val="22"/>
          <w:szCs w:val="22"/>
        </w:rPr>
        <w:t xml:space="preserve">doteraz zverejnených údajov za 1. polrok 2010 </w:t>
      </w:r>
      <w:r w:rsidRPr="00A54502">
        <w:rPr>
          <w:rFonts w:ascii="Arial Narrow" w:hAnsi="Arial Narrow" w:cs="Arial Narrow"/>
          <w:b/>
          <w:bCs/>
          <w:sz w:val="22"/>
          <w:szCs w:val="22"/>
        </w:rPr>
        <w:t>dochádza k silnejšiemu ako očakávanému oživeniu v EÚ, najmä vďaka silnému rastu v Nemecku</w:t>
      </w:r>
      <w:r>
        <w:rPr>
          <w:rFonts w:ascii="Arial Narrow" w:hAnsi="Arial Narrow" w:cs="Arial Narrow"/>
          <w:sz w:val="22"/>
          <w:szCs w:val="22"/>
        </w:rPr>
        <w:t xml:space="preserve">. Nemecké oživenie súvisí s obnoveným rastom globálneho obchodu, ktorý bol poháňaný aj dopytom z USA a rozvíjajúcich sa krajín ako je Čína. EK v septembri výrazne zvýšila odhad rastu HDP Nemecka v tomto roku z 1,2 % na 3,4 % a celkový rast v EÚ z 1 % na 1,8 %. To spôsobuje zlepšenie dopytu po slovenských exportoch a teda výraznejší nárast priemyslu. Vyšší predaj si vyžiadal aj dopĺňanie nízkeho stavu zásob z minulého roka. </w:t>
      </w:r>
      <w:r w:rsidRPr="001C4041">
        <w:rPr>
          <w:rFonts w:ascii="Arial Narrow" w:hAnsi="Arial Narrow" w:cs="Arial Narrow"/>
          <w:b/>
          <w:bCs/>
          <w:sz w:val="22"/>
          <w:szCs w:val="22"/>
        </w:rPr>
        <w:t>Za prvých 7 mesiacov stúpla priemyselná výroba o</w:t>
      </w:r>
      <w:r>
        <w:rPr>
          <w:rFonts w:ascii="Arial Narrow" w:hAnsi="Arial Narrow" w:cs="Arial Narrow"/>
          <w:b/>
          <w:bCs/>
          <w:sz w:val="22"/>
          <w:szCs w:val="22"/>
        </w:rPr>
        <w:t> </w:t>
      </w:r>
      <w:r w:rsidRPr="001C4041">
        <w:rPr>
          <w:rFonts w:ascii="Arial Narrow" w:hAnsi="Arial Narrow" w:cs="Arial Narrow"/>
          <w:b/>
          <w:bCs/>
          <w:sz w:val="22"/>
          <w:szCs w:val="22"/>
        </w:rPr>
        <w:t>24</w:t>
      </w:r>
      <w:r>
        <w:rPr>
          <w:rFonts w:ascii="Arial Narrow" w:hAnsi="Arial Narrow" w:cs="Arial Narrow"/>
          <w:b/>
          <w:bCs/>
          <w:sz w:val="22"/>
          <w:szCs w:val="22"/>
        </w:rPr>
        <w:t xml:space="preserve"> </w:t>
      </w:r>
      <w:r w:rsidRPr="001C4041">
        <w:rPr>
          <w:rFonts w:ascii="Arial Narrow" w:hAnsi="Arial Narrow" w:cs="Arial Narrow"/>
          <w:b/>
          <w:bCs/>
          <w:sz w:val="22"/>
          <w:szCs w:val="22"/>
        </w:rPr>
        <w:t>% medziročne</w:t>
      </w:r>
      <w:r>
        <w:rPr>
          <w:rFonts w:ascii="Arial Narrow" w:hAnsi="Arial Narrow" w:cs="Arial Narrow"/>
          <w:sz w:val="22"/>
          <w:szCs w:val="22"/>
        </w:rPr>
        <w:t>. Elektrotechnický priemysel zvýšil výrobu o ¼ napriek tomu, že vzrástol aj v minulom roku, nako</w:t>
      </w:r>
      <w:r>
        <w:rPr>
          <w:rFonts w:ascii="Arial Narrow" w:hAnsi="Arial Narrow" w:cs="Arial Narrow"/>
          <w:sz w:val="22"/>
          <w:szCs w:val="22"/>
        </w:rPr>
        <w:t>ľko Slovensko benefituje z rozšírenia výroby u kórejského výrobcu. V súčasnosti je výroba v tomto odvetví skoro o 50 % vyššia, ako bola predkrízová úroveň. Výroba áut sa zvýšila takmer o polovicu voči nízkej úrovni minulého roka. Aj tretí najdôležitejší sektor hutníctvo vykazuje nárast o 22 %. Tiet</w:t>
      </w:r>
      <w:r w:rsidR="006C1CA5">
        <w:rPr>
          <w:rFonts w:ascii="Arial Narrow" w:hAnsi="Arial Narrow" w:cs="Arial Narrow"/>
          <w:sz w:val="22"/>
          <w:szCs w:val="22"/>
        </w:rPr>
        <w:t xml:space="preserve">o dva sektory sú však stále     10 </w:t>
      </w:r>
      <w:r>
        <w:rPr>
          <w:rFonts w:ascii="Arial Narrow" w:hAnsi="Arial Narrow" w:cs="Arial Narrow"/>
          <w:sz w:val="22"/>
          <w:szCs w:val="22"/>
        </w:rPr>
        <w:t>% pod predkrízovou úrovňou.</w:t>
      </w:r>
    </w:p>
    <w:p w:rsidR="00A1281C" w:rsidP="00A1281C">
      <w:pPr>
        <w:bidi w:val="0"/>
        <w:ind w:firstLine="680"/>
        <w:jc w:val="both"/>
        <w:rPr>
          <w:rFonts w:ascii="Arial Narrow" w:hAnsi="Arial Narrow" w:cs="Arial Narrow"/>
          <w:sz w:val="22"/>
          <w:szCs w:val="22"/>
        </w:rPr>
      </w:pPr>
    </w:p>
    <w:p w:rsidR="00A1281C" w:rsidP="00A1281C">
      <w:pPr>
        <w:bidi w:val="0"/>
        <w:ind w:firstLine="680"/>
        <w:jc w:val="both"/>
        <w:rPr>
          <w:rFonts w:ascii="Arial Narrow" w:hAnsi="Arial Narrow" w:cs="Arial Narrow"/>
          <w:sz w:val="22"/>
          <w:szCs w:val="22"/>
        </w:rPr>
      </w:pPr>
      <w:r w:rsidRPr="001C4041">
        <w:rPr>
          <w:rFonts w:ascii="Arial Narrow" w:hAnsi="Arial Narrow" w:cs="Arial Narrow"/>
          <w:b/>
          <w:bCs/>
          <w:sz w:val="22"/>
          <w:szCs w:val="22"/>
        </w:rPr>
        <w:t xml:space="preserve">Na druhej strane pokračuje nepriaznivý vývoj </w:t>
      </w:r>
      <w:r>
        <w:rPr>
          <w:rFonts w:ascii="Arial Narrow" w:hAnsi="Arial Narrow" w:cs="Arial Narrow"/>
          <w:b/>
          <w:bCs/>
          <w:sz w:val="22"/>
          <w:szCs w:val="22"/>
        </w:rPr>
        <w:t>v domácej ekonomike</w:t>
      </w:r>
      <w:r>
        <w:rPr>
          <w:rFonts w:ascii="Arial Narrow" w:hAnsi="Arial Narrow" w:cs="Arial Narrow"/>
          <w:sz w:val="22"/>
          <w:szCs w:val="22"/>
        </w:rPr>
        <w:t xml:space="preserve">. </w:t>
      </w:r>
      <w:r w:rsidRPr="0062217B">
        <w:rPr>
          <w:rFonts w:ascii="Arial Narrow" w:hAnsi="Arial Narrow" w:cs="Arial Narrow"/>
          <w:sz w:val="22"/>
          <w:szCs w:val="22"/>
        </w:rPr>
        <w:t xml:space="preserve">Pokles zamestnanosti a dopytu po pracovnej sile sa </w:t>
      </w:r>
      <w:r>
        <w:rPr>
          <w:rFonts w:ascii="Arial Narrow" w:hAnsi="Arial Narrow" w:cs="Arial Narrow"/>
          <w:sz w:val="22"/>
          <w:szCs w:val="22"/>
        </w:rPr>
        <w:t>prejavuje</w:t>
      </w:r>
      <w:r w:rsidRPr="0062217B">
        <w:rPr>
          <w:rFonts w:ascii="Arial Narrow" w:hAnsi="Arial Narrow" w:cs="Arial Narrow"/>
          <w:sz w:val="22"/>
          <w:szCs w:val="22"/>
        </w:rPr>
        <w:t xml:space="preserve"> v znížení tlakov na rast miezd</w:t>
      </w:r>
      <w:r>
        <w:rPr>
          <w:rFonts w:ascii="Arial Narrow" w:hAnsi="Arial Narrow" w:cs="Arial Narrow"/>
          <w:sz w:val="22"/>
          <w:szCs w:val="22"/>
        </w:rPr>
        <w:t xml:space="preserve"> najmä v službách</w:t>
      </w:r>
      <w:r w:rsidRPr="0062217B">
        <w:rPr>
          <w:rFonts w:ascii="Arial Narrow" w:hAnsi="Arial Narrow" w:cs="Arial Narrow"/>
          <w:sz w:val="22"/>
          <w:szCs w:val="22"/>
        </w:rPr>
        <w:t xml:space="preserve">, </w:t>
      </w:r>
      <w:r>
        <w:rPr>
          <w:rFonts w:ascii="Arial Narrow" w:hAnsi="Arial Narrow" w:cs="Arial Narrow"/>
          <w:sz w:val="22"/>
          <w:szCs w:val="22"/>
        </w:rPr>
        <w:t>pričom</w:t>
      </w:r>
      <w:r w:rsidRPr="0062217B">
        <w:rPr>
          <w:rFonts w:ascii="Arial Narrow" w:hAnsi="Arial Narrow" w:cs="Arial Narrow"/>
          <w:sz w:val="22"/>
          <w:szCs w:val="22"/>
        </w:rPr>
        <w:t> oba ti</w:t>
      </w:r>
      <w:r>
        <w:rPr>
          <w:rFonts w:ascii="Arial Narrow" w:hAnsi="Arial Narrow" w:cs="Arial Narrow"/>
          <w:sz w:val="22"/>
          <w:szCs w:val="22"/>
        </w:rPr>
        <w:t>eto faktory negatívne ovplyvňujú</w:t>
      </w:r>
      <w:r w:rsidRPr="0062217B">
        <w:rPr>
          <w:rFonts w:ascii="Arial Narrow" w:hAnsi="Arial Narrow" w:cs="Arial Narrow"/>
          <w:sz w:val="22"/>
          <w:szCs w:val="22"/>
        </w:rPr>
        <w:t xml:space="preserve"> spotrebu domácností. </w:t>
      </w:r>
      <w:r>
        <w:rPr>
          <w:rFonts w:ascii="Arial Narrow" w:hAnsi="Arial Narrow" w:cs="Arial Narrow"/>
          <w:sz w:val="22"/>
          <w:szCs w:val="22"/>
        </w:rPr>
        <w:t xml:space="preserve">Takisto voľné kapacity nevytvárajú tlak na zvýšenie investícií, </w:t>
      </w:r>
      <w:r w:rsidRPr="0018345F">
        <w:rPr>
          <w:rFonts w:ascii="Arial Narrow" w:hAnsi="Arial Narrow" w:cs="Arial Narrow"/>
          <w:sz w:val="22"/>
          <w:szCs w:val="22"/>
        </w:rPr>
        <w:t xml:space="preserve">ekonomika </w:t>
      </w:r>
      <w:r>
        <w:rPr>
          <w:rFonts w:ascii="Arial Narrow" w:hAnsi="Arial Narrow" w:cs="Arial Narrow"/>
          <w:sz w:val="22"/>
          <w:szCs w:val="22"/>
        </w:rPr>
        <w:t>by mala dosiahnuť svoju potenciálnu úroveň až v roku 2013</w:t>
      </w:r>
      <w:r w:rsidRPr="0018345F">
        <w:rPr>
          <w:rFonts w:ascii="Arial Narrow" w:hAnsi="Arial Narrow" w:cs="Arial Narrow"/>
          <w:sz w:val="22"/>
          <w:szCs w:val="22"/>
        </w:rPr>
        <w:t>.</w:t>
      </w:r>
      <w:r>
        <w:rPr>
          <w:rFonts w:ascii="Arial Narrow" w:hAnsi="Arial Narrow" w:cs="Arial Narrow"/>
          <w:sz w:val="22"/>
          <w:szCs w:val="22"/>
        </w:rPr>
        <w:t xml:space="preserve"> Nedostatok príjmov obmedzuje aj vládnu spotrebu. Údaje za maloobchodný predaj naznačujú, že </w:t>
      </w:r>
      <w:r w:rsidRPr="001C4041">
        <w:rPr>
          <w:rFonts w:ascii="Arial Narrow" w:hAnsi="Arial Narrow" w:cs="Arial Narrow"/>
          <w:b/>
          <w:bCs/>
          <w:sz w:val="22"/>
          <w:szCs w:val="22"/>
        </w:rPr>
        <w:t>kríza kulminuje v domácej ekonomike na rozdiel od priemyslu až v tomto roku</w:t>
      </w:r>
      <w:r>
        <w:rPr>
          <w:rFonts w:ascii="Arial Narrow" w:hAnsi="Arial Narrow" w:cs="Arial Narrow"/>
          <w:sz w:val="22"/>
          <w:szCs w:val="22"/>
        </w:rPr>
        <w:t>. Mierne prorastovo zatiaľ pôsobia ceny, nakoľko sa inflácia v tomto roku výrazne spomalila. Mzdy by tak mali reálne narásť o 1,3 %. Suma sumárum, domáci dopyt (bez zásob) stúpne v tomto roku len o 0,4 %, namiesto predpokladaných 2 %.</w:t>
      </w:r>
    </w:p>
    <w:p w:rsidR="00A1281C" w:rsidP="00A1281C">
      <w:pPr>
        <w:bidi w:val="0"/>
        <w:ind w:firstLine="680"/>
        <w:jc w:val="both"/>
        <w:rPr>
          <w:rFonts w:ascii="Arial Narrow" w:hAnsi="Arial Narrow" w:cs="Arial Narrow"/>
          <w:sz w:val="22"/>
          <w:szCs w:val="22"/>
        </w:rPr>
      </w:pPr>
    </w:p>
    <w:p w:rsidR="00A1281C" w:rsidP="00A1281C">
      <w:pPr>
        <w:bidi w:val="0"/>
        <w:ind w:firstLine="680"/>
        <w:jc w:val="both"/>
        <w:rPr>
          <w:rFonts w:ascii="Arial Narrow" w:hAnsi="Arial Narrow" w:cs="Arial Narrow"/>
          <w:sz w:val="22"/>
          <w:szCs w:val="22"/>
        </w:rPr>
      </w:pPr>
      <w:r w:rsidRPr="001C4041">
        <w:rPr>
          <w:rFonts w:ascii="Arial Narrow" w:hAnsi="Arial Narrow" w:cs="Arial Narrow"/>
          <w:b/>
          <w:bCs/>
          <w:sz w:val="22"/>
          <w:szCs w:val="22"/>
        </w:rPr>
        <w:t>Riziko prognózy 4% rastu v tomto roku vidíme v súčasnosti skôr na pozitívnej strane</w:t>
      </w:r>
      <w:r>
        <w:rPr>
          <w:rFonts w:ascii="Arial Narrow" w:hAnsi="Arial Narrow" w:cs="Arial Narrow"/>
          <w:sz w:val="22"/>
          <w:szCs w:val="22"/>
        </w:rPr>
        <w:t xml:space="preserve">, v závislosti od udržania nadpriemerne dobrej situácie v Nemecku v najbližších mesiacoch. </w:t>
      </w:r>
    </w:p>
    <w:p w:rsidR="00A1281C" w:rsidP="00A1281C">
      <w:pPr>
        <w:bidi w:val="0"/>
        <w:ind w:firstLine="680"/>
        <w:jc w:val="both"/>
        <w:rPr>
          <w:rFonts w:ascii="Arial Narrow" w:hAnsi="Arial Narrow" w:cs="Arial Narrow"/>
          <w:sz w:val="22"/>
          <w:szCs w:val="22"/>
        </w:rPr>
      </w:pPr>
    </w:p>
    <w:p w:rsidR="00A1281C" w:rsidRPr="0025332E" w:rsidP="00A1281C">
      <w:pPr>
        <w:bidi w:val="0"/>
        <w:jc w:val="both"/>
        <w:rPr>
          <w:rFonts w:ascii="Arial Narrow" w:hAnsi="Arial Narrow" w:cs="Arial Narrow"/>
          <w:sz w:val="22"/>
          <w:szCs w:val="22"/>
        </w:rPr>
      </w:pPr>
    </w:p>
    <w:tbl>
      <w:tblPr>
        <w:tblStyle w:val="TableNormal"/>
        <w:tblW w:w="6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54"/>
        <w:gridCol w:w="1072"/>
        <w:gridCol w:w="1170"/>
        <w:gridCol w:w="1092"/>
      </w:tblGrid>
      <w:tr>
        <w:tblPrEx>
          <w:tblW w:w="6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55"/>
          <w:jc w:val="center"/>
        </w:trPr>
        <w:tc>
          <w:tcPr>
            <w:tcW w:w="6888" w:type="dxa"/>
            <w:gridSpan w:val="4"/>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A1281C" w:rsidRPr="002D099D" w:rsidP="006740C3">
            <w:pPr>
              <w:bidi w:val="0"/>
              <w:jc w:val="both"/>
              <w:rPr>
                <w:rFonts w:ascii="Arial Narrow" w:hAnsi="Arial Narrow" w:cs="Arial Narrow"/>
                <w:b/>
                <w:bCs/>
                <w:sz w:val="16"/>
                <w:szCs w:val="16"/>
                <w:lang w:eastAsia="sk-SK"/>
              </w:rPr>
            </w:pPr>
            <w:r w:rsidRPr="002D099D">
              <w:rPr>
                <w:rFonts w:ascii="Arial Narrow" w:hAnsi="Arial Narrow" w:cs="Arial Narrow"/>
                <w:b/>
                <w:bCs/>
                <w:sz w:val="16"/>
                <w:szCs w:val="16"/>
                <w:lang w:eastAsia="sk-SK"/>
              </w:rPr>
              <w:t>Aktualizácia prognóz na rok 2010</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both"/>
              <w:rPr>
                <w:rFonts w:ascii="Arial Narrow" w:hAnsi="Arial Narrow" w:cs="Arial Narrow"/>
                <w:b/>
                <w:bCs/>
                <w:sz w:val="16"/>
                <w:szCs w:val="16"/>
                <w:lang w:eastAsia="sk-SK"/>
              </w:rPr>
            </w:pPr>
            <w:r w:rsidRPr="002D099D">
              <w:rPr>
                <w:rFonts w:ascii="Arial Narrow" w:hAnsi="Arial Narrow" w:cs="Arial Narrow"/>
                <w:b/>
                <w:bCs/>
                <w:sz w:val="16"/>
                <w:szCs w:val="16"/>
                <w:lang w:eastAsia="sk-SK"/>
              </w:rPr>
              <w:t>v %, ak nie je uvedené inak</w:t>
            </w:r>
          </w:p>
        </w:tc>
        <w:tc>
          <w:tcPr>
            <w:tcW w:w="107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both"/>
              <w:rPr>
                <w:rFonts w:ascii="Arial Narrow" w:hAnsi="Arial Narrow" w:cs="Arial Narrow"/>
                <w:b/>
                <w:bCs/>
                <w:sz w:val="16"/>
                <w:szCs w:val="16"/>
                <w:lang w:eastAsia="sk-SK"/>
              </w:rPr>
            </w:pPr>
            <w:r w:rsidRPr="002D099D">
              <w:rPr>
                <w:rFonts w:ascii="Arial Narrow" w:hAnsi="Arial Narrow" w:cs="Arial Narrow"/>
                <w:b/>
                <w:bCs/>
                <w:sz w:val="16"/>
                <w:szCs w:val="16"/>
                <w:lang w:eastAsia="sk-SK"/>
              </w:rPr>
              <w:t>Rozpočet 2009</w:t>
            </w:r>
          </w:p>
        </w:tc>
        <w:tc>
          <w:tcPr>
            <w:tcW w:w="117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both"/>
              <w:rPr>
                <w:rFonts w:ascii="Arial Narrow" w:hAnsi="Arial Narrow" w:cs="Arial Narrow"/>
                <w:b/>
                <w:bCs/>
                <w:sz w:val="16"/>
                <w:szCs w:val="16"/>
                <w:lang w:eastAsia="sk-SK"/>
              </w:rPr>
            </w:pPr>
            <w:r w:rsidRPr="002D099D">
              <w:rPr>
                <w:rFonts w:ascii="Arial Narrow" w:hAnsi="Arial Narrow" w:cs="Arial Narrow"/>
                <w:b/>
                <w:bCs/>
                <w:sz w:val="16"/>
                <w:szCs w:val="16"/>
                <w:lang w:eastAsia="sk-SK"/>
              </w:rPr>
              <w:t>Aktuálny odhad</w:t>
            </w:r>
          </w:p>
        </w:tc>
        <w:tc>
          <w:tcPr>
            <w:tcW w:w="10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both"/>
              <w:rPr>
                <w:rFonts w:ascii="Arial Narrow" w:hAnsi="Arial Narrow" w:cs="Arial Narrow"/>
                <w:b/>
                <w:bCs/>
                <w:sz w:val="16"/>
                <w:szCs w:val="16"/>
                <w:lang w:eastAsia="sk-SK"/>
              </w:rPr>
            </w:pPr>
            <w:r w:rsidRPr="002D099D">
              <w:rPr>
                <w:rFonts w:ascii="Arial Narrow" w:hAnsi="Arial Narrow" w:cs="Arial Narrow"/>
                <w:b/>
                <w:bCs/>
                <w:sz w:val="16"/>
                <w:szCs w:val="16"/>
                <w:lang w:eastAsia="sk-SK"/>
              </w:rPr>
              <w:t>Rozdiel v p.</w:t>
            </w:r>
            <w:r>
              <w:rPr>
                <w:rFonts w:ascii="Arial Narrow" w:hAnsi="Arial Narrow" w:cs="Arial Narrow"/>
                <w:b/>
                <w:bCs/>
                <w:sz w:val="16"/>
                <w:szCs w:val="16"/>
                <w:lang w:eastAsia="sk-SK"/>
              </w:rPr>
              <w:t xml:space="preserve"> </w:t>
            </w:r>
            <w:r w:rsidRPr="002D099D">
              <w:rPr>
                <w:rFonts w:ascii="Arial Narrow" w:hAnsi="Arial Narrow" w:cs="Arial Narrow"/>
                <w:b/>
                <w:bCs/>
                <w:sz w:val="16"/>
                <w:szCs w:val="16"/>
                <w:lang w:eastAsia="sk-SK"/>
              </w:rPr>
              <w:t>b.</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Hrubý domáci produkt,  reálny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1,9</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4,0</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2,1</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 xml:space="preserve">Hrubý domáci produkt v bežných cenách mld. </w:t>
            </w:r>
            <w:r>
              <w:rPr>
                <w:rFonts w:ascii="Arial Narrow" w:hAnsi="Arial Narrow" w:cs="Arial Narrow"/>
                <w:color w:val="000000"/>
                <w:sz w:val="16"/>
                <w:szCs w:val="16"/>
                <w:lang w:eastAsia="sk-SK"/>
              </w:rPr>
              <w:t>e</w:t>
            </w:r>
            <w:r w:rsidRPr="002D099D">
              <w:rPr>
                <w:rFonts w:ascii="Arial Narrow" w:hAnsi="Arial Narrow" w:cs="Arial Narrow"/>
                <w:color w:val="000000"/>
                <w:sz w:val="16"/>
                <w:szCs w:val="16"/>
                <w:lang w:eastAsia="sk-SK"/>
              </w:rPr>
              <w:t>ur</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67,4</w:t>
            </w:r>
          </w:p>
        </w:tc>
        <w:tc>
          <w:tcPr>
            <w:tcW w:w="1170"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65,9</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-1,5</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Konečná spotreba domácností a NISD,  reálny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1,5</w:t>
            </w:r>
          </w:p>
        </w:tc>
        <w:tc>
          <w:tcPr>
            <w:tcW w:w="1170"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-0,2</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-1,7</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Konečná spotreba domácností,  nominálny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4,5</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0,7</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-3,8</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Efektívny domáci dopyt, reálny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2,0</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0,4</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-1,6</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Priemerná mesačná mzda,  reálny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0,2</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1,1</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Priemerná mesačná mzda,  nominálny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3,4</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2,7</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-0,7</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Rast zamestnanosti (štatistické zisťovanie)</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0,2</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-1,1</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Index spotrebiteľských cien,  priemerný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3,2</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-1,8</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Export tovarov a služieb, reálny rast</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2,9</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13,2</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10,3</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Bilancia bežného účtu,  podiel na  HDP</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-5,2</w:t>
            </w: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-2,2</w:t>
            </w: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3,0</w:t>
            </w:r>
          </w:p>
        </w:tc>
      </w:tr>
      <w:tr>
        <w:tblPrEx>
          <w:tblW w:w="6888" w:type="dxa"/>
          <w:jc w:val="center"/>
          <w:tblCellMar>
            <w:left w:w="70" w:type="dxa"/>
            <w:right w:w="70" w:type="dxa"/>
          </w:tblCellMar>
          <w:tblLook w:val="00A0"/>
        </w:tblPrEx>
        <w:trPr>
          <w:trHeight w:val="255"/>
          <w:jc w:val="center"/>
        </w:trPr>
        <w:tc>
          <w:tcPr>
            <w:tcW w:w="3554"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rPr>
                <w:rFonts w:ascii="Arial Narrow" w:hAnsi="Arial Narrow" w:cs="Arial Narrow"/>
                <w:color w:val="000000"/>
                <w:sz w:val="16"/>
                <w:szCs w:val="16"/>
                <w:lang w:eastAsia="sk-SK"/>
              </w:rPr>
            </w:pP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c>
          <w:tcPr>
            <w:tcW w:w="1170"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c>
          <w:tcPr>
            <w:tcW w:w="109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spacing w:before="60"/>
              <w:jc w:val="center"/>
              <w:rPr>
                <w:rFonts w:ascii="Arial Narrow" w:hAnsi="Arial Narrow" w:cs="Arial Narrow"/>
                <w:color w:val="000000"/>
                <w:sz w:val="16"/>
                <w:szCs w:val="16"/>
                <w:lang w:eastAsia="sk-SK"/>
              </w:rPr>
            </w:pPr>
          </w:p>
        </w:tc>
      </w:tr>
      <w:tr>
        <w:tblPrEx>
          <w:tblW w:w="6888" w:type="dxa"/>
          <w:jc w:val="center"/>
          <w:tblCellMar>
            <w:left w:w="70" w:type="dxa"/>
            <w:right w:w="70" w:type="dxa"/>
          </w:tblCellMar>
          <w:tblLook w:val="00A0"/>
        </w:tblPrEx>
        <w:trPr>
          <w:trHeight w:val="255"/>
          <w:jc w:val="center"/>
        </w:trPr>
        <w:tc>
          <w:tcPr>
            <w:tcW w:w="6888" w:type="dxa"/>
            <w:gridSpan w:val="4"/>
            <w:tcBorders>
              <w:top w:val="single" w:sz="4" w:space="0" w:color="auto"/>
              <w:left w:val="nil"/>
              <w:bottom w:val="nil"/>
              <w:right w:val="nil"/>
            </w:tcBorders>
            <w:textDirection w:val="lrTb"/>
            <w:vAlign w:val="bottom"/>
          </w:tcPr>
          <w:p w:rsidR="00A1281C" w:rsidRPr="002D099D" w:rsidP="006740C3">
            <w:pPr>
              <w:bidi w:val="0"/>
              <w:jc w:val="right"/>
              <w:rPr>
                <w:rFonts w:ascii="Arial Narrow" w:hAnsi="Arial Narrow" w:cs="Arial Narrow"/>
                <w:i/>
                <w:iCs/>
                <w:color w:val="000000"/>
                <w:sz w:val="16"/>
                <w:szCs w:val="16"/>
                <w:lang w:eastAsia="sk-SK"/>
              </w:rPr>
            </w:pPr>
            <w:r w:rsidRPr="002D099D">
              <w:rPr>
                <w:rFonts w:ascii="Arial Narrow" w:hAnsi="Arial Narrow" w:cs="Arial Narrow"/>
                <w:i/>
                <w:iCs/>
                <w:color w:val="000000"/>
                <w:sz w:val="16"/>
                <w:szCs w:val="16"/>
                <w:lang w:eastAsia="sk-SK"/>
              </w:rPr>
              <w:t>Zdroj: MF SR</w:t>
            </w:r>
          </w:p>
        </w:tc>
      </w:tr>
    </w:tbl>
    <w:p w:rsidR="00A1281C" w:rsidRPr="00C85B85" w:rsidP="00A1281C">
      <w:pPr>
        <w:pStyle w:val="Heading2"/>
        <w:keepLines/>
        <w:widowControl w:val="0"/>
        <w:bidi w:val="0"/>
        <w:rPr>
          <w:rFonts w:ascii="Arial Narrow" w:hAnsi="Arial Narrow" w:cs="Arial Narrow"/>
          <w:i w:val="0"/>
          <w:iCs w:val="0"/>
          <w:sz w:val="24"/>
          <w:szCs w:val="24"/>
        </w:rPr>
      </w:pPr>
      <w:bookmarkStart w:id="17" w:name="_Toc273979610"/>
      <w:bookmarkEnd w:id="15"/>
      <w:bookmarkEnd w:id="16"/>
      <w:r w:rsidRPr="00C85B85">
        <w:rPr>
          <w:rFonts w:ascii="Arial Narrow" w:hAnsi="Arial Narrow" w:cs="Arial Narrow"/>
          <w:i w:val="0"/>
          <w:iCs w:val="0"/>
          <w:sz w:val="24"/>
          <w:szCs w:val="24"/>
        </w:rPr>
        <w:t>1.2 Makroekonomické rámce zostave</w:t>
      </w:r>
      <w:r>
        <w:rPr>
          <w:rFonts w:ascii="Arial Narrow" w:hAnsi="Arial Narrow" w:cs="Arial Narrow"/>
          <w:i w:val="0"/>
          <w:iCs w:val="0"/>
          <w:sz w:val="24"/>
          <w:szCs w:val="24"/>
        </w:rPr>
        <w:t>nia návrhu rozpočtu na roky 2011</w:t>
      </w:r>
      <w:r w:rsidRPr="00BD1713">
        <w:rPr>
          <w:rFonts w:ascii="Arial Narrow" w:hAnsi="Arial Narrow" w:cs="Arial Narrow"/>
          <w:i w:val="0"/>
          <w:iCs w:val="0"/>
          <w:sz w:val="24"/>
          <w:szCs w:val="24"/>
        </w:rPr>
        <w:t xml:space="preserve"> až 201</w:t>
      </w:r>
      <w:r>
        <w:rPr>
          <w:rFonts w:ascii="Arial Narrow" w:hAnsi="Arial Narrow" w:cs="Arial Narrow"/>
          <w:i w:val="0"/>
          <w:iCs w:val="0"/>
          <w:sz w:val="24"/>
          <w:szCs w:val="24"/>
        </w:rPr>
        <w:t>3</w:t>
      </w:r>
      <w:bookmarkEnd w:id="17"/>
      <w:r>
        <w:rPr>
          <w:rFonts w:ascii="Arial Narrow" w:hAnsi="Arial Narrow" w:cs="Arial Narrow"/>
          <w:i w:val="0"/>
          <w:iCs w:val="0"/>
          <w:sz w:val="24"/>
          <w:szCs w:val="24"/>
        </w:rPr>
        <w:t xml:space="preserve"> </w:t>
      </w:r>
    </w:p>
    <w:p w:rsidR="00A1281C" w:rsidP="00A1281C">
      <w:pPr>
        <w:keepNext/>
        <w:keepLines/>
        <w:widowControl w:val="0"/>
        <w:bidi w:val="0"/>
        <w:ind w:firstLine="708"/>
        <w:jc w:val="both"/>
        <w:rPr>
          <w:rFonts w:ascii="Arial Narrow" w:hAnsi="Arial Narrow" w:cs="Arial Narrow"/>
          <w:sz w:val="22"/>
          <w:szCs w:val="22"/>
        </w:rPr>
      </w:pPr>
    </w:p>
    <w:p w:rsidR="00A1281C" w:rsidP="00A1281C">
      <w:pPr>
        <w:keepNext/>
        <w:keepLines/>
        <w:widowControl w:val="0"/>
        <w:bidi w:val="0"/>
        <w:ind w:firstLine="708"/>
        <w:jc w:val="both"/>
        <w:rPr>
          <w:rFonts w:ascii="Arial Narrow" w:hAnsi="Arial Narrow" w:cs="Arial Narrow"/>
          <w:sz w:val="22"/>
          <w:szCs w:val="22"/>
        </w:rPr>
      </w:pPr>
      <w:r>
        <w:rPr>
          <w:rFonts w:ascii="Arial Narrow" w:hAnsi="Arial Narrow" w:cs="Arial Narrow"/>
          <w:sz w:val="22"/>
          <w:szCs w:val="22"/>
        </w:rPr>
        <w:t xml:space="preserve">Napriek lepšej ako očakávanej situácii v tomto roku predovšetkým v Nemecku, </w:t>
      </w:r>
      <w:r w:rsidRPr="003F222A">
        <w:rPr>
          <w:rFonts w:ascii="Arial Narrow" w:hAnsi="Arial Narrow" w:cs="Arial Narrow"/>
          <w:b/>
          <w:bCs/>
          <w:sz w:val="22"/>
          <w:szCs w:val="22"/>
        </w:rPr>
        <w:t>ukazovatele ekonomického sentimentu</w:t>
      </w:r>
      <w:r>
        <w:rPr>
          <w:rFonts w:ascii="Arial Narrow" w:hAnsi="Arial Narrow" w:cs="Arial Narrow"/>
          <w:sz w:val="22"/>
          <w:szCs w:val="22"/>
        </w:rPr>
        <w:t xml:space="preserve"> v časti očakávania (OECD, PMI, alebo nemecké </w:t>
      </w:r>
      <w:r w:rsidRPr="00A8609F">
        <w:rPr>
          <w:rFonts w:ascii="Arial Narrow" w:hAnsi="Arial Narrow" w:cs="Arial Narrow"/>
          <w:sz w:val="22"/>
          <w:szCs w:val="22"/>
        </w:rPr>
        <w:t>IFO</w:t>
      </w:r>
      <w:r>
        <w:rPr>
          <w:rFonts w:ascii="Arial Narrow" w:hAnsi="Arial Narrow" w:cs="Arial Narrow"/>
          <w:sz w:val="22"/>
          <w:szCs w:val="22"/>
        </w:rPr>
        <w:t xml:space="preserve"> a ZEW</w:t>
      </w:r>
      <w:r w:rsidRPr="00A8609F">
        <w:rPr>
          <w:rFonts w:ascii="Arial Narrow" w:hAnsi="Arial Narrow" w:cs="Arial Narrow"/>
          <w:sz w:val="22"/>
          <w:szCs w:val="22"/>
        </w:rPr>
        <w:t xml:space="preserve">) </w:t>
      </w:r>
      <w:r w:rsidRPr="003F222A">
        <w:rPr>
          <w:rFonts w:ascii="Arial Narrow" w:hAnsi="Arial Narrow" w:cs="Arial Narrow"/>
          <w:b/>
          <w:bCs/>
          <w:sz w:val="22"/>
          <w:szCs w:val="22"/>
        </w:rPr>
        <w:t xml:space="preserve">naznačujú spomaľovanie </w:t>
      </w:r>
      <w:r>
        <w:rPr>
          <w:rFonts w:ascii="Arial Narrow" w:hAnsi="Arial Narrow" w:cs="Arial Narrow"/>
          <w:b/>
          <w:bCs/>
          <w:sz w:val="22"/>
          <w:szCs w:val="22"/>
        </w:rPr>
        <w:t xml:space="preserve">dynamiky </w:t>
      </w:r>
      <w:r w:rsidRPr="003F222A">
        <w:rPr>
          <w:rFonts w:ascii="Arial Narrow" w:hAnsi="Arial Narrow" w:cs="Arial Narrow"/>
          <w:b/>
          <w:bCs/>
          <w:sz w:val="22"/>
          <w:szCs w:val="22"/>
        </w:rPr>
        <w:t xml:space="preserve">rastu ku koncu </w:t>
      </w:r>
      <w:r>
        <w:rPr>
          <w:rFonts w:ascii="Arial Narrow" w:hAnsi="Arial Narrow" w:cs="Arial Narrow"/>
          <w:b/>
          <w:bCs/>
          <w:sz w:val="22"/>
          <w:szCs w:val="22"/>
        </w:rPr>
        <w:t xml:space="preserve">roka </w:t>
      </w:r>
      <w:r w:rsidRPr="003F222A">
        <w:rPr>
          <w:rFonts w:ascii="Arial Narrow" w:hAnsi="Arial Narrow" w:cs="Arial Narrow"/>
          <w:b/>
          <w:bCs/>
          <w:sz w:val="22"/>
          <w:szCs w:val="22"/>
        </w:rPr>
        <w:t xml:space="preserve">2011 a začiatkom </w:t>
      </w:r>
      <w:r>
        <w:rPr>
          <w:rFonts w:ascii="Arial Narrow" w:hAnsi="Arial Narrow" w:cs="Arial Narrow"/>
          <w:b/>
          <w:bCs/>
          <w:sz w:val="22"/>
          <w:szCs w:val="22"/>
        </w:rPr>
        <w:t xml:space="preserve">roka </w:t>
      </w:r>
      <w:r w:rsidRPr="003F222A">
        <w:rPr>
          <w:rFonts w:ascii="Arial Narrow" w:hAnsi="Arial Narrow" w:cs="Arial Narrow"/>
          <w:b/>
          <w:bCs/>
          <w:sz w:val="22"/>
          <w:szCs w:val="22"/>
        </w:rPr>
        <w:t>2012</w:t>
      </w:r>
      <w:r>
        <w:rPr>
          <w:rFonts w:ascii="Arial Narrow" w:hAnsi="Arial Narrow" w:cs="Arial Narrow"/>
          <w:sz w:val="22"/>
          <w:szCs w:val="22"/>
        </w:rPr>
        <w:t xml:space="preserve">. Situácia sa výraznejšie komplikuje v súčasnosti v USA, kde doterajšie ekonomické oživenie neprinieslo pokles nezamestnanosti. Preto americká centrálna banka sa zamýšľa nad dodatočným menovým stimulom a prebieha diskusia o dvojitej recesii vo vyspelých ekonomikách. </w:t>
      </w:r>
      <w:r w:rsidRPr="00AD5CD1">
        <w:rPr>
          <w:rFonts w:ascii="Arial Narrow" w:hAnsi="Arial Narrow" w:cs="Arial Narrow"/>
          <w:b/>
          <w:bCs/>
          <w:sz w:val="22"/>
          <w:szCs w:val="22"/>
        </w:rPr>
        <w:t>Naša prognóza nepredpokladá scenár dvojitej recesie</w:t>
      </w:r>
      <w:r>
        <w:rPr>
          <w:rFonts w:ascii="Arial Narrow" w:hAnsi="Arial Narrow" w:cs="Arial Narrow"/>
          <w:sz w:val="22"/>
          <w:szCs w:val="22"/>
        </w:rPr>
        <w:t xml:space="preserve">, ale len  spomalenie rastu v budúcom roku. </w:t>
      </w:r>
      <w:r w:rsidRPr="00AD5CD1">
        <w:rPr>
          <w:rFonts w:ascii="Arial Narrow" w:hAnsi="Arial Narrow" w:cs="Arial Narrow"/>
          <w:b/>
          <w:bCs/>
          <w:sz w:val="22"/>
          <w:szCs w:val="22"/>
        </w:rPr>
        <w:t>To ostáva hlavným rizikom prognózy.</w:t>
      </w:r>
    </w:p>
    <w:p w:rsidR="00A1281C" w:rsidP="00A1281C">
      <w:pPr>
        <w:keepNext/>
        <w:keepLines/>
        <w:widowControl w:val="0"/>
        <w:bidi w:val="0"/>
        <w:ind w:firstLine="708"/>
        <w:jc w:val="both"/>
        <w:rPr>
          <w:rFonts w:ascii="Arial Narrow" w:hAnsi="Arial Narrow" w:cs="Arial Narrow"/>
          <w:sz w:val="22"/>
          <w:szCs w:val="22"/>
        </w:rPr>
      </w:pPr>
    </w:p>
    <w:p w:rsidR="00A1281C" w:rsidP="00A1281C">
      <w:pPr>
        <w:keepNext/>
        <w:keepLines/>
        <w:widowControl w:val="0"/>
        <w:bidi w:val="0"/>
        <w:ind w:firstLine="708"/>
        <w:jc w:val="both"/>
        <w:rPr>
          <w:rFonts w:ascii="Arial Narrow" w:hAnsi="Arial Narrow" w:cs="Arial Narrow"/>
          <w:sz w:val="22"/>
          <w:szCs w:val="22"/>
        </w:rPr>
      </w:pPr>
      <w:r w:rsidRPr="003F222A">
        <w:rPr>
          <w:rFonts w:ascii="Arial Narrow" w:hAnsi="Arial Narrow" w:cs="Arial Narrow"/>
          <w:b/>
          <w:bCs/>
          <w:sz w:val="22"/>
          <w:szCs w:val="22"/>
        </w:rPr>
        <w:t>Spomaľovanie rastu v budúcom roku je však prirodzené, nakoľko fi</w:t>
      </w:r>
      <w:r w:rsidR="006C1CA5">
        <w:rPr>
          <w:rFonts w:ascii="Arial Narrow" w:hAnsi="Arial Narrow" w:cs="Arial Narrow"/>
          <w:b/>
          <w:bCs/>
          <w:sz w:val="22"/>
          <w:szCs w:val="22"/>
        </w:rPr>
        <w:t>š</w:t>
      </w:r>
      <w:r w:rsidRPr="003F222A">
        <w:rPr>
          <w:rFonts w:ascii="Arial Narrow" w:hAnsi="Arial Narrow" w:cs="Arial Narrow"/>
          <w:b/>
          <w:bCs/>
          <w:sz w:val="22"/>
          <w:szCs w:val="22"/>
        </w:rPr>
        <w:t>kálne stimuly nemôžu byť poskytované v doterajšej miere kvôli nárastom</w:t>
      </w:r>
      <w:r>
        <w:rPr>
          <w:rFonts w:ascii="Arial Narrow" w:hAnsi="Arial Narrow" w:cs="Arial Narrow"/>
          <w:sz w:val="22"/>
          <w:szCs w:val="22"/>
        </w:rPr>
        <w:t xml:space="preserve"> </w:t>
      </w:r>
      <w:r w:rsidRPr="003F222A">
        <w:rPr>
          <w:rFonts w:ascii="Arial Narrow" w:hAnsi="Arial Narrow" w:cs="Arial Narrow"/>
          <w:b/>
          <w:bCs/>
          <w:sz w:val="22"/>
          <w:szCs w:val="22"/>
        </w:rPr>
        <w:t>verejných dlhov</w:t>
      </w:r>
      <w:r>
        <w:rPr>
          <w:rFonts w:ascii="Arial Narrow" w:hAnsi="Arial Narrow" w:cs="Arial Narrow"/>
          <w:sz w:val="22"/>
          <w:szCs w:val="22"/>
        </w:rPr>
        <w:t>. Eurozóna bude v budúcom roku šetriť viac, nakoľko v niektorých krajinách je táto potreba</w:t>
      </w:r>
      <w:r w:rsidR="006C1CA5">
        <w:rPr>
          <w:rFonts w:ascii="Arial Narrow" w:hAnsi="Arial Narrow" w:cs="Arial Narrow"/>
          <w:sz w:val="22"/>
          <w:szCs w:val="22"/>
        </w:rPr>
        <w:t xml:space="preserve"> </w:t>
      </w:r>
      <w:r>
        <w:rPr>
          <w:rFonts w:ascii="Arial Narrow" w:hAnsi="Arial Narrow" w:cs="Arial Narrow"/>
          <w:sz w:val="22"/>
          <w:szCs w:val="22"/>
        </w:rPr>
        <w:t>už vynucovaná situáciou na finančných trhoch. Šetrenie bude prebiehať aj u našich dvoch hlavných obchodných partnerov Nemecka a ČR. V prípade Nemecka bude však konsolidačné úsilie pozvoľné, nakoľko deficit nestúpol až tak výrazne a krajina má status bezpečnej investície v rámci štátnych dlhopisov eurozóny.</w:t>
      </w:r>
    </w:p>
    <w:p w:rsidR="00A1281C" w:rsidP="00A1281C">
      <w:pPr>
        <w:keepNext/>
        <w:keepLines/>
        <w:widowControl w:val="0"/>
        <w:bidi w:val="0"/>
        <w:ind w:firstLine="708"/>
        <w:jc w:val="both"/>
        <w:rPr>
          <w:rFonts w:ascii="Arial Narrow" w:hAnsi="Arial Narrow" w:cs="Arial Narrow"/>
          <w:sz w:val="22"/>
          <w:szCs w:val="22"/>
        </w:rPr>
      </w:pPr>
    </w:p>
    <w:p w:rsidR="00A1281C" w:rsidP="00A1281C">
      <w:pPr>
        <w:keepNext/>
        <w:keepLines/>
        <w:widowControl w:val="0"/>
        <w:bidi w:val="0"/>
        <w:ind w:firstLine="708"/>
        <w:jc w:val="both"/>
        <w:rPr>
          <w:rFonts w:ascii="Arial Narrow" w:hAnsi="Arial Narrow" w:cs="Arial Narrow"/>
          <w:sz w:val="22"/>
          <w:szCs w:val="22"/>
        </w:rPr>
      </w:pPr>
      <w:r w:rsidRPr="00D230B2">
        <w:rPr>
          <w:rFonts w:ascii="Arial Narrow" w:hAnsi="Arial Narrow" w:cs="Arial Narrow"/>
          <w:b/>
          <w:bCs/>
          <w:sz w:val="22"/>
          <w:szCs w:val="22"/>
        </w:rPr>
        <w:t>Časť poklesu dynamiky zahraničného dopytu však bude na Slovensku tlmená spustením nových investícií</w:t>
      </w:r>
      <w:r>
        <w:rPr>
          <w:rFonts w:ascii="Arial Narrow" w:hAnsi="Arial Narrow" w:cs="Arial Narrow"/>
          <w:sz w:val="22"/>
          <w:szCs w:val="22"/>
        </w:rPr>
        <w:t xml:space="preserve"> v automobilovom a elektrotechnickom priemysle (VW, AU Optronics a bývalé Sony) v prípade, že sa tieto výrobky budú vedieť presadiť na trhu. </w:t>
      </w:r>
    </w:p>
    <w:p w:rsidR="00A1281C" w:rsidP="00A1281C">
      <w:pPr>
        <w:keepNext/>
        <w:keepLines/>
        <w:widowControl w:val="0"/>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FE57CA">
        <w:rPr>
          <w:rFonts w:ascii="Arial Narrow" w:hAnsi="Arial Narrow" w:cs="Arial Narrow"/>
          <w:sz w:val="22"/>
          <w:szCs w:val="22"/>
        </w:rPr>
        <w:t>V úvode roka 2011 sa predpokladá rast regulovaných cien plynu, tepla</w:t>
      </w:r>
      <w:r>
        <w:rPr>
          <w:rFonts w:ascii="Arial Narrow" w:hAnsi="Arial Narrow" w:cs="Arial Narrow"/>
          <w:sz w:val="22"/>
          <w:szCs w:val="22"/>
        </w:rPr>
        <w:t xml:space="preserve"> </w:t>
      </w:r>
      <w:r w:rsidRPr="00FE57CA">
        <w:rPr>
          <w:rFonts w:ascii="Arial Narrow" w:hAnsi="Arial Narrow" w:cs="Arial Narrow"/>
          <w:sz w:val="22"/>
          <w:szCs w:val="22"/>
        </w:rPr>
        <w:t xml:space="preserve">a elektriny v dôsledku </w:t>
      </w:r>
      <w:r>
        <w:rPr>
          <w:rFonts w:ascii="Arial Narrow" w:hAnsi="Arial Narrow" w:cs="Arial Narrow"/>
          <w:sz w:val="22"/>
          <w:szCs w:val="22"/>
        </w:rPr>
        <w:t xml:space="preserve">pozvoľného </w:t>
      </w:r>
      <w:r w:rsidRPr="00FE57CA">
        <w:rPr>
          <w:rFonts w:ascii="Arial Narrow" w:hAnsi="Arial Narrow" w:cs="Arial Narrow"/>
          <w:sz w:val="22"/>
          <w:szCs w:val="22"/>
        </w:rPr>
        <w:t>rastu cien ropy a posilnenia kurzu USD</w:t>
      </w:r>
      <w:r>
        <w:rPr>
          <w:rFonts w:ascii="Arial Narrow" w:hAnsi="Arial Narrow" w:cs="Arial Narrow"/>
          <w:sz w:val="22"/>
          <w:szCs w:val="22"/>
        </w:rPr>
        <w:t xml:space="preserve"> a </w:t>
      </w:r>
      <w:r w:rsidRPr="006B56C8">
        <w:rPr>
          <w:rFonts w:ascii="Arial Narrow" w:hAnsi="Arial Narrow" w:cs="Arial Narrow"/>
          <w:sz w:val="22"/>
          <w:szCs w:val="22"/>
        </w:rPr>
        <w:t xml:space="preserve">zavedením poplatku na likvidáciu jadrových palív. Už záverom tohto roka bude takisto dochádzať k nárastu cien potravín z dôvodu zlej úrody na globálnej úrovni, ktorá spôsobuje výrazný nárast </w:t>
      </w:r>
      <w:r>
        <w:rPr>
          <w:rFonts w:ascii="Arial Narrow" w:hAnsi="Arial Narrow" w:cs="Arial Narrow"/>
          <w:sz w:val="22"/>
          <w:szCs w:val="22"/>
        </w:rPr>
        <w:t xml:space="preserve">cien </w:t>
      </w:r>
      <w:r w:rsidRPr="006B56C8">
        <w:rPr>
          <w:rFonts w:ascii="Arial Narrow" w:hAnsi="Arial Narrow" w:cs="Arial Narrow"/>
          <w:sz w:val="22"/>
          <w:szCs w:val="22"/>
        </w:rPr>
        <w:t>potravinových komodít v tomto roku. Ceny pšenice na svetových burzách vzrástli v septembri medziročne o</w:t>
      </w:r>
      <w:r>
        <w:rPr>
          <w:rFonts w:ascii="Arial Narrow" w:hAnsi="Arial Narrow" w:cs="Arial Narrow"/>
          <w:sz w:val="22"/>
          <w:szCs w:val="22"/>
        </w:rPr>
        <w:t> </w:t>
      </w:r>
      <w:r w:rsidRPr="006B56C8">
        <w:rPr>
          <w:rFonts w:ascii="Arial Narrow" w:hAnsi="Arial Narrow" w:cs="Arial Narrow"/>
          <w:sz w:val="22"/>
          <w:szCs w:val="22"/>
        </w:rPr>
        <w:t>57</w:t>
      </w:r>
      <w:r>
        <w:rPr>
          <w:rFonts w:ascii="Arial Narrow" w:hAnsi="Arial Narrow" w:cs="Arial Narrow"/>
          <w:sz w:val="22"/>
          <w:szCs w:val="22"/>
        </w:rPr>
        <w:t xml:space="preserve"> </w:t>
      </w:r>
      <w:r w:rsidRPr="006B56C8">
        <w:rPr>
          <w:rFonts w:ascii="Arial Narrow" w:hAnsi="Arial Narrow" w:cs="Arial Narrow"/>
          <w:sz w:val="22"/>
          <w:szCs w:val="22"/>
        </w:rPr>
        <w:t>% a mlieka o</w:t>
      </w:r>
      <w:r>
        <w:rPr>
          <w:rFonts w:ascii="Arial Narrow" w:hAnsi="Arial Narrow" w:cs="Arial Narrow"/>
          <w:sz w:val="22"/>
          <w:szCs w:val="22"/>
        </w:rPr>
        <w:t> </w:t>
      </w:r>
      <w:r w:rsidRPr="006B56C8">
        <w:rPr>
          <w:rFonts w:ascii="Arial Narrow" w:hAnsi="Arial Narrow" w:cs="Arial Narrow"/>
          <w:sz w:val="22"/>
          <w:szCs w:val="22"/>
        </w:rPr>
        <w:t>35</w:t>
      </w:r>
      <w:r>
        <w:rPr>
          <w:rFonts w:ascii="Arial Narrow" w:hAnsi="Arial Narrow" w:cs="Arial Narrow"/>
          <w:sz w:val="22"/>
          <w:szCs w:val="22"/>
        </w:rPr>
        <w:t xml:space="preserve"> </w:t>
      </w:r>
      <w:r w:rsidRPr="006B56C8">
        <w:rPr>
          <w:rFonts w:ascii="Arial Narrow" w:hAnsi="Arial Narrow" w:cs="Arial Narrow"/>
          <w:sz w:val="22"/>
          <w:szCs w:val="22"/>
        </w:rPr>
        <w:t>%.</w:t>
      </w:r>
      <w:r>
        <w:rPr>
          <w:rFonts w:ascii="Arial Narrow" w:hAnsi="Arial Narrow" w:cs="Arial Narrow"/>
          <w:sz w:val="22"/>
          <w:szCs w:val="22"/>
        </w:rPr>
        <w:t xml:space="preserve"> </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DE262E">
        <w:rPr>
          <w:rFonts w:ascii="Arial Narrow" w:hAnsi="Arial Narrow" w:cs="Arial Narrow"/>
          <w:b/>
          <w:bCs/>
          <w:sz w:val="22"/>
          <w:szCs w:val="22"/>
        </w:rPr>
        <w:t>Z netrhových faktorov</w:t>
      </w:r>
      <w:r w:rsidRPr="00FE57CA">
        <w:rPr>
          <w:rFonts w:ascii="Arial Narrow" w:hAnsi="Arial Narrow" w:cs="Arial Narrow"/>
          <w:sz w:val="22"/>
          <w:szCs w:val="22"/>
        </w:rPr>
        <w:t xml:space="preserve"> sa na vyššej inflácii</w:t>
      </w:r>
      <w:r>
        <w:rPr>
          <w:rFonts w:ascii="Arial Narrow" w:hAnsi="Arial Narrow" w:cs="Arial Narrow"/>
          <w:sz w:val="22"/>
          <w:szCs w:val="22"/>
        </w:rPr>
        <w:t xml:space="preserve"> </w:t>
      </w:r>
      <w:r w:rsidRPr="00FE57CA">
        <w:rPr>
          <w:rFonts w:ascii="Arial Narrow" w:hAnsi="Arial Narrow" w:cs="Arial Narrow"/>
          <w:sz w:val="22"/>
          <w:szCs w:val="22"/>
        </w:rPr>
        <w:t xml:space="preserve">v roku 2011 prejaví </w:t>
      </w:r>
      <w:r>
        <w:rPr>
          <w:rFonts w:ascii="Arial Narrow" w:hAnsi="Arial Narrow" w:cs="Arial Narrow"/>
          <w:sz w:val="22"/>
          <w:szCs w:val="22"/>
        </w:rPr>
        <w:t xml:space="preserve">dočasné </w:t>
      </w:r>
      <w:r w:rsidRPr="00FE57CA">
        <w:rPr>
          <w:rFonts w:ascii="Arial Narrow" w:hAnsi="Arial Narrow" w:cs="Arial Narrow"/>
          <w:sz w:val="22"/>
          <w:szCs w:val="22"/>
        </w:rPr>
        <w:t>zvýšenie DPH na 20</w:t>
      </w:r>
      <w:r>
        <w:rPr>
          <w:rFonts w:ascii="Arial Narrow" w:hAnsi="Arial Narrow" w:cs="Arial Narrow"/>
          <w:sz w:val="22"/>
          <w:szCs w:val="22"/>
        </w:rPr>
        <w:t xml:space="preserve"> </w:t>
      </w:r>
      <w:r w:rsidRPr="00FE57CA">
        <w:rPr>
          <w:rFonts w:ascii="Arial Narrow" w:hAnsi="Arial Narrow" w:cs="Arial Narrow"/>
          <w:sz w:val="22"/>
          <w:szCs w:val="22"/>
        </w:rPr>
        <w:t>%, zvýšenie spotrebnej dane z piva a tabakových výrobkov a</w:t>
      </w:r>
      <w:r>
        <w:rPr>
          <w:rFonts w:ascii="Arial Narrow" w:hAnsi="Arial Narrow" w:cs="Arial Narrow"/>
          <w:sz w:val="22"/>
          <w:szCs w:val="22"/>
        </w:rPr>
        <w:t xml:space="preserve"> </w:t>
      </w:r>
      <w:r w:rsidRPr="00FE57CA">
        <w:rPr>
          <w:rFonts w:ascii="Arial Narrow" w:hAnsi="Arial Narrow" w:cs="Arial Narrow"/>
          <w:sz w:val="22"/>
          <w:szCs w:val="22"/>
        </w:rPr>
        <w:t>zároveň sa ruší daňové zvýhodnenie pre biopalivá, rušia sa daňové oslobodenia pri energetických</w:t>
      </w:r>
      <w:r>
        <w:rPr>
          <w:rFonts w:ascii="Arial Narrow" w:hAnsi="Arial Narrow" w:cs="Arial Narrow"/>
          <w:sz w:val="22"/>
          <w:szCs w:val="22"/>
        </w:rPr>
        <w:t xml:space="preserve"> </w:t>
      </w:r>
      <w:r w:rsidRPr="00FE57CA">
        <w:rPr>
          <w:rFonts w:ascii="Arial Narrow" w:hAnsi="Arial Narrow" w:cs="Arial Narrow"/>
          <w:sz w:val="22"/>
          <w:szCs w:val="22"/>
        </w:rPr>
        <w:t>daniach pre teplárne, zavádza sa poplatok pre štátne hmotné rezervy a likvidáciu jadrových palív a</w:t>
      </w:r>
      <w:r>
        <w:rPr>
          <w:rFonts w:ascii="Arial Narrow" w:hAnsi="Arial Narrow" w:cs="Arial Narrow"/>
          <w:sz w:val="22"/>
          <w:szCs w:val="22"/>
        </w:rPr>
        <w:t xml:space="preserve"> </w:t>
      </w:r>
      <w:r w:rsidRPr="00FE57CA">
        <w:rPr>
          <w:rFonts w:ascii="Arial Narrow" w:hAnsi="Arial Narrow" w:cs="Arial Narrow"/>
          <w:sz w:val="22"/>
          <w:szCs w:val="22"/>
        </w:rPr>
        <w:t xml:space="preserve">zvyšujú sa ceny diaľničných známok. </w:t>
      </w:r>
      <w:r>
        <w:rPr>
          <w:rFonts w:ascii="Arial Narrow" w:hAnsi="Arial Narrow" w:cs="Arial Narrow"/>
          <w:sz w:val="22"/>
          <w:szCs w:val="22"/>
        </w:rPr>
        <w:t xml:space="preserve">V budúcom roku predpokladáme stagnáciu (efektívneho) domáceho dopytu. </w:t>
      </w:r>
      <w:r w:rsidRPr="00FE57CA">
        <w:rPr>
          <w:rFonts w:ascii="Arial Narrow" w:hAnsi="Arial Narrow" w:cs="Arial Narrow"/>
          <w:sz w:val="22"/>
          <w:szCs w:val="22"/>
        </w:rPr>
        <w:t xml:space="preserve">Po zohľadnení nízkeho domáceho dopytu a konkurencie </w:t>
      </w:r>
      <w:r>
        <w:rPr>
          <w:rFonts w:ascii="Arial Narrow" w:hAnsi="Arial Narrow" w:cs="Arial Narrow"/>
          <w:sz w:val="22"/>
          <w:szCs w:val="22"/>
        </w:rPr>
        <w:t xml:space="preserve">sa </w:t>
      </w:r>
      <w:r w:rsidRPr="00FE57CA">
        <w:rPr>
          <w:rFonts w:ascii="Arial Narrow" w:hAnsi="Arial Narrow" w:cs="Arial Narrow"/>
          <w:sz w:val="22"/>
          <w:szCs w:val="22"/>
        </w:rPr>
        <w:t xml:space="preserve">pri </w:t>
      </w:r>
      <w:r>
        <w:rPr>
          <w:rFonts w:ascii="Arial Narrow" w:hAnsi="Arial Narrow" w:cs="Arial Narrow"/>
          <w:sz w:val="22"/>
          <w:szCs w:val="22"/>
        </w:rPr>
        <w:t>odhade</w:t>
      </w:r>
      <w:r w:rsidRPr="00FE57CA">
        <w:rPr>
          <w:rFonts w:ascii="Arial Narrow" w:hAnsi="Arial Narrow" w:cs="Arial Narrow"/>
          <w:sz w:val="22"/>
          <w:szCs w:val="22"/>
        </w:rPr>
        <w:t xml:space="preserve"> inflácie premietol </w:t>
      </w:r>
      <w:r w:rsidRPr="00DE262E">
        <w:rPr>
          <w:rFonts w:ascii="Arial Narrow" w:hAnsi="Arial Narrow" w:cs="Arial Narrow"/>
          <w:b/>
          <w:bCs/>
          <w:sz w:val="22"/>
          <w:szCs w:val="22"/>
        </w:rPr>
        <w:t>príspevok</w:t>
      </w:r>
      <w:r w:rsidRPr="00FE57CA">
        <w:rPr>
          <w:rFonts w:ascii="Arial Narrow" w:hAnsi="Arial Narrow" w:cs="Arial Narrow"/>
          <w:sz w:val="22"/>
          <w:szCs w:val="22"/>
        </w:rPr>
        <w:t xml:space="preserve"> </w:t>
      </w:r>
      <w:r>
        <w:rPr>
          <w:rFonts w:ascii="Arial Narrow" w:hAnsi="Arial Narrow" w:cs="Arial Narrow"/>
          <w:sz w:val="22"/>
          <w:szCs w:val="22"/>
        </w:rPr>
        <w:t xml:space="preserve">ozdravných opatrení </w:t>
      </w:r>
      <w:r w:rsidRPr="00FE57CA">
        <w:rPr>
          <w:rFonts w:ascii="Arial Narrow" w:hAnsi="Arial Narrow" w:cs="Arial Narrow"/>
          <w:sz w:val="22"/>
          <w:szCs w:val="22"/>
        </w:rPr>
        <w:t xml:space="preserve">v celkovej výške mierne </w:t>
      </w:r>
      <w:r w:rsidRPr="00B75413">
        <w:rPr>
          <w:rFonts w:ascii="Arial Narrow" w:hAnsi="Arial Narrow" w:cs="Arial Narrow"/>
          <w:b/>
          <w:bCs/>
          <w:sz w:val="22"/>
          <w:szCs w:val="22"/>
        </w:rPr>
        <w:t>pod 1</w:t>
      </w:r>
      <w:r>
        <w:rPr>
          <w:rFonts w:ascii="Arial Narrow" w:hAnsi="Arial Narrow" w:cs="Arial Narrow"/>
          <w:b/>
          <w:bCs/>
          <w:sz w:val="22"/>
          <w:szCs w:val="22"/>
        </w:rPr>
        <w:t xml:space="preserve"> %</w:t>
      </w:r>
      <w:r w:rsidRPr="00FE57CA">
        <w:rPr>
          <w:rFonts w:ascii="Arial Narrow" w:hAnsi="Arial Narrow" w:cs="Arial Narrow"/>
          <w:sz w:val="22"/>
          <w:szCs w:val="22"/>
        </w:rPr>
        <w:t>. Príspevok zvýšenia DPH k inflácii tak predstavuje 0,4</w:t>
      </w:r>
      <w:r>
        <w:rPr>
          <w:rFonts w:ascii="Arial Narrow" w:hAnsi="Arial Narrow" w:cs="Arial Narrow"/>
          <w:sz w:val="22"/>
          <w:szCs w:val="22"/>
        </w:rPr>
        <w:t xml:space="preserve"> %</w:t>
      </w:r>
      <w:r w:rsidRPr="00FE57CA">
        <w:rPr>
          <w:rFonts w:ascii="Arial Narrow" w:hAnsi="Arial Narrow" w:cs="Arial Narrow"/>
          <w:sz w:val="22"/>
          <w:szCs w:val="22"/>
        </w:rPr>
        <w:t>, spotrebné</w:t>
      </w:r>
      <w:r>
        <w:rPr>
          <w:rFonts w:ascii="Arial Narrow" w:hAnsi="Arial Narrow" w:cs="Arial Narrow"/>
          <w:sz w:val="22"/>
          <w:szCs w:val="22"/>
        </w:rPr>
        <w:t xml:space="preserve"> </w:t>
      </w:r>
      <w:r w:rsidRPr="00FE57CA">
        <w:rPr>
          <w:rFonts w:ascii="Arial Narrow" w:hAnsi="Arial Narrow" w:cs="Arial Narrow"/>
          <w:sz w:val="22"/>
          <w:szCs w:val="22"/>
        </w:rPr>
        <w:t>dane s ostatnými faktormi 0,6</w:t>
      </w:r>
      <w:r>
        <w:rPr>
          <w:rFonts w:ascii="Arial Narrow" w:hAnsi="Arial Narrow" w:cs="Arial Narrow"/>
          <w:sz w:val="22"/>
          <w:szCs w:val="22"/>
        </w:rPr>
        <w:t xml:space="preserve"> %</w:t>
      </w:r>
      <w:r w:rsidRPr="00FE57CA">
        <w:rPr>
          <w:rFonts w:ascii="Arial Narrow" w:hAnsi="Arial Narrow" w:cs="Arial Narrow"/>
          <w:sz w:val="22"/>
          <w:szCs w:val="22"/>
        </w:rPr>
        <w:t>.</w:t>
      </w:r>
      <w:r>
        <w:rPr>
          <w:rFonts w:ascii="Arial Narrow" w:hAnsi="Arial Narrow" w:cs="Arial Narrow"/>
          <w:sz w:val="22"/>
          <w:szCs w:val="22"/>
        </w:rPr>
        <w:t xml:space="preserve"> </w:t>
      </w:r>
      <w:r w:rsidRPr="00B75413">
        <w:rPr>
          <w:rFonts w:ascii="Arial Narrow" w:hAnsi="Arial Narrow" w:cs="Arial Narrow"/>
          <w:b/>
          <w:bCs/>
          <w:sz w:val="22"/>
          <w:szCs w:val="22"/>
        </w:rPr>
        <w:t>Index CPI sa aj v dôsledku uvedených jednorazových efektov zvýši v roku 2011 na 3,7</w:t>
      </w:r>
      <w:r>
        <w:rPr>
          <w:rFonts w:ascii="Arial Narrow" w:hAnsi="Arial Narrow" w:cs="Arial Narrow"/>
          <w:b/>
          <w:bCs/>
          <w:sz w:val="22"/>
          <w:szCs w:val="22"/>
        </w:rPr>
        <w:t xml:space="preserve"> </w:t>
      </w:r>
      <w:r w:rsidRPr="00B75413">
        <w:rPr>
          <w:rFonts w:ascii="Arial Narrow" w:hAnsi="Arial Narrow" w:cs="Arial Narrow"/>
          <w:b/>
          <w:bCs/>
          <w:sz w:val="22"/>
          <w:szCs w:val="22"/>
        </w:rPr>
        <w:t>%.</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6406D4">
        <w:rPr>
          <w:rFonts w:ascii="Arial Narrow" w:hAnsi="Arial Narrow" w:cs="Arial Narrow"/>
          <w:b/>
          <w:bCs/>
          <w:sz w:val="22"/>
          <w:szCs w:val="22"/>
        </w:rPr>
        <w:t>Medziročné zvýšenie inflácie je z 2/3 výsledkom globálneho nárastu cien energií</w:t>
      </w:r>
      <w:r>
        <w:rPr>
          <w:rFonts w:ascii="Arial Narrow" w:hAnsi="Arial Narrow" w:cs="Arial Narrow"/>
          <w:sz w:val="22"/>
          <w:szCs w:val="22"/>
        </w:rPr>
        <w:t xml:space="preserve"> (ekonomické oživenie) </w:t>
      </w:r>
      <w:r w:rsidRPr="006406D4">
        <w:rPr>
          <w:rFonts w:ascii="Arial Narrow" w:hAnsi="Arial Narrow" w:cs="Arial Narrow"/>
          <w:b/>
          <w:bCs/>
          <w:sz w:val="22"/>
          <w:szCs w:val="22"/>
        </w:rPr>
        <w:t xml:space="preserve">a potravín </w:t>
      </w:r>
      <w:r>
        <w:rPr>
          <w:rFonts w:ascii="Arial Narrow" w:hAnsi="Arial Narrow" w:cs="Arial Narrow"/>
          <w:sz w:val="22"/>
          <w:szCs w:val="22"/>
        </w:rPr>
        <w:t xml:space="preserve">(zlá úroda). </w:t>
      </w:r>
      <w:r w:rsidRPr="006406D4">
        <w:rPr>
          <w:rFonts w:ascii="Arial Narrow" w:hAnsi="Arial Narrow" w:cs="Arial Narrow"/>
          <w:b/>
          <w:bCs/>
          <w:sz w:val="22"/>
          <w:szCs w:val="22"/>
        </w:rPr>
        <w:t>Domáci balíček opatrení sa podieľa na zvýšení inflácie len 1/3</w:t>
      </w:r>
      <w:r>
        <w:rPr>
          <w:rFonts w:ascii="Arial Narrow" w:hAnsi="Arial Narrow" w:cs="Arial Narrow"/>
          <w:sz w:val="22"/>
          <w:szCs w:val="22"/>
        </w:rPr>
        <w:t xml:space="preserve">. </w:t>
      </w:r>
      <w:r w:rsidRPr="00A8609F">
        <w:rPr>
          <w:rFonts w:ascii="Arial Narrow" w:hAnsi="Arial Narrow" w:cs="Arial Narrow"/>
          <w:sz w:val="22"/>
          <w:szCs w:val="22"/>
        </w:rPr>
        <w:t>Po roku 201</w:t>
      </w:r>
      <w:r>
        <w:rPr>
          <w:rFonts w:ascii="Arial Narrow" w:hAnsi="Arial Narrow" w:cs="Arial Narrow"/>
          <w:sz w:val="22"/>
          <w:szCs w:val="22"/>
        </w:rPr>
        <w:t>1</w:t>
      </w:r>
      <w:r w:rsidRPr="00A8609F">
        <w:rPr>
          <w:rFonts w:ascii="Arial Narrow" w:hAnsi="Arial Narrow" w:cs="Arial Narrow"/>
          <w:sz w:val="22"/>
          <w:szCs w:val="22"/>
        </w:rPr>
        <w:t xml:space="preserve"> sa očakávajú vyššie hodnoty inflácie z </w:t>
      </w:r>
      <w:r>
        <w:rPr>
          <w:rFonts w:ascii="Arial Narrow" w:hAnsi="Arial Narrow" w:cs="Arial Narrow"/>
          <w:sz w:val="22"/>
          <w:szCs w:val="22"/>
        </w:rPr>
        <w:t>dôvodu</w:t>
      </w:r>
      <w:r w:rsidRPr="00A8609F">
        <w:rPr>
          <w:rFonts w:ascii="Arial Narrow" w:hAnsi="Arial Narrow" w:cs="Arial Narrow"/>
          <w:sz w:val="22"/>
          <w:szCs w:val="22"/>
        </w:rPr>
        <w:t xml:space="preserve"> rýchlejšej cenovej konvergencie Slovenska k cenovej úrovni EÚ pri absencii kurzového kanála</w:t>
      </w:r>
      <w:r>
        <w:rPr>
          <w:rFonts w:ascii="Arial Narrow" w:hAnsi="Arial Narrow" w:cs="Arial Narrow"/>
          <w:sz w:val="22"/>
          <w:szCs w:val="22"/>
        </w:rPr>
        <w:t xml:space="preserve"> (trendového posilňovania slovenskej koruny)</w:t>
      </w:r>
      <w:r w:rsidRPr="00A8609F">
        <w:rPr>
          <w:rFonts w:ascii="Arial Narrow" w:hAnsi="Arial Narrow" w:cs="Arial Narrow"/>
          <w:sz w:val="22"/>
          <w:szCs w:val="22"/>
        </w:rPr>
        <w:t>.</w:t>
      </w:r>
    </w:p>
    <w:p w:rsidR="00A1281C" w:rsidP="00A1281C">
      <w:pPr>
        <w:keepNext/>
        <w:keepLines/>
        <w:widowControl w:val="0"/>
        <w:bidi w:val="0"/>
        <w:ind w:firstLine="708"/>
        <w:jc w:val="both"/>
        <w:rPr>
          <w:rFonts w:ascii="Arial Narrow" w:hAnsi="Arial Narrow" w:cs="Arial Narrow"/>
          <w:sz w:val="22"/>
          <w:szCs w:val="22"/>
        </w:rPr>
      </w:pPr>
    </w:p>
    <w:p w:rsidR="00A1281C" w:rsidP="00A1281C">
      <w:pPr>
        <w:keepNext/>
        <w:keepLines/>
        <w:widowControl w:val="0"/>
        <w:bidi w:val="0"/>
        <w:ind w:firstLine="708"/>
        <w:jc w:val="both"/>
        <w:rPr>
          <w:rFonts w:ascii="Arial Narrow" w:hAnsi="Arial Narrow" w:cs="Arial Narrow"/>
          <w:sz w:val="22"/>
          <w:szCs w:val="22"/>
        </w:rPr>
      </w:pPr>
      <w:r w:rsidRPr="00D230B2">
        <w:rPr>
          <w:rFonts w:ascii="Arial Narrow" w:hAnsi="Arial Narrow" w:cs="Arial Narrow"/>
          <w:b/>
          <w:bCs/>
          <w:sz w:val="22"/>
          <w:szCs w:val="22"/>
        </w:rPr>
        <w:t>Celkový charakter makroekonomickej politiky bude v roku 2011 reštriktívny</w:t>
      </w:r>
      <w:r>
        <w:rPr>
          <w:rFonts w:ascii="Arial Narrow" w:hAnsi="Arial Narrow" w:cs="Arial Narrow"/>
          <w:sz w:val="22"/>
          <w:szCs w:val="22"/>
        </w:rPr>
        <w:t>. Boj s globálnou krízou a snaha podporiť rast a zamestnanosť v EÚ budú síce držať úrokové sadzby ECB na rekordne nízkych hodnotách okolo úrovne 1 %, v</w:t>
      </w:r>
      <w:r w:rsidRPr="009D2D4A">
        <w:rPr>
          <w:rFonts w:ascii="Arial Narrow" w:hAnsi="Arial Narrow" w:cs="Arial Narrow"/>
          <w:sz w:val="22"/>
          <w:szCs w:val="22"/>
        </w:rPr>
        <w:t xml:space="preserve">láda SR </w:t>
      </w:r>
      <w:r>
        <w:rPr>
          <w:rFonts w:ascii="Arial Narrow" w:hAnsi="Arial Narrow" w:cs="Arial Narrow"/>
          <w:sz w:val="22"/>
          <w:szCs w:val="22"/>
        </w:rPr>
        <w:t xml:space="preserve">však </w:t>
      </w:r>
      <w:r w:rsidRPr="009D2D4A">
        <w:rPr>
          <w:rFonts w:ascii="Arial Narrow" w:hAnsi="Arial Narrow" w:cs="Arial Narrow"/>
          <w:sz w:val="22"/>
          <w:szCs w:val="22"/>
        </w:rPr>
        <w:t>plánuje budúci rok znížiť deficit verejnej správy z tohtoročnej odhadovanej úrovne 7,8</w:t>
      </w:r>
      <w:r>
        <w:rPr>
          <w:rFonts w:ascii="Arial Narrow" w:hAnsi="Arial Narrow" w:cs="Arial Narrow"/>
          <w:sz w:val="22"/>
          <w:szCs w:val="22"/>
        </w:rPr>
        <w:t xml:space="preserve"> </w:t>
      </w:r>
      <w:r w:rsidRPr="009D2D4A">
        <w:rPr>
          <w:rFonts w:ascii="Arial Narrow" w:hAnsi="Arial Narrow" w:cs="Arial Narrow"/>
          <w:sz w:val="22"/>
          <w:szCs w:val="22"/>
        </w:rPr>
        <w:t>% HDP na 4,9</w:t>
      </w:r>
      <w:r>
        <w:rPr>
          <w:rFonts w:ascii="Arial Narrow" w:hAnsi="Arial Narrow" w:cs="Arial Narrow"/>
          <w:sz w:val="22"/>
          <w:szCs w:val="22"/>
        </w:rPr>
        <w:t xml:space="preserve"> </w:t>
      </w:r>
      <w:r w:rsidRPr="009D2D4A">
        <w:rPr>
          <w:rFonts w:ascii="Arial Narrow" w:hAnsi="Arial Narrow" w:cs="Arial Narrow"/>
          <w:sz w:val="22"/>
          <w:szCs w:val="22"/>
        </w:rPr>
        <w:t xml:space="preserve">%. Z hľadiska negatívneho dopadu na ekonomický rast bude výrazné zníženie deficitu tlmené očakávaným vyšším čerpaním EÚ fondov. </w:t>
      </w:r>
      <w:r>
        <w:rPr>
          <w:rFonts w:ascii="Arial Narrow" w:hAnsi="Arial Narrow" w:cs="Arial Narrow"/>
          <w:sz w:val="22"/>
          <w:szCs w:val="22"/>
        </w:rPr>
        <w:t>B</w:t>
      </w:r>
      <w:r w:rsidRPr="009D2D4A">
        <w:rPr>
          <w:rFonts w:ascii="Arial Narrow" w:hAnsi="Arial Narrow" w:cs="Arial Narrow"/>
          <w:sz w:val="22"/>
          <w:szCs w:val="22"/>
        </w:rPr>
        <w:t>ez fiškálnej konsolidácie by sa však zhoršili vyhliadky pre stabilný rast v nasledujúcom období.</w:t>
      </w:r>
      <w:r>
        <w:rPr>
          <w:rFonts w:ascii="Arial Narrow" w:hAnsi="Arial Narrow" w:cs="Arial Narrow"/>
          <w:sz w:val="22"/>
          <w:szCs w:val="22"/>
        </w:rPr>
        <w:t xml:space="preserve"> </w:t>
      </w:r>
      <w:r w:rsidRPr="00D230B2">
        <w:rPr>
          <w:rFonts w:ascii="Arial Narrow" w:hAnsi="Arial Narrow" w:cs="Arial Narrow"/>
          <w:b/>
          <w:bCs/>
          <w:sz w:val="22"/>
          <w:szCs w:val="22"/>
        </w:rPr>
        <w:t>Plánované fiškálne opatrenia</w:t>
      </w:r>
      <w:r w:rsidRPr="009D2D4A">
        <w:rPr>
          <w:rFonts w:ascii="Arial Narrow" w:hAnsi="Arial Narrow" w:cs="Arial Narrow"/>
          <w:sz w:val="22"/>
          <w:szCs w:val="22"/>
        </w:rPr>
        <w:t xml:space="preserve"> pri zlepšenom očakávanom čerpaní EÚ fondov </w:t>
      </w:r>
      <w:r w:rsidRPr="00D230B2">
        <w:rPr>
          <w:rFonts w:ascii="Arial Narrow" w:hAnsi="Arial Narrow" w:cs="Arial Narrow"/>
          <w:b/>
          <w:bCs/>
          <w:sz w:val="22"/>
          <w:szCs w:val="22"/>
        </w:rPr>
        <w:t>môž</w:t>
      </w:r>
      <w:r>
        <w:rPr>
          <w:rFonts w:ascii="Arial Narrow" w:hAnsi="Arial Narrow" w:cs="Arial Narrow"/>
          <w:b/>
          <w:bCs/>
          <w:sz w:val="22"/>
          <w:szCs w:val="22"/>
        </w:rPr>
        <w:t>u</w:t>
      </w:r>
      <w:r w:rsidRPr="00D230B2">
        <w:rPr>
          <w:rFonts w:ascii="Arial Narrow" w:hAnsi="Arial Narrow" w:cs="Arial Narrow"/>
          <w:b/>
          <w:bCs/>
          <w:sz w:val="22"/>
          <w:szCs w:val="22"/>
        </w:rPr>
        <w:t xml:space="preserve"> mať nepriaznivý krátkodobý dopad na ekonomický rast v roku 2011 na úrovni 0,5 p.</w:t>
      </w:r>
      <w:r>
        <w:rPr>
          <w:rFonts w:ascii="Arial Narrow" w:hAnsi="Arial Narrow" w:cs="Arial Narrow"/>
          <w:b/>
          <w:bCs/>
          <w:sz w:val="22"/>
          <w:szCs w:val="22"/>
        </w:rPr>
        <w:t xml:space="preserve"> </w:t>
      </w:r>
      <w:r w:rsidRPr="00D230B2">
        <w:rPr>
          <w:rFonts w:ascii="Arial Narrow" w:hAnsi="Arial Narrow" w:cs="Arial Narrow"/>
          <w:b/>
          <w:bCs/>
          <w:sz w:val="22"/>
          <w:szCs w:val="22"/>
        </w:rPr>
        <w:t>b</w:t>
      </w:r>
      <w:r w:rsidRPr="009D2D4A">
        <w:rPr>
          <w:rFonts w:ascii="Arial Narrow" w:hAnsi="Arial Narrow" w:cs="Arial Narrow"/>
          <w:sz w:val="22"/>
          <w:szCs w:val="22"/>
        </w:rPr>
        <w:t xml:space="preserve">. </w:t>
      </w:r>
      <w:r>
        <w:rPr>
          <w:rFonts w:ascii="Arial Narrow" w:hAnsi="Arial Narrow" w:cs="Arial Narrow"/>
          <w:sz w:val="22"/>
          <w:szCs w:val="22"/>
        </w:rPr>
        <w:t xml:space="preserve">Zvyšok poklesu bude daný slabším globálnym dopytom po našich výrobkoch. </w:t>
      </w:r>
    </w:p>
    <w:p w:rsidR="00A1281C" w:rsidRPr="00CF5D38" w:rsidP="00A1281C">
      <w:pPr>
        <w:bidi w:val="0"/>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b/>
          <w:bCs/>
          <w:sz w:val="22"/>
          <w:szCs w:val="22"/>
        </w:rPr>
        <w:t xml:space="preserve">Ozdravovanie verejných financií tak umožní </w:t>
      </w:r>
      <w:r w:rsidRPr="00B75413">
        <w:rPr>
          <w:rFonts w:ascii="Arial Narrow" w:hAnsi="Arial Narrow" w:cs="Arial Narrow"/>
          <w:b/>
          <w:bCs/>
          <w:sz w:val="22"/>
          <w:szCs w:val="22"/>
        </w:rPr>
        <w:t>opätovné zrýchlenie rastu až na úroveň 4,7</w:t>
      </w:r>
      <w:r>
        <w:rPr>
          <w:rFonts w:ascii="Arial Narrow" w:hAnsi="Arial Narrow" w:cs="Arial Narrow"/>
          <w:b/>
          <w:bCs/>
          <w:sz w:val="22"/>
          <w:szCs w:val="22"/>
        </w:rPr>
        <w:t xml:space="preserve"> </w:t>
      </w:r>
      <w:r w:rsidRPr="00B75413">
        <w:rPr>
          <w:rFonts w:ascii="Arial Narrow" w:hAnsi="Arial Narrow" w:cs="Arial Narrow"/>
          <w:b/>
          <w:bCs/>
          <w:sz w:val="22"/>
          <w:szCs w:val="22"/>
        </w:rPr>
        <w:t>% v roku 2013</w:t>
      </w:r>
      <w:r>
        <w:rPr>
          <w:rFonts w:ascii="Arial Narrow" w:hAnsi="Arial Narrow" w:cs="Arial Narrow"/>
          <w:sz w:val="22"/>
          <w:szCs w:val="22"/>
        </w:rPr>
        <w:t xml:space="preserve">. Rast bude ťahaný aj rastom exportov, aj zlepšujúcou sa situáciou na trhu práce. </w:t>
      </w:r>
      <w:r w:rsidRPr="003F188E">
        <w:rPr>
          <w:rFonts w:ascii="Arial Narrow" w:hAnsi="Arial Narrow" w:cs="Arial Narrow"/>
          <w:sz w:val="22"/>
          <w:szCs w:val="22"/>
        </w:rPr>
        <w:t xml:space="preserve">Zvyšovanie produktivity práce zároveň vytvorí </w:t>
      </w:r>
      <w:r w:rsidRPr="00B75413">
        <w:rPr>
          <w:rFonts w:ascii="Arial Narrow" w:hAnsi="Arial Narrow" w:cs="Arial Narrow"/>
          <w:b/>
          <w:bCs/>
          <w:sz w:val="22"/>
          <w:szCs w:val="22"/>
        </w:rPr>
        <w:t>priestor pre rýchlejší rast reálnej mzdy</w:t>
      </w:r>
      <w:r w:rsidRPr="003F188E">
        <w:rPr>
          <w:rFonts w:ascii="Arial Narrow" w:hAnsi="Arial Narrow" w:cs="Arial Narrow"/>
          <w:sz w:val="22"/>
          <w:szCs w:val="22"/>
        </w:rPr>
        <w:t>.</w:t>
      </w:r>
      <w:r>
        <w:rPr>
          <w:rFonts w:ascii="Arial Narrow" w:hAnsi="Arial Narrow" w:cs="Arial Narrow"/>
          <w:sz w:val="22"/>
          <w:szCs w:val="22"/>
        </w:rPr>
        <w:t xml:space="preserve"> Tempo</w:t>
      </w:r>
      <w:r w:rsidRPr="00351D57">
        <w:rPr>
          <w:rFonts w:ascii="Arial Narrow" w:hAnsi="Arial Narrow" w:cs="Arial Narrow"/>
          <w:sz w:val="22"/>
          <w:szCs w:val="22"/>
        </w:rPr>
        <w:t xml:space="preserve"> </w:t>
      </w:r>
      <w:r>
        <w:rPr>
          <w:rFonts w:ascii="Arial Narrow" w:hAnsi="Arial Narrow" w:cs="Arial Narrow"/>
          <w:sz w:val="22"/>
          <w:szCs w:val="22"/>
        </w:rPr>
        <w:t xml:space="preserve">rastu </w:t>
      </w:r>
      <w:r w:rsidRPr="00351D57">
        <w:rPr>
          <w:rFonts w:ascii="Arial Narrow" w:hAnsi="Arial Narrow" w:cs="Arial Narrow"/>
          <w:sz w:val="22"/>
          <w:szCs w:val="22"/>
        </w:rPr>
        <w:t xml:space="preserve">však bude v sledovanom horizonte v dôsledku krízy slabšie ako sa pre toto obdobie </w:t>
      </w:r>
      <w:r>
        <w:rPr>
          <w:rFonts w:ascii="Arial Narrow" w:hAnsi="Arial Narrow" w:cs="Arial Narrow"/>
          <w:sz w:val="22"/>
          <w:szCs w:val="22"/>
        </w:rPr>
        <w:t>predpokladalo</w:t>
      </w:r>
      <w:r w:rsidRPr="00351D57">
        <w:rPr>
          <w:rFonts w:ascii="Arial Narrow" w:hAnsi="Arial Narrow" w:cs="Arial Narrow"/>
          <w:sz w:val="22"/>
          <w:szCs w:val="22"/>
        </w:rPr>
        <w:t xml:space="preserve"> pred vypuknutím krízy. </w:t>
      </w:r>
      <w:r>
        <w:rPr>
          <w:rFonts w:ascii="Arial Narrow" w:hAnsi="Arial Narrow" w:cs="Arial Narrow"/>
          <w:sz w:val="22"/>
          <w:szCs w:val="22"/>
        </w:rPr>
        <w:t xml:space="preserve">Nezamestnanosť </w:t>
      </w:r>
      <w:r w:rsidRPr="00B75413">
        <w:rPr>
          <w:rFonts w:ascii="Arial Narrow" w:hAnsi="Arial Narrow" w:cs="Arial Narrow"/>
          <w:b/>
          <w:bCs/>
          <w:sz w:val="22"/>
          <w:szCs w:val="22"/>
        </w:rPr>
        <w:t>by tak mohla poklesnúť k úrovni 12,4</w:t>
      </w:r>
      <w:r>
        <w:rPr>
          <w:rFonts w:ascii="Arial Narrow" w:hAnsi="Arial Narrow" w:cs="Arial Narrow"/>
          <w:b/>
          <w:bCs/>
          <w:sz w:val="22"/>
          <w:szCs w:val="22"/>
        </w:rPr>
        <w:t xml:space="preserve"> </w:t>
      </w:r>
      <w:r w:rsidRPr="00B75413">
        <w:rPr>
          <w:rFonts w:ascii="Arial Narrow" w:hAnsi="Arial Narrow" w:cs="Arial Narrow"/>
          <w:b/>
          <w:bCs/>
          <w:sz w:val="22"/>
          <w:szCs w:val="22"/>
        </w:rPr>
        <w:t>% koncom prognózovaného obdobia.</w:t>
      </w:r>
    </w:p>
    <w:p w:rsidR="00A1281C" w:rsidP="00A1281C">
      <w:pPr>
        <w:pStyle w:val="BodyTextIndentCharChar"/>
        <w:bidi w:val="0"/>
        <w:spacing w:after="0"/>
        <w:ind w:left="0" w:firstLine="708"/>
        <w:jc w:val="both"/>
        <w:rPr>
          <w:rFonts w:ascii="Arial Narrow" w:hAnsi="Arial Narrow" w:cs="Arial Narrow"/>
          <w:sz w:val="22"/>
          <w:szCs w:val="22"/>
        </w:rPr>
      </w:pPr>
      <w:r w:rsidRPr="00010E39">
        <w:rPr>
          <w:rFonts w:ascii="Arial Narrow" w:hAnsi="Arial Narrow" w:cs="Arial Narrow"/>
          <w:sz w:val="22"/>
          <w:szCs w:val="22"/>
        </w:rPr>
        <w:t>Očakávaný vývoj hlavných makroekonomických indikátorov je obsiahnutý v nasledujúcej tabuľke</w:t>
      </w:r>
      <w:r w:rsidRPr="00331DFF">
        <w:rPr>
          <w:rFonts w:ascii="Arial Narrow" w:hAnsi="Arial Narrow" w:cs="Arial Narrow"/>
          <w:sz w:val="22"/>
          <w:szCs w:val="22"/>
        </w:rPr>
        <w:t>:</w:t>
      </w:r>
      <w:r w:rsidRPr="00010E39">
        <w:rPr>
          <w:rFonts w:ascii="Arial Narrow" w:hAnsi="Arial Narrow" w:cs="Arial Narrow"/>
          <w:sz w:val="22"/>
          <w:szCs w:val="22"/>
        </w:rPr>
        <w:t xml:space="preserve"> </w:t>
      </w:r>
    </w:p>
    <w:p w:rsidR="00A1281C" w:rsidP="00A1281C">
      <w:pPr>
        <w:pStyle w:val="BodyTextIndentCharChar"/>
        <w:bidi w:val="0"/>
        <w:spacing w:after="0"/>
        <w:ind w:left="0"/>
        <w:jc w:val="both"/>
        <w:rPr>
          <w:rFonts w:ascii="Arial Narrow" w:hAnsi="Arial Narrow" w:cs="Arial Narrow"/>
          <w:sz w:val="22"/>
          <w:szCs w:val="22"/>
        </w:rPr>
      </w:pPr>
    </w:p>
    <w:tbl>
      <w:tblPr>
        <w:tblStyle w:val="TableNormal"/>
        <w:tblW w:w="7727" w:type="dxa"/>
        <w:jc w:val="center"/>
        <w:tblCellMar>
          <w:left w:w="70" w:type="dxa"/>
          <w:right w:w="70" w:type="dxa"/>
        </w:tblCellMar>
        <w:tblLook w:val="00A0"/>
      </w:tblPr>
      <w:tblGrid>
        <w:gridCol w:w="3599"/>
        <w:gridCol w:w="769"/>
        <w:gridCol w:w="542"/>
        <w:gridCol w:w="592"/>
        <w:gridCol w:w="592"/>
        <w:gridCol w:w="592"/>
        <w:gridCol w:w="592"/>
        <w:gridCol w:w="542"/>
      </w:tblGrid>
      <w:tr>
        <w:tblPrEx>
          <w:tblW w:w="7727" w:type="dxa"/>
          <w:jc w:val="center"/>
          <w:tblCellMar>
            <w:left w:w="70" w:type="dxa"/>
            <w:right w:w="70" w:type="dxa"/>
          </w:tblCellMar>
          <w:tblLook w:val="00A0"/>
        </w:tblPrEx>
        <w:trPr>
          <w:trHeight w:val="315"/>
          <w:jc w:val="center"/>
        </w:trPr>
        <w:tc>
          <w:tcPr>
            <w:tcW w:w="7727" w:type="dxa"/>
            <w:gridSpan w:val="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1281C" w:rsidRPr="002D099D" w:rsidP="006740C3">
            <w:pPr>
              <w:bidi w:val="0"/>
              <w:rPr>
                <w:rFonts w:ascii="Arial Narrow" w:hAnsi="Arial Narrow" w:cs="Arial Narrow"/>
                <w:b/>
                <w:bCs/>
                <w:sz w:val="16"/>
                <w:szCs w:val="16"/>
                <w:lang w:eastAsia="sk-SK"/>
              </w:rPr>
            </w:pPr>
            <w:r w:rsidRPr="002D099D">
              <w:rPr>
                <w:rFonts w:ascii="Arial Narrow" w:hAnsi="Arial Narrow" w:cs="Arial Narrow"/>
                <w:b/>
                <w:bCs/>
                <w:sz w:val="16"/>
                <w:szCs w:val="16"/>
                <w:lang w:eastAsia="sk-SK"/>
              </w:rPr>
              <w:t xml:space="preserve"> Prognóza vybraných indikátorov vývoja ekonomiky SR (september 2010) </w:t>
            </w:r>
          </w:p>
        </w:tc>
      </w:tr>
      <w:tr>
        <w:tblPrEx>
          <w:tblW w:w="7727" w:type="dxa"/>
          <w:jc w:val="center"/>
          <w:tblCellMar>
            <w:left w:w="70" w:type="dxa"/>
            <w:right w:w="70" w:type="dxa"/>
          </w:tblCellMar>
          <w:tblLook w:val="00A0"/>
        </w:tblPrEx>
        <w:trPr>
          <w:trHeight w:val="315"/>
          <w:jc w:val="center"/>
        </w:trPr>
        <w:tc>
          <w:tcPr>
            <w:tcW w:w="3599" w:type="dxa"/>
            <w:vMerge w:val="restar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1281C" w:rsidRPr="002D099D" w:rsidP="006740C3">
            <w:pPr>
              <w:bidi w:val="0"/>
              <w:rPr>
                <w:rFonts w:ascii="Arial Narrow" w:hAnsi="Arial Narrow" w:cs="Arial Narrow"/>
                <w:b/>
                <w:bCs/>
                <w:sz w:val="16"/>
                <w:szCs w:val="16"/>
                <w:lang w:eastAsia="sk-SK"/>
              </w:rPr>
            </w:pPr>
            <w:r w:rsidRPr="002D099D">
              <w:rPr>
                <w:rFonts w:ascii="Arial Narrow" w:hAnsi="Arial Narrow" w:cs="Arial Narrow"/>
                <w:b/>
                <w:bCs/>
                <w:sz w:val="16"/>
                <w:szCs w:val="16"/>
                <w:lang w:eastAsia="sk-SK"/>
              </w:rPr>
              <w:t>Ukazovateľ</w:t>
            </w:r>
          </w:p>
        </w:tc>
        <w:tc>
          <w:tcPr>
            <w:tcW w:w="76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Skutočnosť</w:t>
            </w:r>
          </w:p>
        </w:tc>
        <w:tc>
          <w:tcPr>
            <w:tcW w:w="231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Prognóza</w:t>
            </w:r>
          </w:p>
        </w:tc>
      </w:tr>
      <w:tr>
        <w:tblPrEx>
          <w:tblW w:w="7727" w:type="dxa"/>
          <w:jc w:val="center"/>
          <w:tblCellMar>
            <w:left w:w="70" w:type="dxa"/>
            <w:right w:w="70" w:type="dxa"/>
          </w:tblCellMar>
          <w:tblLook w:val="00A0"/>
        </w:tblPrEx>
        <w:trPr>
          <w:trHeight w:val="315"/>
          <w:jc w:val="center"/>
        </w:trPr>
        <w:tc>
          <w:tcPr>
            <w:tcW w:w="359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A1281C" w:rsidRPr="002D099D" w:rsidP="006740C3">
            <w:pPr>
              <w:bidi w:val="0"/>
              <w:rPr>
                <w:rFonts w:ascii="Arial Narrow" w:hAnsi="Arial Narrow" w:cs="Arial Narrow"/>
                <w:b/>
                <w:bCs/>
                <w:sz w:val="16"/>
                <w:szCs w:val="16"/>
                <w:lang w:eastAsia="sk-SK"/>
              </w:rPr>
            </w:pPr>
          </w:p>
        </w:tc>
        <w:tc>
          <w:tcPr>
            <w:tcW w:w="76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m.j.</w:t>
            </w:r>
          </w:p>
        </w:tc>
        <w:tc>
          <w:tcPr>
            <w:tcW w:w="431"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2008</w:t>
            </w:r>
          </w:p>
        </w:tc>
        <w:tc>
          <w:tcPr>
            <w:tcW w:w="59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2009</w:t>
            </w:r>
          </w:p>
        </w:tc>
        <w:tc>
          <w:tcPr>
            <w:tcW w:w="5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2010</w:t>
            </w:r>
          </w:p>
        </w:tc>
        <w:tc>
          <w:tcPr>
            <w:tcW w:w="5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2011</w:t>
            </w:r>
          </w:p>
        </w:tc>
        <w:tc>
          <w:tcPr>
            <w:tcW w:w="5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2012</w:t>
            </w:r>
          </w:p>
        </w:tc>
        <w:tc>
          <w:tcPr>
            <w:tcW w:w="54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A1281C" w:rsidRPr="002D099D" w:rsidP="006740C3">
            <w:pPr>
              <w:bidi w:val="0"/>
              <w:jc w:val="center"/>
              <w:rPr>
                <w:rFonts w:ascii="Arial Narrow" w:hAnsi="Arial Narrow" w:cs="Arial Narrow"/>
                <w:b/>
                <w:bCs/>
                <w:sz w:val="16"/>
                <w:szCs w:val="16"/>
                <w:lang w:eastAsia="sk-SK"/>
              </w:rPr>
            </w:pPr>
            <w:r w:rsidRPr="002D099D">
              <w:rPr>
                <w:rFonts w:ascii="Arial Narrow" w:hAnsi="Arial Narrow" w:cs="Arial Narrow"/>
                <w:b/>
                <w:bCs/>
                <w:sz w:val="16"/>
                <w:szCs w:val="16"/>
                <w:lang w:eastAsia="sk-SK"/>
              </w:rPr>
              <w:t>2013</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HDP; v bežných cenách</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 xml:space="preserve">mld. </w:t>
            </w:r>
            <w:r>
              <w:rPr>
                <w:rFonts w:ascii="Arial Narrow" w:hAnsi="Arial Narrow" w:cs="Arial Narrow"/>
                <w:color w:val="000000"/>
                <w:sz w:val="16"/>
                <w:szCs w:val="16"/>
                <w:lang w:eastAsia="sk-SK"/>
              </w:rPr>
              <w:t>e</w:t>
            </w:r>
            <w:r w:rsidRPr="002D099D">
              <w:rPr>
                <w:rFonts w:ascii="Arial Narrow" w:hAnsi="Arial Narrow" w:cs="Arial Narrow"/>
                <w:color w:val="000000"/>
                <w:sz w:val="16"/>
                <w:szCs w:val="16"/>
                <w:lang w:eastAsia="sk-SK"/>
              </w:rPr>
              <w:t>ur</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67,221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63,332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65,914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70,174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75,482</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81,531</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HDP;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4,5</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4,7</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Konečná spotreba domácností;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3,5</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4,0</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Konečná spotreba domácností; nominálny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10,9</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3,9</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7,0</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7,8</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Konečná spotreba verejnej správy;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5,3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0,8</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0,6</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Tvorba hrubého fixného kapitálu;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-10,5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6,5</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4,0</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Efektívny domáci dopyt;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3.8</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3.4</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Export tovarov a služieb;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-16,5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5,5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7,0</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8,6</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Import tovarov a služieb;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-17,6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11,8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6,8</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8,2</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 mesačná mzda za hospodárstvo; nom.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8,1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5,8</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6,1</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 mesačná mzda za hospodárstvo; reálny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2,2</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2,1</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Priemerný rast zamestnanosti; podľa VZPS</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1,1</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1,5</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Priemerný rast zamestnanosti; podľa evid. počtu</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1,2</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Priemerný rast zamestnanosti; podľa ESA95</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1,2</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Priemerná miera nezamestnanosti;  podľa VZPS</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9,6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12,1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13,2</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12,4</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Index spotrebiteľských cien; priemerný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4,6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3,5</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3,9</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Harmonizovaný index spotrebiteľských cien (HICP)</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3,9</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0,9</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3,4</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3,7</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Index výrobných cien; priemerný rast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-2,5</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2,4</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2,6</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Bilancia bežného účtu; podiel na HDP</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-7.0</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-3,2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-2,3</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-2,1</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w:t>
            </w:r>
          </w:p>
        </w:tc>
      </w:tr>
      <w:tr>
        <w:tblPrEx>
          <w:tblW w:w="7727" w:type="dxa"/>
          <w:jc w:val="center"/>
          <w:tblCellMar>
            <w:left w:w="70" w:type="dxa"/>
            <w:right w:w="70" w:type="dxa"/>
          </w:tblCellMar>
          <w:tblLook w:val="00A0"/>
        </w:tblPrEx>
        <w:trPr>
          <w:trHeight w:val="300"/>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Ropa BRENT</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USD/bl</w:t>
            </w: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97,2</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61,8</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78,6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84,6</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91,0</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97,2</w:t>
            </w:r>
          </w:p>
        </w:tc>
      </w:tr>
      <w:tr>
        <w:tblPrEx>
          <w:tblW w:w="7727" w:type="dxa"/>
          <w:jc w:val="center"/>
          <w:tblCellMar>
            <w:left w:w="70" w:type="dxa"/>
            <w:right w:w="70" w:type="dxa"/>
          </w:tblCellMar>
          <w:tblLook w:val="00A0"/>
        </w:tblPrEx>
        <w:trPr>
          <w:trHeight w:val="315"/>
          <w:jc w:val="center"/>
        </w:trPr>
        <w:tc>
          <w:tcPr>
            <w:tcW w:w="3599"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Kurz EUR/USD</w:t>
            </w:r>
          </w:p>
        </w:tc>
        <w:tc>
          <w:tcPr>
            <w:tcW w:w="769"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p>
        </w:tc>
        <w:tc>
          <w:tcPr>
            <w:tcW w:w="431"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1,47</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1,39</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1,31</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1,34</w:t>
            </w:r>
          </w:p>
        </w:tc>
        <w:tc>
          <w:tcPr>
            <w:tcW w:w="592"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1,37</w:t>
            </w:r>
          </w:p>
        </w:tc>
        <w:tc>
          <w:tcPr>
            <w:tcW w:w="542" w:type="dxa"/>
            <w:tcBorders>
              <w:top w:val="single" w:sz="4" w:space="0" w:color="auto"/>
              <w:left w:val="single" w:sz="4" w:space="0" w:color="auto"/>
              <w:bottom w:val="single" w:sz="4" w:space="0" w:color="auto"/>
              <w:right w:val="single" w:sz="4" w:space="0" w:color="auto"/>
            </w:tcBorders>
            <w:textDirection w:val="lrTb"/>
            <w:vAlign w:val="bottom"/>
          </w:tcPr>
          <w:p w:rsidR="00A1281C" w:rsidRPr="002D099D" w:rsidP="006740C3">
            <w:pPr>
              <w:bidi w:val="0"/>
              <w:jc w:val="center"/>
              <w:rPr>
                <w:rFonts w:ascii="Arial Narrow" w:hAnsi="Arial Narrow" w:cs="Arial Narrow"/>
                <w:color w:val="000000"/>
                <w:sz w:val="16"/>
                <w:szCs w:val="16"/>
                <w:lang w:eastAsia="sk-SK"/>
              </w:rPr>
            </w:pPr>
            <w:r w:rsidRPr="002D099D">
              <w:rPr>
                <w:rFonts w:ascii="Arial Narrow" w:hAnsi="Arial Narrow" w:cs="Arial Narrow"/>
                <w:color w:val="000000"/>
                <w:sz w:val="16"/>
                <w:szCs w:val="16"/>
                <w:lang w:eastAsia="sk-SK"/>
              </w:rPr>
              <w:t>1,40</w:t>
            </w:r>
          </w:p>
        </w:tc>
      </w:tr>
    </w:tbl>
    <w:p w:rsidR="00A1281C" w:rsidP="00A1281C">
      <w:pPr>
        <w:bidi w:val="0"/>
        <w:jc w:val="both"/>
        <w:rPr>
          <w:rFonts w:ascii="Arial Narrow" w:hAnsi="Arial Narrow" w:cs="Arial Narrow"/>
          <w:sz w:val="20"/>
          <w:szCs w:val="20"/>
        </w:rPr>
      </w:pPr>
    </w:p>
    <w:p w:rsidR="008A4068" w:rsidP="008A4068">
      <w:pPr>
        <w:bidi w:val="0"/>
        <w:jc w:val="both"/>
        <w:rPr>
          <w:rFonts w:ascii="Arial Narrow" w:hAnsi="Arial Narrow" w:cs="Arial Narrow"/>
          <w:sz w:val="22"/>
          <w:szCs w:val="22"/>
        </w:rPr>
      </w:pPr>
      <w:r w:rsidR="00A1281C">
        <w:rPr>
          <w:rFonts w:ascii="Arial Narrow" w:hAnsi="Arial Narrow" w:cs="Arial Narrow"/>
          <w:sz w:val="22"/>
          <w:szCs w:val="22"/>
        </w:rPr>
        <w:t xml:space="preserve"> </w:t>
      </w:r>
      <w:r>
        <w:rPr>
          <w:rFonts w:ascii="Arial Narrow" w:hAnsi="Arial Narrow" w:cs="Arial Narrow"/>
          <w:sz w:val="22"/>
          <w:szCs w:val="22"/>
        </w:rPr>
        <w:t xml:space="preserve"> </w:t>
      </w:r>
    </w:p>
    <w:p w:rsidR="008A4068" w:rsidRPr="00345D36" w:rsidP="00435441">
      <w:pPr>
        <w:bidi w:val="0"/>
        <w:jc w:val="both"/>
        <w:rPr>
          <w:rFonts w:ascii="Arial Narrow" w:hAnsi="Arial Narrow" w:cs="Arial Narrow"/>
          <w:b/>
          <w:bCs/>
          <w:sz w:val="22"/>
          <w:szCs w:val="22"/>
        </w:rPr>
      </w:pPr>
      <w:bookmarkStart w:id="18" w:name="_Toc273463976"/>
      <w:r w:rsidRPr="00345D36">
        <w:rPr>
          <w:rFonts w:ascii="Arial Narrow" w:hAnsi="Arial Narrow" w:cs="Arial Narrow"/>
          <w:b/>
          <w:bCs/>
          <w:sz w:val="22"/>
          <w:szCs w:val="22"/>
        </w:rPr>
        <w:t>Hodnotenie  prognóz MF SR členmi Výboru pre makroekonomické prognózovanie</w:t>
      </w:r>
      <w:bookmarkEnd w:id="18"/>
    </w:p>
    <w:p w:rsidR="008A4068" w:rsidRPr="008100A3" w:rsidP="008A4068">
      <w:pPr>
        <w:bidi w:val="0"/>
        <w:ind w:firstLine="708"/>
        <w:jc w:val="both"/>
        <w:rPr>
          <w:rFonts w:ascii="Arial Narrow" w:hAnsi="Arial Narrow" w:cs="Arial Narrow"/>
          <w:sz w:val="22"/>
          <w:szCs w:val="22"/>
        </w:rPr>
      </w:pPr>
    </w:p>
    <w:p w:rsidR="008A4068" w:rsidRPr="00C11B82" w:rsidP="00E06540">
      <w:pPr>
        <w:bidi w:val="0"/>
        <w:ind w:firstLine="708"/>
        <w:jc w:val="both"/>
        <w:rPr>
          <w:rFonts w:ascii="Arial Narrow" w:hAnsi="Arial Narrow" w:cs="Arial Narrow"/>
          <w:sz w:val="22"/>
          <w:szCs w:val="22"/>
        </w:rPr>
      </w:pPr>
      <w:r w:rsidRPr="00C11B82">
        <w:rPr>
          <w:rFonts w:ascii="Arial Narrow" w:hAnsi="Arial Narrow" w:cs="Arial Narrow"/>
          <w:sz w:val="22"/>
          <w:szCs w:val="22"/>
        </w:rPr>
        <w:t xml:space="preserve">Prognóza makroekonomického vývoja vypracovaná MF SR bola podrobená hodnoteniu v rámci Výboru pre makroekonomické prognózovanie, ktorého dvadsiate </w:t>
      </w:r>
      <w:r>
        <w:rPr>
          <w:rFonts w:ascii="Arial Narrow" w:hAnsi="Arial Narrow" w:cs="Arial Narrow"/>
          <w:sz w:val="22"/>
          <w:szCs w:val="22"/>
        </w:rPr>
        <w:t xml:space="preserve">druhé </w:t>
      </w:r>
      <w:r w:rsidRPr="00C11B82">
        <w:rPr>
          <w:rFonts w:ascii="Arial Narrow" w:hAnsi="Arial Narrow" w:cs="Arial Narrow"/>
          <w:sz w:val="22"/>
          <w:szCs w:val="22"/>
        </w:rPr>
        <w:t xml:space="preserve">zasadnutie sa konalo </w:t>
      </w:r>
      <w:r>
        <w:rPr>
          <w:rFonts w:ascii="Arial Narrow" w:hAnsi="Arial Narrow" w:cs="Arial Narrow"/>
          <w:sz w:val="22"/>
          <w:szCs w:val="22"/>
        </w:rPr>
        <w:t>8</w:t>
      </w:r>
      <w:r w:rsidRPr="00C11B82">
        <w:rPr>
          <w:rFonts w:ascii="Arial Narrow" w:hAnsi="Arial Narrow" w:cs="Arial Narrow"/>
          <w:sz w:val="22"/>
          <w:szCs w:val="22"/>
        </w:rPr>
        <w:t xml:space="preserve">. </w:t>
      </w:r>
      <w:r>
        <w:rPr>
          <w:rFonts w:ascii="Arial Narrow" w:hAnsi="Arial Narrow" w:cs="Arial Narrow"/>
          <w:sz w:val="22"/>
          <w:szCs w:val="22"/>
        </w:rPr>
        <w:t>septembra</w:t>
      </w:r>
      <w:r w:rsidRPr="00C11B82">
        <w:rPr>
          <w:rFonts w:ascii="Arial Narrow" w:hAnsi="Arial Narrow" w:cs="Arial Narrow"/>
          <w:sz w:val="22"/>
          <w:szCs w:val="22"/>
        </w:rPr>
        <w:t xml:space="preserve"> 2010. Výsledkom je celkové hodnotenie charakteru definitívnej prognózy MF SR. Strednodobá prognóza makroekonomického vývoja vypracovaná MF SR bola </w:t>
      </w:r>
      <w:r>
        <w:rPr>
          <w:rFonts w:ascii="Arial Narrow" w:hAnsi="Arial Narrow" w:cs="Arial Narrow"/>
          <w:sz w:val="22"/>
          <w:szCs w:val="22"/>
        </w:rPr>
        <w:t>väčšinou členov</w:t>
      </w:r>
      <w:r w:rsidRPr="00C11B82">
        <w:rPr>
          <w:rFonts w:ascii="Arial Narrow" w:hAnsi="Arial Narrow" w:cs="Arial Narrow"/>
          <w:sz w:val="22"/>
          <w:szCs w:val="22"/>
        </w:rPr>
        <w:t xml:space="preserve"> výboru </w:t>
      </w:r>
      <w:r>
        <w:rPr>
          <w:rFonts w:ascii="Arial Narrow" w:hAnsi="Arial Narrow" w:cs="Arial Narrow"/>
          <w:sz w:val="22"/>
          <w:szCs w:val="22"/>
        </w:rPr>
        <w:t xml:space="preserve">(NBS, SAV, INFOSTAT, </w:t>
      </w:r>
      <w:r w:rsidR="00984830">
        <w:rPr>
          <w:rFonts w:ascii="Arial Narrow" w:hAnsi="Arial Narrow" w:cs="Arial Narrow"/>
          <w:sz w:val="22"/>
          <w:szCs w:val="22"/>
        </w:rPr>
        <w:t>VÚB</w:t>
      </w:r>
      <w:r>
        <w:rPr>
          <w:rFonts w:ascii="Arial Narrow" w:hAnsi="Arial Narrow" w:cs="Arial Narrow"/>
          <w:sz w:val="22"/>
          <w:szCs w:val="22"/>
        </w:rPr>
        <w:t xml:space="preserve">, ING, CSOB, Unicredit) </w:t>
      </w:r>
      <w:r w:rsidRPr="00C11B82">
        <w:rPr>
          <w:rFonts w:ascii="Arial Narrow" w:hAnsi="Arial Narrow" w:cs="Arial Narrow"/>
          <w:sz w:val="22"/>
          <w:szCs w:val="22"/>
        </w:rPr>
        <w:t xml:space="preserve">charakterizovaná ako realistická. </w:t>
      </w:r>
      <w:r w:rsidR="00984830">
        <w:rPr>
          <w:rFonts w:ascii="Arial Narrow" w:hAnsi="Arial Narrow" w:cs="Arial Narrow"/>
          <w:sz w:val="22"/>
          <w:szCs w:val="22"/>
        </w:rPr>
        <w:t xml:space="preserve">SLSP </w:t>
      </w:r>
      <w:r>
        <w:rPr>
          <w:rFonts w:ascii="Arial Narrow" w:hAnsi="Arial Narrow" w:cs="Arial Narrow"/>
          <w:sz w:val="22"/>
          <w:szCs w:val="22"/>
        </w:rPr>
        <w:t>a</w:t>
      </w:r>
      <w:r w:rsidR="00984830">
        <w:rPr>
          <w:rFonts w:ascii="Arial Narrow" w:hAnsi="Arial Narrow" w:cs="Arial Narrow"/>
          <w:sz w:val="22"/>
          <w:szCs w:val="22"/>
        </w:rPr>
        <w:t xml:space="preserve"> </w:t>
      </w:r>
      <w:r>
        <w:rPr>
          <w:rFonts w:ascii="Arial Narrow" w:hAnsi="Arial Narrow" w:cs="Arial Narrow"/>
          <w:sz w:val="22"/>
          <w:szCs w:val="22"/>
        </w:rPr>
        <w:t>Tatrabanka zhodnotili prognózu ako konzervatívnu.</w:t>
      </w:r>
    </w:p>
    <w:p w:rsidR="008A4068" w:rsidRPr="00C11B82" w:rsidP="008A4068">
      <w:pPr>
        <w:bidi w:val="0"/>
        <w:jc w:val="both"/>
        <w:rPr>
          <w:rFonts w:ascii="Arial Narrow" w:hAnsi="Arial Narrow" w:cs="Arial Narrow"/>
          <w:sz w:val="22"/>
          <w:szCs w:val="22"/>
          <w:highlight w:val="yellow"/>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NBS</w:t>
      </w:r>
      <w:r w:rsidR="0032398F">
        <w:rPr>
          <w:rFonts w:ascii="Arial Narrow" w:hAnsi="Arial Narrow" w:cs="Arial Narrow"/>
          <w:sz w:val="22"/>
          <w:szCs w:val="22"/>
          <w:u w:val="single"/>
        </w:rPr>
        <w:t xml:space="preserve"> </w:t>
      </w:r>
    </w:p>
    <w:p w:rsidR="008A4068" w:rsidRPr="00C11B82" w:rsidP="0032398F">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realistickú. </w:t>
      </w:r>
    </w:p>
    <w:p w:rsidR="008A4068" w:rsidP="0032398F">
      <w:pPr>
        <w:bidi w:val="0"/>
        <w:ind w:firstLine="708"/>
        <w:jc w:val="both"/>
        <w:rPr>
          <w:rFonts w:ascii="Arial Narrow" w:hAnsi="Arial Narrow" w:cs="Arial Narrow"/>
          <w:sz w:val="22"/>
          <w:szCs w:val="22"/>
        </w:rPr>
      </w:pPr>
      <w:r w:rsidRPr="006F4FC3">
        <w:rPr>
          <w:rFonts w:ascii="Arial Narrow" w:hAnsi="Arial Narrow" w:cs="Arial Narrow"/>
          <w:sz w:val="22"/>
          <w:szCs w:val="22"/>
        </w:rPr>
        <w:t>MF SR predpokladá v súlade s aktuálnym makroekonomickým vývojom nárast ekonomiky v roku 2010. V roku 2011 očakáva zmiernenie rastu ekonomiky v dôsledku konsolidácie verejných financií.</w:t>
      </w:r>
      <w:r>
        <w:rPr>
          <w:rFonts w:ascii="Arial Narrow" w:hAnsi="Arial Narrow" w:cs="Arial Narrow"/>
          <w:sz w:val="22"/>
          <w:szCs w:val="22"/>
        </w:rPr>
        <w:t xml:space="preserve"> </w:t>
      </w:r>
      <w:r w:rsidRPr="006F4FC3">
        <w:rPr>
          <w:rFonts w:ascii="Arial Narrow" w:hAnsi="Arial Narrow" w:cs="Arial Narrow"/>
          <w:sz w:val="22"/>
          <w:szCs w:val="22"/>
        </w:rPr>
        <w:t>V oblasti trhu práce je možné predpokladať pokles zamestnanosti v roku 2010 a následné oživenie rastu v ďalších rokoch sprevádzané poklesom miery nezamestnanosti. V oblasti vývoja cien (HICP) je možné očakávať zrýchlenie rastu v dôsledku predpokladaného zvýšenia nepriamych daní, pričom neistota je vo veľkosti prenosu zvýšenia DPH do spotrebiteľských cien v prostredí stále nízkeho dopytu. Rovnako neistý je aj výsledný dopad avizovaného zvýšenia poplatkov (ŠHR a likvidácia jadrových zariadení).</w:t>
      </w:r>
    </w:p>
    <w:p w:rsidR="008A4068" w:rsidP="008A4068">
      <w:pPr>
        <w:bidi w:val="0"/>
        <w:jc w:val="both"/>
        <w:rPr>
          <w:rFonts w:ascii="Arial Narrow" w:hAnsi="Arial Narrow" w:cs="Arial Narrow"/>
          <w:sz w:val="22"/>
          <w:szCs w:val="22"/>
        </w:rPr>
      </w:pPr>
    </w:p>
    <w:p w:rsidR="00C31005" w:rsidRPr="006F4FC3"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 xml:space="preserve">INFOSTAT </w:t>
      </w:r>
    </w:p>
    <w:p w:rsidR="008A4068" w:rsidRPr="00C31005" w:rsidP="0032398F">
      <w:pPr>
        <w:bidi w:val="0"/>
        <w:spacing w:after="120"/>
        <w:ind w:firstLine="708"/>
        <w:jc w:val="both"/>
        <w:rPr>
          <w:rFonts w:ascii="Arial Narrow" w:hAnsi="Arial Narrow" w:cs="Arial Narrow"/>
          <w:color w:val="000000"/>
          <w:sz w:val="22"/>
          <w:szCs w:val="22"/>
          <w:lang w:eastAsia="sk-SK"/>
        </w:rPr>
      </w:pPr>
      <w:r w:rsidR="00C31005">
        <w:rPr>
          <w:rFonts w:ascii="Arial Narrow" w:hAnsi="Arial Narrow" w:cs="Arial Narrow"/>
          <w:color w:val="000000"/>
          <w:sz w:val="22"/>
          <w:szCs w:val="22"/>
          <w:lang w:eastAsia="sk-SK"/>
        </w:rPr>
        <w:t>Prognózu MF SR považuje</w:t>
      </w:r>
      <w:r w:rsidRPr="00C11B82">
        <w:rPr>
          <w:rFonts w:ascii="Arial Narrow" w:hAnsi="Arial Narrow" w:cs="Arial Narrow"/>
          <w:color w:val="000000"/>
          <w:sz w:val="22"/>
          <w:szCs w:val="22"/>
          <w:lang w:eastAsia="sk-SK"/>
        </w:rPr>
        <w:t xml:space="preserve"> za realistickú</w:t>
      </w:r>
      <w:r w:rsidRPr="00843984">
        <w:rPr>
          <w:rFonts w:ascii="Arial Narrow" w:hAnsi="Arial Narrow" w:cs="Arial Narrow"/>
          <w:sz w:val="22"/>
          <w:szCs w:val="22"/>
        </w:rPr>
        <w:t xml:space="preserve"> z hľadiska odhadovaného ekonomického rastu v roku 2011, v ďalších rokoch </w:t>
      </w:r>
      <w:r w:rsidR="00D564D1">
        <w:rPr>
          <w:rFonts w:ascii="Arial Narrow" w:hAnsi="Arial Narrow" w:cs="Arial Narrow"/>
          <w:sz w:val="22"/>
          <w:szCs w:val="22"/>
        </w:rPr>
        <w:t xml:space="preserve">za </w:t>
      </w:r>
      <w:r w:rsidRPr="00843984">
        <w:rPr>
          <w:rFonts w:ascii="Arial Narrow" w:hAnsi="Arial Narrow" w:cs="Arial Narrow"/>
          <w:sz w:val="22"/>
          <w:szCs w:val="22"/>
        </w:rPr>
        <w:t>mierne optimistickú, nielen z hľadiska ekonomického rastu, ale aj z hľadiska vývoja na trhu práce</w:t>
      </w:r>
      <w:r>
        <w:rPr>
          <w:rFonts w:ascii="Arial Narrow" w:hAnsi="Arial Narrow" w:cs="Arial Narrow"/>
          <w:sz w:val="22"/>
          <w:szCs w:val="22"/>
        </w:rPr>
        <w:t>.</w:t>
      </w:r>
    </w:p>
    <w:p w:rsidR="008A4068" w:rsidRPr="00843984"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ČSOB</w:t>
      </w:r>
    </w:p>
    <w:p w:rsidR="008A4068" w:rsidRPr="00C11B82" w:rsidP="0032398F">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realistickú. </w:t>
      </w:r>
    </w:p>
    <w:p w:rsidR="008A4068" w:rsidP="0032398F">
      <w:pPr>
        <w:bidi w:val="0"/>
        <w:ind w:firstLine="708"/>
        <w:jc w:val="both"/>
        <w:rPr>
          <w:rFonts w:ascii="Arial Narrow" w:hAnsi="Arial Narrow" w:cs="Arial Narrow"/>
          <w:sz w:val="22"/>
          <w:szCs w:val="22"/>
        </w:rPr>
      </w:pPr>
      <w:r w:rsidRPr="009E1E77">
        <w:rPr>
          <w:rFonts w:ascii="Arial Narrow" w:hAnsi="Arial Narrow" w:cs="Arial Narrow"/>
          <w:sz w:val="22"/>
          <w:szCs w:val="22"/>
        </w:rPr>
        <w:t xml:space="preserve">Domnieva sa, že aj pre rok 2011 platí, že stále pretrvávajú riziká na strane externého dopytu napriek pozitívnemu vývoju v poslednej dobe. Preto je </w:t>
      </w:r>
      <w:r w:rsidR="00DF455D">
        <w:rPr>
          <w:rFonts w:ascii="Arial Narrow" w:hAnsi="Arial Narrow" w:cs="Arial Narrow"/>
          <w:sz w:val="22"/>
          <w:szCs w:val="22"/>
        </w:rPr>
        <w:t>na mieste byť opatrnejší. Toho</w:t>
      </w:r>
      <w:r w:rsidRPr="009E1E77">
        <w:rPr>
          <w:rFonts w:ascii="Arial Narrow" w:hAnsi="Arial Narrow" w:cs="Arial Narrow"/>
          <w:sz w:val="22"/>
          <w:szCs w:val="22"/>
        </w:rPr>
        <w:t xml:space="preserve"> sa držali pri </w:t>
      </w:r>
      <w:r w:rsidR="00DF455D">
        <w:rPr>
          <w:rFonts w:ascii="Arial Narrow" w:hAnsi="Arial Narrow" w:cs="Arial Narrow"/>
          <w:sz w:val="22"/>
          <w:szCs w:val="22"/>
        </w:rPr>
        <w:t>ich</w:t>
      </w:r>
      <w:r w:rsidRPr="009E1E77">
        <w:rPr>
          <w:rFonts w:ascii="Arial Narrow" w:hAnsi="Arial Narrow" w:cs="Arial Narrow"/>
          <w:sz w:val="22"/>
          <w:szCs w:val="22"/>
        </w:rPr>
        <w:t xml:space="preserve"> prognóze a keďže sa veľmi blíži k p</w:t>
      </w:r>
      <w:r w:rsidR="00C31005">
        <w:rPr>
          <w:rFonts w:ascii="Arial Narrow" w:hAnsi="Arial Narrow" w:cs="Arial Narrow"/>
          <w:sz w:val="22"/>
          <w:szCs w:val="22"/>
        </w:rPr>
        <w:t>rognóze ministerstva - považuje</w:t>
      </w:r>
      <w:r w:rsidRPr="009E1E77">
        <w:rPr>
          <w:rFonts w:ascii="Arial Narrow" w:hAnsi="Arial Narrow" w:cs="Arial Narrow"/>
          <w:sz w:val="22"/>
          <w:szCs w:val="22"/>
        </w:rPr>
        <w:t xml:space="preserve"> ju za realistickú</w:t>
      </w:r>
      <w:r>
        <w:rPr>
          <w:rFonts w:ascii="Arial Narrow" w:hAnsi="Arial Narrow" w:cs="Arial Narrow"/>
          <w:sz w:val="22"/>
          <w:szCs w:val="22"/>
        </w:rPr>
        <w:t>.</w:t>
      </w:r>
    </w:p>
    <w:p w:rsidR="008A4068" w:rsidRPr="009E1E77"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ING Bank</w:t>
      </w:r>
    </w:p>
    <w:p w:rsidR="008A4068" w:rsidRPr="00C11B82" w:rsidP="0032398F">
      <w:pPr>
        <w:bidi w:val="0"/>
        <w:ind w:firstLine="708"/>
        <w:jc w:val="both"/>
        <w:rPr>
          <w:rFonts w:ascii="Arial Narrow" w:hAnsi="Arial Narrow" w:cs="Arial Narrow"/>
          <w:color w:val="000000"/>
          <w:sz w:val="22"/>
          <w:szCs w:val="22"/>
          <w:lang w:eastAsia="sk-SK"/>
        </w:rPr>
      </w:pPr>
      <w:r w:rsidR="00C31005">
        <w:rPr>
          <w:rFonts w:ascii="Arial Narrow" w:hAnsi="Arial Narrow" w:cs="Arial Narrow"/>
          <w:color w:val="000000"/>
          <w:sz w:val="22"/>
          <w:szCs w:val="22"/>
          <w:lang w:eastAsia="sk-SK"/>
        </w:rPr>
        <w:t>Prognózu MF SR považuje</w:t>
      </w:r>
      <w:r w:rsidRPr="00C11B82">
        <w:rPr>
          <w:rFonts w:ascii="Arial Narrow" w:hAnsi="Arial Narrow" w:cs="Arial Narrow"/>
          <w:color w:val="000000"/>
          <w:sz w:val="22"/>
          <w:szCs w:val="22"/>
          <w:lang w:eastAsia="sk-SK"/>
        </w:rPr>
        <w:t xml:space="preserve"> za realistickú. </w:t>
      </w:r>
    </w:p>
    <w:p w:rsidR="008A4068" w:rsidP="00C31005">
      <w:pPr>
        <w:bidi w:val="0"/>
        <w:spacing w:before="48" w:beforeLines="20" w:after="48" w:afterLines="20"/>
        <w:jc w:val="both"/>
        <w:rPr>
          <w:rFonts w:ascii="Arial Narrow" w:hAnsi="Arial Narrow" w:cs="Arial Narrow"/>
          <w:sz w:val="22"/>
          <w:szCs w:val="22"/>
          <w:u w:val="single"/>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SAV</w:t>
      </w:r>
    </w:p>
    <w:p w:rsidR="008A4068" w:rsidRPr="00C11B82" w:rsidP="0032398F">
      <w:pPr>
        <w:bidi w:val="0"/>
        <w:spacing w:after="120"/>
        <w:ind w:firstLine="708"/>
        <w:jc w:val="both"/>
        <w:rPr>
          <w:rFonts w:ascii="Arial Narrow" w:hAnsi="Arial Narrow" w:cs="Arial Narrow"/>
          <w:color w:val="000000"/>
          <w:sz w:val="22"/>
          <w:szCs w:val="22"/>
          <w:lang w:eastAsia="sk-SK"/>
        </w:rPr>
      </w:pPr>
      <w:r w:rsidR="00C31005">
        <w:rPr>
          <w:rFonts w:ascii="Arial Narrow" w:hAnsi="Arial Narrow" w:cs="Arial Narrow"/>
          <w:color w:val="000000"/>
          <w:sz w:val="22"/>
          <w:szCs w:val="22"/>
          <w:lang w:eastAsia="sk-SK"/>
        </w:rPr>
        <w:t>Prognózu MF SR považuje</w:t>
      </w:r>
      <w:r w:rsidRPr="00C11B82">
        <w:rPr>
          <w:rFonts w:ascii="Arial Narrow" w:hAnsi="Arial Narrow" w:cs="Arial Narrow"/>
          <w:color w:val="000000"/>
          <w:sz w:val="22"/>
          <w:szCs w:val="22"/>
          <w:lang w:eastAsia="sk-SK"/>
        </w:rPr>
        <w:t xml:space="preserve"> za </w:t>
      </w:r>
      <w:r>
        <w:rPr>
          <w:rFonts w:ascii="Arial Narrow" w:hAnsi="Arial Narrow" w:cs="Arial Narrow"/>
          <w:color w:val="000000"/>
          <w:sz w:val="22"/>
          <w:szCs w:val="22"/>
          <w:lang w:eastAsia="sk-SK"/>
        </w:rPr>
        <w:t>realistickú</w:t>
      </w:r>
      <w:r w:rsidRPr="00C11B82">
        <w:rPr>
          <w:rFonts w:ascii="Arial Narrow" w:hAnsi="Arial Narrow" w:cs="Arial Narrow"/>
          <w:color w:val="000000"/>
          <w:sz w:val="22"/>
          <w:szCs w:val="22"/>
          <w:lang w:eastAsia="sk-SK"/>
        </w:rPr>
        <w:t xml:space="preserve">. </w:t>
      </w:r>
    </w:p>
    <w:p w:rsidR="008A4068" w:rsidP="0032398F">
      <w:pPr>
        <w:bidi w:val="0"/>
        <w:ind w:firstLine="708"/>
        <w:jc w:val="both"/>
        <w:rPr>
          <w:rFonts w:ascii="Arial Narrow" w:hAnsi="Arial Narrow" w:cs="Arial Narrow"/>
          <w:sz w:val="22"/>
          <w:szCs w:val="22"/>
        </w:rPr>
      </w:pPr>
      <w:r w:rsidRPr="00AB7C91">
        <w:rPr>
          <w:rFonts w:ascii="Arial Narrow" w:hAnsi="Arial Narrow" w:cs="Arial Narrow"/>
          <w:sz w:val="22"/>
          <w:szCs w:val="22"/>
        </w:rPr>
        <w:t>V podmienkach posilňovania oživenia svetovej ekonomiky, ale stále pretrvávajúcej neistoty a po globálnom zohľadnení vplyvov doteraz  deklarovanej konsolidácie verejných financií možno prognózu označiť ako realistickú so signifikantným stupňom obozretnosti najmä v roku 2011. Siln</w:t>
      </w:r>
      <w:r>
        <w:rPr>
          <w:rFonts w:ascii="Arial Narrow" w:hAnsi="Arial Narrow" w:cs="Arial Narrow"/>
          <w:sz w:val="22"/>
          <w:szCs w:val="22"/>
        </w:rPr>
        <w:t>ou</w:t>
      </w:r>
      <w:r w:rsidRPr="00AB7C91">
        <w:rPr>
          <w:rFonts w:ascii="Arial Narrow" w:hAnsi="Arial Narrow" w:cs="Arial Narrow"/>
          <w:sz w:val="22"/>
          <w:szCs w:val="22"/>
        </w:rPr>
        <w:t xml:space="preserve"> stránk</w:t>
      </w:r>
      <w:r>
        <w:rPr>
          <w:rFonts w:ascii="Arial Narrow" w:hAnsi="Arial Narrow" w:cs="Arial Narrow"/>
          <w:sz w:val="22"/>
          <w:szCs w:val="22"/>
        </w:rPr>
        <w:t xml:space="preserve">ou je </w:t>
      </w:r>
      <w:r w:rsidRPr="00AB7C91">
        <w:rPr>
          <w:rFonts w:ascii="Arial Narrow" w:hAnsi="Arial Narrow" w:cs="Arial Narrow"/>
          <w:sz w:val="22"/>
          <w:szCs w:val="22"/>
        </w:rPr>
        <w:t>prognóza tvorby dôchodkov v národnom hospodárstve</w:t>
      </w:r>
      <w:r>
        <w:rPr>
          <w:rFonts w:ascii="Arial Narrow" w:hAnsi="Arial Narrow" w:cs="Arial Narrow"/>
          <w:sz w:val="22"/>
          <w:szCs w:val="22"/>
        </w:rPr>
        <w:t xml:space="preserve"> a </w:t>
      </w:r>
      <w:r w:rsidRPr="00AB7C91">
        <w:rPr>
          <w:rFonts w:ascii="Arial Narrow" w:hAnsi="Arial Narrow" w:cs="Arial Narrow"/>
          <w:sz w:val="22"/>
          <w:szCs w:val="22"/>
        </w:rPr>
        <w:t>prepojenosť medzi reálnym produktom a nezamestnanosťou.</w:t>
      </w:r>
      <w:r>
        <w:rPr>
          <w:rFonts w:ascii="Arial Narrow" w:hAnsi="Arial Narrow" w:cs="Arial Narrow"/>
          <w:sz w:val="22"/>
          <w:szCs w:val="22"/>
        </w:rPr>
        <w:t xml:space="preserve"> </w:t>
      </w:r>
      <w:r w:rsidRPr="00AB7C91">
        <w:rPr>
          <w:rFonts w:ascii="Arial Narrow" w:hAnsi="Arial Narrow" w:cs="Arial Narrow"/>
          <w:sz w:val="22"/>
          <w:szCs w:val="22"/>
        </w:rPr>
        <w:t>Slab</w:t>
      </w:r>
      <w:r>
        <w:rPr>
          <w:rFonts w:ascii="Arial Narrow" w:hAnsi="Arial Narrow" w:cs="Arial Narrow"/>
          <w:sz w:val="22"/>
          <w:szCs w:val="22"/>
        </w:rPr>
        <w:t>ou</w:t>
      </w:r>
      <w:r w:rsidRPr="00AB7C91">
        <w:rPr>
          <w:rFonts w:ascii="Arial Narrow" w:hAnsi="Arial Narrow" w:cs="Arial Narrow"/>
          <w:sz w:val="22"/>
          <w:szCs w:val="22"/>
        </w:rPr>
        <w:t xml:space="preserve"> stránk</w:t>
      </w:r>
      <w:r>
        <w:rPr>
          <w:rFonts w:ascii="Arial Narrow" w:hAnsi="Arial Narrow" w:cs="Arial Narrow"/>
          <w:sz w:val="22"/>
          <w:szCs w:val="22"/>
        </w:rPr>
        <w:t xml:space="preserve">ou je </w:t>
      </w:r>
      <w:r w:rsidRPr="00AB7C91">
        <w:rPr>
          <w:rFonts w:ascii="Arial Narrow" w:hAnsi="Arial Narrow" w:cs="Arial Narrow"/>
          <w:sz w:val="22"/>
          <w:szCs w:val="22"/>
        </w:rPr>
        <w:t>prepojenosť medzi reálnym produktom a štruktúrou agregátneho dopytu</w:t>
      </w:r>
      <w:r w:rsidR="00B377DE">
        <w:rPr>
          <w:rFonts w:ascii="Arial Narrow" w:hAnsi="Arial Narrow" w:cs="Arial Narrow"/>
          <w:sz w:val="22"/>
          <w:szCs w:val="22"/>
        </w:rPr>
        <w:t>,</w:t>
      </w:r>
      <w:r>
        <w:rPr>
          <w:rFonts w:ascii="Arial Narrow" w:hAnsi="Arial Narrow" w:cs="Arial Narrow"/>
          <w:sz w:val="22"/>
          <w:szCs w:val="22"/>
        </w:rPr>
        <w:t xml:space="preserve"> </w:t>
      </w:r>
      <w:r w:rsidRPr="00AB7C91">
        <w:rPr>
          <w:rFonts w:ascii="Arial Narrow" w:hAnsi="Arial Narrow" w:cs="Arial Narrow"/>
          <w:sz w:val="22"/>
          <w:szCs w:val="22"/>
        </w:rPr>
        <w:t>prepojenosť medzi reálnym produktom a zamestnanosťou v roku 2011.</w:t>
      </w:r>
    </w:p>
    <w:p w:rsidR="008A4068" w:rsidRPr="00C11B82"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 xml:space="preserve">SLSP </w:t>
      </w:r>
    </w:p>
    <w:p w:rsidR="008A4068" w:rsidRPr="00C11B82" w:rsidP="0032398F">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w:t>
      </w:r>
      <w:r>
        <w:rPr>
          <w:rFonts w:ascii="Arial Narrow" w:hAnsi="Arial Narrow" w:cs="Arial Narrow"/>
          <w:color w:val="000000"/>
          <w:sz w:val="22"/>
          <w:szCs w:val="22"/>
          <w:lang w:eastAsia="sk-SK"/>
        </w:rPr>
        <w:t>konzervatívnu</w:t>
      </w:r>
      <w:r w:rsidRPr="00C11B82">
        <w:rPr>
          <w:rFonts w:ascii="Arial Narrow" w:hAnsi="Arial Narrow" w:cs="Arial Narrow"/>
          <w:color w:val="000000"/>
          <w:sz w:val="22"/>
          <w:szCs w:val="22"/>
          <w:lang w:eastAsia="sk-SK"/>
        </w:rPr>
        <w:t xml:space="preserve">. </w:t>
      </w:r>
    </w:p>
    <w:p w:rsidR="008A4068" w:rsidP="0032398F">
      <w:pPr>
        <w:bidi w:val="0"/>
        <w:ind w:firstLine="708"/>
        <w:jc w:val="both"/>
        <w:rPr>
          <w:rFonts w:ascii="Arial Narrow" w:hAnsi="Arial Narrow" w:cs="Arial Narrow"/>
          <w:sz w:val="22"/>
          <w:szCs w:val="22"/>
        </w:rPr>
      </w:pPr>
      <w:r>
        <w:rPr>
          <w:rFonts w:ascii="Arial Narrow" w:hAnsi="Arial Narrow" w:cs="Arial Narrow"/>
          <w:sz w:val="22"/>
          <w:szCs w:val="22"/>
        </w:rPr>
        <w:t>V</w:t>
      </w:r>
      <w:r w:rsidRPr="00C2082B">
        <w:rPr>
          <w:rFonts w:ascii="Arial Narrow" w:hAnsi="Arial Narrow" w:cs="Arial Narrow"/>
          <w:sz w:val="22"/>
          <w:szCs w:val="22"/>
        </w:rPr>
        <w:t xml:space="preserve"> prípade miezd očakáva pozitívnejší vývoj</w:t>
      </w:r>
      <w:r>
        <w:rPr>
          <w:rFonts w:ascii="Arial Narrow" w:hAnsi="Arial Narrow" w:cs="Arial Narrow"/>
          <w:sz w:val="22"/>
          <w:szCs w:val="22"/>
        </w:rPr>
        <w:t>, o</w:t>
      </w:r>
      <w:r w:rsidRPr="00C2082B">
        <w:rPr>
          <w:rFonts w:ascii="Arial Narrow" w:hAnsi="Arial Narrow" w:cs="Arial Narrow"/>
          <w:sz w:val="22"/>
          <w:szCs w:val="22"/>
        </w:rPr>
        <w:t>čakáva, že mzdy budú bližšie kopírovať vývoj reálnej ekonomiky (rast HDP).</w:t>
      </w:r>
    </w:p>
    <w:p w:rsidR="008A4068" w:rsidRPr="00C2082B"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 xml:space="preserve">TATRA BANKA </w:t>
      </w:r>
    </w:p>
    <w:p w:rsidR="008A4068" w:rsidRPr="00C11B82" w:rsidP="0032398F">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w:t>
      </w:r>
      <w:r>
        <w:rPr>
          <w:rFonts w:ascii="Arial Narrow" w:hAnsi="Arial Narrow" w:cs="Arial Narrow"/>
          <w:color w:val="000000"/>
          <w:sz w:val="22"/>
          <w:szCs w:val="22"/>
          <w:lang w:eastAsia="sk-SK"/>
        </w:rPr>
        <w:t>konzervatívnu</w:t>
      </w:r>
      <w:r w:rsidRPr="00C11B82">
        <w:rPr>
          <w:rFonts w:ascii="Arial Narrow" w:hAnsi="Arial Narrow" w:cs="Arial Narrow"/>
          <w:color w:val="000000"/>
          <w:sz w:val="22"/>
          <w:szCs w:val="22"/>
          <w:lang w:eastAsia="sk-SK"/>
        </w:rPr>
        <w:t xml:space="preserve">. </w:t>
      </w:r>
    </w:p>
    <w:p w:rsidR="008A4068" w:rsidP="0032398F">
      <w:pPr>
        <w:bidi w:val="0"/>
        <w:ind w:firstLine="708"/>
        <w:jc w:val="both"/>
        <w:rPr>
          <w:rFonts w:ascii="Arial Narrow" w:hAnsi="Arial Narrow" w:cs="Arial Narrow"/>
          <w:sz w:val="22"/>
          <w:szCs w:val="22"/>
        </w:rPr>
      </w:pPr>
      <w:r w:rsidRPr="002E62FC">
        <w:rPr>
          <w:rFonts w:ascii="Arial Narrow" w:hAnsi="Arial Narrow" w:cs="Arial Narrow"/>
          <w:sz w:val="22"/>
          <w:szCs w:val="22"/>
        </w:rPr>
        <w:t>V roku 2011 očakáva silnejší rast reálneho HDP. Predpokladá, že z oživenia v západnej Európe bude</w:t>
      </w:r>
      <w:r w:rsidR="00461DFB">
        <w:rPr>
          <w:rFonts w:ascii="Arial Narrow" w:hAnsi="Arial Narrow" w:cs="Arial Narrow"/>
          <w:sz w:val="22"/>
          <w:szCs w:val="22"/>
        </w:rPr>
        <w:t xml:space="preserve"> SR</w:t>
      </w:r>
      <w:r w:rsidRPr="002E62FC">
        <w:rPr>
          <w:rFonts w:ascii="Arial Narrow" w:hAnsi="Arial Narrow" w:cs="Arial Narrow"/>
          <w:sz w:val="22"/>
          <w:szCs w:val="22"/>
        </w:rPr>
        <w:t xml:space="preserve"> profitovať vo väčšej miere. Očakáva aj vyšší rast spotreby domácností, ktorá bude podporená rýchlejším rastom zamestnanosti ako a</w:t>
      </w:r>
      <w:r w:rsidR="0032398F">
        <w:rPr>
          <w:rFonts w:ascii="Arial Narrow" w:hAnsi="Arial Narrow" w:cs="Arial Narrow"/>
          <w:sz w:val="22"/>
          <w:szCs w:val="22"/>
        </w:rPr>
        <w:t xml:space="preserve">j miezd. Prognóza pre roky 2012 až </w:t>
      </w:r>
      <w:r w:rsidRPr="002E62FC">
        <w:rPr>
          <w:rFonts w:ascii="Arial Narrow" w:hAnsi="Arial Narrow" w:cs="Arial Narrow"/>
          <w:sz w:val="22"/>
          <w:szCs w:val="22"/>
        </w:rPr>
        <w:t>2013 sa viac približuje k</w:t>
      </w:r>
      <w:r w:rsidR="00461DFB">
        <w:rPr>
          <w:rFonts w:ascii="Arial Narrow" w:hAnsi="Arial Narrow" w:cs="Arial Narrow"/>
          <w:sz w:val="22"/>
          <w:szCs w:val="22"/>
        </w:rPr>
        <w:t> prognóze Tatra banky</w:t>
      </w:r>
      <w:r w:rsidRPr="002E62FC">
        <w:rPr>
          <w:rFonts w:ascii="Arial Narrow" w:hAnsi="Arial Narrow" w:cs="Arial Narrow"/>
          <w:sz w:val="22"/>
          <w:szCs w:val="22"/>
        </w:rPr>
        <w:t>, preto ju pre tieto roky považuje za realistickú.</w:t>
      </w:r>
    </w:p>
    <w:p w:rsidR="008A4068" w:rsidRPr="002E62FC"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 xml:space="preserve">UNICREDIT Bank </w:t>
      </w:r>
    </w:p>
    <w:p w:rsidR="008A4068" w:rsidRPr="00C11B82" w:rsidP="0032398F">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realistickú. </w:t>
      </w:r>
      <w:r w:rsidR="0032398F">
        <w:rPr>
          <w:rFonts w:ascii="Arial Narrow" w:hAnsi="Arial Narrow" w:cs="Arial Narrow"/>
          <w:color w:val="000000"/>
          <w:sz w:val="22"/>
          <w:szCs w:val="22"/>
          <w:lang w:eastAsia="sk-SK"/>
        </w:rPr>
        <w:t xml:space="preserve"> </w:t>
      </w:r>
    </w:p>
    <w:p w:rsidR="008A4068" w:rsidP="0032398F">
      <w:pPr>
        <w:bidi w:val="0"/>
        <w:ind w:firstLine="708"/>
        <w:jc w:val="both"/>
        <w:rPr>
          <w:rFonts w:ascii="Arial Narrow" w:hAnsi="Arial Narrow" w:cs="Arial Narrow"/>
          <w:sz w:val="22"/>
          <w:szCs w:val="22"/>
        </w:rPr>
      </w:pPr>
      <w:r w:rsidRPr="002E62FC">
        <w:rPr>
          <w:rFonts w:ascii="Arial Narrow" w:hAnsi="Arial Narrow" w:cs="Arial Narrow"/>
          <w:sz w:val="22"/>
          <w:szCs w:val="22"/>
        </w:rPr>
        <w:t>Riziká prognózy sa javia relatívne vybalansované. Predpokladá, že zotavenie slovenskej ekonomiky bude mierne silnejšie v tomto roku, čo sa týka rastu HDP, ale aj rastu reálnych miezd.</w:t>
      </w:r>
      <w:r>
        <w:rPr>
          <w:rFonts w:ascii="Arial Narrow" w:hAnsi="Arial Narrow" w:cs="Arial Narrow"/>
          <w:sz w:val="22"/>
          <w:szCs w:val="22"/>
        </w:rPr>
        <w:t xml:space="preserve"> </w:t>
      </w:r>
      <w:r w:rsidRPr="002E62FC">
        <w:rPr>
          <w:rFonts w:ascii="Arial Narrow" w:hAnsi="Arial Narrow" w:cs="Arial Narrow"/>
          <w:sz w:val="22"/>
          <w:szCs w:val="22"/>
        </w:rPr>
        <w:t xml:space="preserve">Na druhej strane, nakoľko ešte neboli zverejnené detaily </w:t>
      </w:r>
      <w:r w:rsidRPr="002E62FC" w:rsidR="00C94A21">
        <w:rPr>
          <w:rFonts w:ascii="Arial Narrow" w:hAnsi="Arial Narrow" w:cs="Arial Narrow"/>
          <w:sz w:val="22"/>
          <w:szCs w:val="22"/>
        </w:rPr>
        <w:t>fiškálneho</w:t>
      </w:r>
      <w:r w:rsidRPr="002E62FC">
        <w:rPr>
          <w:rFonts w:ascii="Arial Narrow" w:hAnsi="Arial Narrow" w:cs="Arial Narrow"/>
          <w:sz w:val="22"/>
          <w:szCs w:val="22"/>
        </w:rPr>
        <w:t xml:space="preserve"> balíčka na výdavkovej strane, nemenili odhad rastu HDP pre budúci rok. Má ho podobne ako MF SR nižšie ako je rast v tomto roku. Vid</w:t>
      </w:r>
      <w:r w:rsidR="0032398F">
        <w:rPr>
          <w:rFonts w:ascii="Arial Narrow" w:hAnsi="Arial Narrow" w:cs="Arial Narrow"/>
          <w:sz w:val="22"/>
          <w:szCs w:val="22"/>
        </w:rPr>
        <w:t>ia</w:t>
      </w:r>
      <w:r w:rsidRPr="002E62FC">
        <w:rPr>
          <w:rFonts w:ascii="Arial Narrow" w:hAnsi="Arial Narrow" w:cs="Arial Narrow"/>
          <w:sz w:val="22"/>
          <w:szCs w:val="22"/>
        </w:rPr>
        <w:t xml:space="preserve"> však riziká, že reálne mzdy môžu v budúcom roku poklesnúť.</w:t>
      </w:r>
    </w:p>
    <w:p w:rsidR="008A4068" w:rsidRPr="002E62FC" w:rsidP="008A4068">
      <w:pPr>
        <w:bidi w:val="0"/>
        <w:jc w:val="both"/>
        <w:rPr>
          <w:rFonts w:ascii="Arial Narrow" w:hAnsi="Arial Narrow" w:cs="Arial Narrow"/>
          <w:sz w:val="22"/>
          <w:szCs w:val="22"/>
        </w:rPr>
      </w:pPr>
    </w:p>
    <w:p w:rsidR="008A4068" w:rsidRPr="00C11B82" w:rsidP="008A4068">
      <w:pPr>
        <w:bidi w:val="0"/>
        <w:spacing w:before="48" w:beforeLines="20" w:after="48" w:afterLines="20"/>
        <w:jc w:val="both"/>
        <w:rPr>
          <w:rFonts w:ascii="Arial Narrow" w:hAnsi="Arial Narrow" w:cs="Arial Narrow"/>
          <w:sz w:val="22"/>
          <w:szCs w:val="22"/>
          <w:u w:val="single"/>
        </w:rPr>
      </w:pPr>
      <w:r w:rsidRPr="00C11B82">
        <w:rPr>
          <w:rFonts w:ascii="Arial Narrow" w:hAnsi="Arial Narrow" w:cs="Arial Narrow"/>
          <w:sz w:val="22"/>
          <w:szCs w:val="22"/>
          <w:u w:val="single"/>
        </w:rPr>
        <w:t xml:space="preserve">VÚB </w:t>
      </w:r>
    </w:p>
    <w:p w:rsidR="008A4068" w:rsidRPr="00C11B82" w:rsidP="0027561E">
      <w:pPr>
        <w:bidi w:val="0"/>
        <w:spacing w:after="120"/>
        <w:ind w:firstLine="708"/>
        <w:jc w:val="both"/>
        <w:rPr>
          <w:rFonts w:ascii="Arial Narrow" w:hAnsi="Arial Narrow" w:cs="Arial Narrow"/>
          <w:color w:val="000000"/>
          <w:sz w:val="22"/>
          <w:szCs w:val="22"/>
          <w:lang w:eastAsia="sk-SK"/>
        </w:rPr>
      </w:pPr>
      <w:r w:rsidRPr="00C11B82">
        <w:rPr>
          <w:rFonts w:ascii="Arial Narrow" w:hAnsi="Arial Narrow" w:cs="Arial Narrow"/>
          <w:color w:val="000000"/>
          <w:sz w:val="22"/>
          <w:szCs w:val="22"/>
          <w:lang w:eastAsia="sk-SK"/>
        </w:rPr>
        <w:t xml:space="preserve">Prognózu MF SR považuje za </w:t>
      </w:r>
      <w:r>
        <w:rPr>
          <w:rFonts w:ascii="Arial Narrow" w:hAnsi="Arial Narrow" w:cs="Arial Narrow"/>
          <w:color w:val="000000"/>
          <w:sz w:val="22"/>
          <w:szCs w:val="22"/>
          <w:lang w:eastAsia="sk-SK"/>
        </w:rPr>
        <w:t>realistickú</w:t>
      </w:r>
      <w:r w:rsidRPr="00C11B82">
        <w:rPr>
          <w:rFonts w:ascii="Arial Narrow" w:hAnsi="Arial Narrow" w:cs="Arial Narrow"/>
          <w:color w:val="000000"/>
          <w:sz w:val="22"/>
          <w:szCs w:val="22"/>
          <w:lang w:eastAsia="sk-SK"/>
        </w:rPr>
        <w:t xml:space="preserve">. </w:t>
      </w:r>
      <w:r w:rsidR="0027561E">
        <w:rPr>
          <w:rFonts w:ascii="Arial Narrow" w:hAnsi="Arial Narrow" w:cs="Arial Narrow"/>
          <w:color w:val="000000"/>
          <w:sz w:val="22"/>
          <w:szCs w:val="22"/>
          <w:lang w:eastAsia="sk-SK"/>
        </w:rPr>
        <w:t xml:space="preserve"> </w:t>
      </w:r>
    </w:p>
    <w:p w:rsidR="008A4068" w:rsidRPr="00C11B82" w:rsidP="0027561E">
      <w:pPr>
        <w:bidi w:val="0"/>
        <w:ind w:firstLine="708"/>
        <w:jc w:val="both"/>
        <w:rPr>
          <w:rFonts w:ascii="Arial Narrow" w:hAnsi="Arial Narrow" w:cs="Arial Narrow"/>
          <w:sz w:val="22"/>
          <w:szCs w:val="22"/>
        </w:rPr>
      </w:pPr>
      <w:r w:rsidRPr="00B329B2">
        <w:rPr>
          <w:rFonts w:ascii="Arial Narrow" w:hAnsi="Arial Narrow" w:cs="Arial Narrow"/>
          <w:sz w:val="22"/>
          <w:szCs w:val="22"/>
        </w:rPr>
        <w:t>Priemerný odhadovaný reálny rast slovenskej ekonomiky v rokoch 2010</w:t>
      </w:r>
      <w:r w:rsidR="0032398F">
        <w:rPr>
          <w:rFonts w:ascii="Arial Narrow" w:hAnsi="Arial Narrow" w:cs="Arial Narrow"/>
          <w:sz w:val="22"/>
          <w:szCs w:val="22"/>
        </w:rPr>
        <w:t xml:space="preserve"> až 20</w:t>
      </w:r>
      <w:r w:rsidRPr="00B329B2">
        <w:rPr>
          <w:rFonts w:ascii="Arial Narrow" w:hAnsi="Arial Narrow" w:cs="Arial Narrow"/>
          <w:sz w:val="22"/>
          <w:szCs w:val="22"/>
        </w:rPr>
        <w:t>13 je v odhadoch MF</w:t>
      </w:r>
      <w:r w:rsidR="0027561E">
        <w:rPr>
          <w:rFonts w:ascii="Arial Narrow" w:hAnsi="Arial Narrow" w:cs="Arial Narrow"/>
          <w:sz w:val="22"/>
          <w:szCs w:val="22"/>
        </w:rPr>
        <w:t xml:space="preserve"> </w:t>
      </w:r>
      <w:r w:rsidRPr="00B329B2">
        <w:rPr>
          <w:rFonts w:ascii="Arial Narrow" w:hAnsi="Arial Narrow" w:cs="Arial Narrow"/>
          <w:sz w:val="22"/>
          <w:szCs w:val="22"/>
        </w:rPr>
        <w:t xml:space="preserve">SR aj VÚB </w:t>
      </w:r>
      <w:r>
        <w:rPr>
          <w:rFonts w:ascii="Arial Narrow" w:hAnsi="Arial Narrow" w:cs="Arial Narrow"/>
          <w:sz w:val="22"/>
          <w:szCs w:val="22"/>
        </w:rPr>
        <w:t>rovnaký, a to na úrovni 4,1</w:t>
      </w:r>
      <w:r w:rsidR="00435441">
        <w:rPr>
          <w:rFonts w:ascii="Arial Narrow" w:hAnsi="Arial Narrow" w:cs="Arial Narrow"/>
          <w:sz w:val="22"/>
          <w:szCs w:val="22"/>
        </w:rPr>
        <w:t xml:space="preserve"> </w:t>
      </w:r>
      <w:r>
        <w:rPr>
          <w:rFonts w:ascii="Arial Narrow" w:hAnsi="Arial Narrow" w:cs="Arial Narrow"/>
          <w:sz w:val="22"/>
          <w:szCs w:val="22"/>
        </w:rPr>
        <w:t>%</w:t>
      </w:r>
      <w:r w:rsidRPr="00B329B2">
        <w:rPr>
          <w:rFonts w:ascii="Arial Narrow" w:hAnsi="Arial Narrow" w:cs="Arial Narrow"/>
          <w:sz w:val="22"/>
          <w:szCs w:val="22"/>
        </w:rPr>
        <w:t>. Rovnaká je na oboch stranách aj identifikácia a vnímanie rizík, ktoré by mohli vplývať na prognózu. Odlišný pohľad na vývoj ekonomiky je badateľný v roku 2010, kde je MF</w:t>
      </w:r>
      <w:r w:rsidR="00D564D1">
        <w:rPr>
          <w:rFonts w:ascii="Arial Narrow" w:hAnsi="Arial Narrow" w:cs="Arial Narrow"/>
          <w:sz w:val="22"/>
          <w:szCs w:val="22"/>
        </w:rPr>
        <w:t xml:space="preserve"> </w:t>
      </w:r>
      <w:r w:rsidRPr="00B329B2">
        <w:rPr>
          <w:rFonts w:ascii="Arial Narrow" w:hAnsi="Arial Narrow" w:cs="Arial Narrow"/>
          <w:sz w:val="22"/>
          <w:szCs w:val="22"/>
        </w:rPr>
        <w:t>SR oproti očakávaniam VÚB o niečo konzervatívnejšie, a to najmä na strane spotreby a vývoja na trhu práce.</w:t>
      </w:r>
    </w:p>
    <w:p w:rsidR="0096107A" w:rsidP="0096107A">
      <w:pPr>
        <w:pStyle w:val="Heading1"/>
        <w:bidi w:val="0"/>
        <w:rPr>
          <w:b w:val="0"/>
          <w:bCs w:val="0"/>
        </w:rPr>
      </w:pPr>
      <w:bookmarkStart w:id="19" w:name="_Toc148255240"/>
      <w:bookmarkStart w:id="20" w:name="_Toc174871965"/>
      <w:bookmarkStart w:id="21" w:name="_Toc206478399"/>
      <w:bookmarkStart w:id="22" w:name="_Toc211592390"/>
      <w:bookmarkStart w:id="23" w:name="_Toc273474196"/>
      <w:bookmarkStart w:id="24" w:name="_Toc273148229"/>
      <w:bookmarkStart w:id="25" w:name="_Toc273979611"/>
      <w:bookmarkEnd w:id="4"/>
      <w:bookmarkEnd w:id="5"/>
      <w:r w:rsidRPr="00E00263">
        <w:rPr>
          <w:rFonts w:ascii="Arial Narrow" w:hAnsi="Arial Narrow" w:cs="Arial Narrow"/>
          <w:sz w:val="28"/>
          <w:szCs w:val="28"/>
        </w:rPr>
        <w:t xml:space="preserve">2. Východiskový rámec rozpočtu verejnej správy na roky </w:t>
      </w:r>
      <w:bookmarkEnd w:id="19"/>
      <w:bookmarkEnd w:id="20"/>
      <w:bookmarkEnd w:id="21"/>
      <w:bookmarkEnd w:id="22"/>
      <w:r>
        <w:rPr>
          <w:rFonts w:ascii="Arial Narrow" w:hAnsi="Arial Narrow" w:cs="Arial Narrow"/>
          <w:sz w:val="28"/>
          <w:szCs w:val="28"/>
        </w:rPr>
        <w:t>2011 až 2013</w:t>
      </w:r>
      <w:bookmarkEnd w:id="23"/>
      <w:bookmarkEnd w:id="25"/>
    </w:p>
    <w:p w:rsidR="0096107A" w:rsidP="0096107A">
      <w:pPr>
        <w:bidi w:val="0"/>
        <w:rPr>
          <w:rFonts w:ascii="Arial Narrow" w:hAnsi="Arial Narrow" w:cs="Arial Narrow"/>
          <w:sz w:val="28"/>
          <w:szCs w:val="28"/>
        </w:rPr>
      </w:pPr>
    </w:p>
    <w:p w:rsidR="0096107A" w:rsidP="0096107A">
      <w:pPr>
        <w:pStyle w:val="Heading2"/>
        <w:bidi w:val="0"/>
        <w:spacing w:before="0" w:after="0"/>
        <w:rPr>
          <w:rFonts w:ascii="Arial Narrow" w:hAnsi="Arial Narrow" w:cs="Arial Narrow"/>
          <w:i w:val="0"/>
          <w:iCs w:val="0"/>
          <w:sz w:val="24"/>
          <w:szCs w:val="24"/>
        </w:rPr>
      </w:pPr>
      <w:bookmarkStart w:id="26" w:name="_Toc211592391"/>
      <w:bookmarkStart w:id="27" w:name="_Toc206478400"/>
      <w:bookmarkStart w:id="28" w:name="_Toc174871966"/>
      <w:bookmarkStart w:id="29" w:name="_Toc148255241"/>
      <w:bookmarkStart w:id="30" w:name="_Toc143348593"/>
      <w:bookmarkStart w:id="31" w:name="_Toc273474197"/>
      <w:bookmarkStart w:id="32" w:name="_Toc273979612"/>
      <w:r>
        <w:rPr>
          <w:rFonts w:ascii="Arial Narrow" w:hAnsi="Arial Narrow" w:cs="Arial Narrow"/>
          <w:i w:val="0"/>
          <w:iCs w:val="0"/>
          <w:sz w:val="24"/>
          <w:szCs w:val="24"/>
        </w:rPr>
        <w:t>2.1. Základné predpoklady zostavenia rozpočtu verejnej správy</w:t>
      </w:r>
      <w:bookmarkEnd w:id="26"/>
      <w:bookmarkEnd w:id="27"/>
      <w:bookmarkEnd w:id="28"/>
      <w:bookmarkEnd w:id="29"/>
      <w:bookmarkEnd w:id="30"/>
      <w:bookmarkEnd w:id="31"/>
      <w:bookmarkEnd w:id="32"/>
      <w:r>
        <w:rPr>
          <w:rFonts w:ascii="Arial Narrow" w:hAnsi="Arial Narrow" w:cs="Arial Narrow"/>
          <w:i w:val="0"/>
          <w:iCs w:val="0"/>
          <w:sz w:val="24"/>
          <w:szCs w:val="24"/>
        </w:rPr>
        <w:t xml:space="preserve"> </w:t>
      </w:r>
    </w:p>
    <w:p w:rsidR="0096107A" w:rsidP="0096107A">
      <w:pPr>
        <w:bidi w:val="0"/>
        <w:jc w:val="both"/>
        <w:rPr>
          <w:rFonts w:ascii="Arial Narrow" w:hAnsi="Arial Narrow" w:cs="Arial Narrow"/>
        </w:rPr>
      </w:pPr>
    </w:p>
    <w:p w:rsidR="0096107A" w:rsidP="0096107A">
      <w:pPr>
        <w:autoSpaceDE w:val="0"/>
        <w:autoSpaceDN w:val="0"/>
        <w:bidi w:val="0"/>
        <w:adjustRightInd w:val="0"/>
        <w:ind w:firstLine="708"/>
        <w:jc w:val="both"/>
        <w:rPr>
          <w:rFonts w:ascii="Arial Narrow" w:hAnsi="Arial Narrow" w:cs="Arial Narrow"/>
          <w:sz w:val="22"/>
          <w:szCs w:val="22"/>
        </w:rPr>
      </w:pPr>
      <w:r>
        <w:rPr>
          <w:rFonts w:ascii="Arial Narrow" w:hAnsi="Arial Narrow" w:cs="Arial Narrow"/>
          <w:sz w:val="22"/>
          <w:szCs w:val="22"/>
        </w:rPr>
        <w:t>Návrh rozpočtu verejnej správy na roky 2011 až 2013 je zostavený na základe aktuálnej prognózy makroekonomického vývoja a vychádza z </w:t>
      </w:r>
      <w:r w:rsidR="00D564D1">
        <w:rPr>
          <w:rFonts w:ascii="Arial Narrow" w:hAnsi="Arial Narrow" w:cs="Arial Narrow"/>
          <w:sz w:val="22"/>
          <w:szCs w:val="22"/>
        </w:rPr>
        <w:t>P</w:t>
      </w:r>
      <w:r>
        <w:rPr>
          <w:rFonts w:ascii="Arial Narrow" w:hAnsi="Arial Narrow" w:cs="Arial Narrow"/>
          <w:sz w:val="22"/>
          <w:szCs w:val="22"/>
        </w:rPr>
        <w:t>rogramového vyhlásenia vlády</w:t>
      </w:r>
      <w:r w:rsidR="00D564D1">
        <w:rPr>
          <w:rFonts w:ascii="Arial Narrow" w:hAnsi="Arial Narrow" w:cs="Arial Narrow"/>
          <w:sz w:val="22"/>
          <w:szCs w:val="22"/>
        </w:rPr>
        <w:t xml:space="preserve"> SR</w:t>
      </w:r>
      <w:r>
        <w:rPr>
          <w:rFonts w:ascii="Arial Narrow" w:hAnsi="Arial Narrow" w:cs="Arial Narrow"/>
          <w:sz w:val="22"/>
          <w:szCs w:val="22"/>
        </w:rPr>
        <w:t>.</w:t>
      </w:r>
    </w:p>
    <w:p w:rsidR="0096107A" w:rsidP="0096107A">
      <w:pPr>
        <w:autoSpaceDE w:val="0"/>
        <w:autoSpaceDN w:val="0"/>
        <w:bidi w:val="0"/>
        <w:adjustRightInd w:val="0"/>
        <w:ind w:firstLine="708"/>
        <w:jc w:val="both"/>
        <w:rPr>
          <w:rFonts w:ascii="Arial Narrow" w:hAnsi="Arial Narrow" w:cs="Arial Narrow"/>
          <w:sz w:val="22"/>
          <w:szCs w:val="22"/>
        </w:rPr>
      </w:pPr>
    </w:p>
    <w:p w:rsidR="0096107A" w:rsidP="0096107A">
      <w:pPr>
        <w:autoSpaceDE w:val="0"/>
        <w:autoSpaceDN w:val="0"/>
        <w:bidi w:val="0"/>
        <w:adjustRightInd w:val="0"/>
        <w:ind w:firstLine="708"/>
        <w:jc w:val="both"/>
        <w:rPr>
          <w:rFonts w:ascii="Arial Narrow" w:hAnsi="Arial Narrow" w:cs="Arial Narrow"/>
          <w:sz w:val="22"/>
          <w:szCs w:val="22"/>
        </w:rPr>
      </w:pPr>
      <w:r>
        <w:rPr>
          <w:rFonts w:ascii="Arial Narrow" w:hAnsi="Arial Narrow" w:cs="Arial Narrow"/>
          <w:sz w:val="22"/>
          <w:szCs w:val="22"/>
        </w:rPr>
        <w:t>Hlavným cieľom fiškálnej politiky, vyplývajúcim z Programového vyhlásenia vlády SR, je zabezpečiť  z</w:t>
      </w:r>
      <w:r w:rsidRPr="00DC48B0">
        <w:rPr>
          <w:rFonts w:ascii="Arial Narrow" w:hAnsi="Arial Narrow" w:cs="Arial Narrow"/>
          <w:sz w:val="22"/>
          <w:szCs w:val="22"/>
        </w:rPr>
        <w:t>odpovednú rozpo</w:t>
      </w:r>
      <w:r>
        <w:rPr>
          <w:rFonts w:ascii="Arial Narrow" w:hAnsi="Arial Narrow" w:cs="Arial Narrow"/>
          <w:sz w:val="22"/>
          <w:szCs w:val="22"/>
        </w:rPr>
        <w:t>čt</w:t>
      </w:r>
      <w:r w:rsidRPr="00DC48B0">
        <w:rPr>
          <w:rFonts w:ascii="Arial Narrow" w:hAnsi="Arial Narrow" w:cs="Arial Narrow"/>
          <w:sz w:val="22"/>
          <w:szCs w:val="22"/>
        </w:rPr>
        <w:t>ovú politiku a výrazné zníženie sú</w:t>
      </w:r>
      <w:r>
        <w:rPr>
          <w:rFonts w:ascii="Arial Narrow" w:hAnsi="Arial Narrow" w:cs="Arial Narrow"/>
          <w:sz w:val="22"/>
          <w:szCs w:val="22"/>
        </w:rPr>
        <w:t>č</w:t>
      </w:r>
      <w:r w:rsidRPr="00DC48B0">
        <w:rPr>
          <w:rFonts w:ascii="Arial Narrow" w:hAnsi="Arial Narrow" w:cs="Arial Narrow"/>
          <w:sz w:val="22"/>
          <w:szCs w:val="22"/>
        </w:rPr>
        <w:t>asného deficitu verejných</w:t>
      </w:r>
      <w:r>
        <w:rPr>
          <w:rFonts w:ascii="Arial Narrow" w:hAnsi="Arial Narrow" w:cs="Arial Narrow"/>
          <w:sz w:val="22"/>
          <w:szCs w:val="22"/>
        </w:rPr>
        <w:t xml:space="preserve"> </w:t>
      </w:r>
      <w:r w:rsidRPr="00DC48B0">
        <w:rPr>
          <w:rFonts w:ascii="Arial Narrow" w:hAnsi="Arial Narrow" w:cs="Arial Narrow"/>
          <w:sz w:val="22"/>
          <w:szCs w:val="22"/>
        </w:rPr>
        <w:t>financií</w:t>
      </w:r>
      <w:r>
        <w:rPr>
          <w:rFonts w:ascii="Arial Narrow" w:hAnsi="Arial Narrow" w:cs="Arial Narrow"/>
          <w:sz w:val="22"/>
          <w:szCs w:val="22"/>
        </w:rPr>
        <w:t xml:space="preserve">, ktoré </w:t>
      </w:r>
      <w:r w:rsidRPr="00DC48B0">
        <w:rPr>
          <w:rFonts w:ascii="Arial Narrow" w:hAnsi="Arial Narrow" w:cs="Arial Narrow"/>
          <w:sz w:val="22"/>
          <w:szCs w:val="22"/>
        </w:rPr>
        <w:t>považuje vláda SR za základný predpoklad pre úspešný ekonomický vývoj</w:t>
      </w:r>
      <w:r>
        <w:rPr>
          <w:rFonts w:ascii="Arial Narrow" w:hAnsi="Arial Narrow" w:cs="Arial Narrow"/>
          <w:sz w:val="22"/>
          <w:szCs w:val="22"/>
        </w:rPr>
        <w:t xml:space="preserve"> </w:t>
      </w:r>
      <w:r w:rsidRPr="00DC48B0">
        <w:rPr>
          <w:rFonts w:ascii="Arial Narrow" w:hAnsi="Arial Narrow" w:cs="Arial Narrow"/>
          <w:sz w:val="22"/>
          <w:szCs w:val="22"/>
        </w:rPr>
        <w:t>a dlhodobo udržate</w:t>
      </w:r>
      <w:r>
        <w:rPr>
          <w:rFonts w:ascii="Arial Narrow" w:hAnsi="Arial Narrow" w:cs="Arial Narrow"/>
          <w:sz w:val="22"/>
          <w:szCs w:val="22"/>
        </w:rPr>
        <w:t>ľ</w:t>
      </w:r>
      <w:r w:rsidRPr="00DC48B0">
        <w:rPr>
          <w:rFonts w:ascii="Arial Narrow" w:hAnsi="Arial Narrow" w:cs="Arial Narrow"/>
          <w:sz w:val="22"/>
          <w:szCs w:val="22"/>
        </w:rPr>
        <w:t>ný rast životnej úrovne ob</w:t>
      </w:r>
      <w:r>
        <w:rPr>
          <w:rFonts w:ascii="Arial Narrow" w:hAnsi="Arial Narrow" w:cs="Arial Narrow"/>
          <w:sz w:val="22"/>
          <w:szCs w:val="22"/>
        </w:rPr>
        <w:t>č</w:t>
      </w:r>
      <w:r w:rsidRPr="00DC48B0">
        <w:rPr>
          <w:rFonts w:ascii="Arial Narrow" w:hAnsi="Arial Narrow" w:cs="Arial Narrow"/>
          <w:sz w:val="22"/>
          <w:szCs w:val="22"/>
        </w:rPr>
        <w:t>anov Slovenskej republiky. Zásadným cie</w:t>
      </w:r>
      <w:r>
        <w:rPr>
          <w:rFonts w:ascii="Arial Narrow" w:hAnsi="Arial Narrow" w:cs="Arial Narrow"/>
          <w:sz w:val="22"/>
          <w:szCs w:val="22"/>
        </w:rPr>
        <w:t>ľ</w:t>
      </w:r>
      <w:r w:rsidRPr="00DC48B0">
        <w:rPr>
          <w:rFonts w:ascii="Arial Narrow" w:hAnsi="Arial Narrow" w:cs="Arial Narrow"/>
          <w:sz w:val="22"/>
          <w:szCs w:val="22"/>
        </w:rPr>
        <w:t>om vlády SR je zníženie deficitu</w:t>
      </w:r>
      <w:r>
        <w:rPr>
          <w:rFonts w:ascii="Arial Narrow" w:hAnsi="Arial Narrow" w:cs="Arial Narrow"/>
          <w:sz w:val="22"/>
          <w:szCs w:val="22"/>
        </w:rPr>
        <w:t xml:space="preserve"> </w:t>
      </w:r>
      <w:r w:rsidRPr="00DC48B0">
        <w:rPr>
          <w:rFonts w:ascii="Arial Narrow" w:hAnsi="Arial Narrow" w:cs="Arial Narrow"/>
          <w:sz w:val="22"/>
          <w:szCs w:val="22"/>
        </w:rPr>
        <w:t>verejných financií pod úrove</w:t>
      </w:r>
      <w:r>
        <w:rPr>
          <w:rFonts w:ascii="Arial Narrow" w:hAnsi="Arial Narrow" w:cs="Arial Narrow"/>
          <w:sz w:val="22"/>
          <w:szCs w:val="22"/>
        </w:rPr>
        <w:t>ň</w:t>
      </w:r>
      <w:r w:rsidRPr="00DC48B0">
        <w:rPr>
          <w:rFonts w:ascii="Arial Narrow" w:hAnsi="Arial Narrow" w:cs="Arial Narrow"/>
          <w:sz w:val="22"/>
          <w:szCs w:val="22"/>
        </w:rPr>
        <w:t xml:space="preserve"> 3 % hrubého domáceho produktu v roku 2013 tak, aby</w:t>
      </w:r>
      <w:r>
        <w:rPr>
          <w:rFonts w:ascii="Arial Narrow" w:hAnsi="Arial Narrow" w:cs="Arial Narrow"/>
          <w:sz w:val="22"/>
          <w:szCs w:val="22"/>
        </w:rPr>
        <w:t xml:space="preserve"> </w:t>
      </w:r>
      <w:r w:rsidRPr="00DC48B0">
        <w:rPr>
          <w:rFonts w:ascii="Arial Narrow" w:hAnsi="Arial Narrow" w:cs="Arial Narrow"/>
          <w:sz w:val="22"/>
          <w:szCs w:val="22"/>
        </w:rPr>
        <w:t>Slovensko dodržalo svoje záväzky vo</w:t>
      </w:r>
      <w:r>
        <w:rPr>
          <w:rFonts w:ascii="Arial Narrow" w:hAnsi="Arial Narrow" w:cs="Arial Narrow"/>
          <w:sz w:val="22"/>
          <w:szCs w:val="22"/>
        </w:rPr>
        <w:t>č</w:t>
      </w:r>
      <w:r w:rsidRPr="00DC48B0">
        <w:rPr>
          <w:rFonts w:ascii="Arial Narrow" w:hAnsi="Arial Narrow" w:cs="Arial Narrow"/>
          <w:sz w:val="22"/>
          <w:szCs w:val="22"/>
        </w:rPr>
        <w:t xml:space="preserve">i Európskej únii vyplývajúce </w:t>
      </w:r>
      <w:r>
        <w:rPr>
          <w:rFonts w:ascii="Arial Narrow" w:hAnsi="Arial Narrow" w:cs="Arial Narrow"/>
          <w:sz w:val="22"/>
          <w:szCs w:val="22"/>
        </w:rPr>
        <w:t xml:space="preserve">        </w:t>
      </w:r>
      <w:r w:rsidRPr="00DC48B0">
        <w:rPr>
          <w:rFonts w:ascii="Arial Narrow" w:hAnsi="Arial Narrow" w:cs="Arial Narrow"/>
          <w:sz w:val="22"/>
          <w:szCs w:val="22"/>
        </w:rPr>
        <w:t>z Paktu stability a rastu.</w:t>
      </w:r>
      <w:r>
        <w:rPr>
          <w:rFonts w:ascii="Arial Narrow" w:hAnsi="Arial Narrow" w:cs="Arial Narrow"/>
          <w:sz w:val="22"/>
          <w:szCs w:val="22"/>
        </w:rPr>
        <w:t xml:space="preserve"> </w:t>
      </w:r>
    </w:p>
    <w:p w:rsidR="0096107A" w:rsidP="0096107A">
      <w:pPr>
        <w:autoSpaceDE w:val="0"/>
        <w:autoSpaceDN w:val="0"/>
        <w:bidi w:val="0"/>
        <w:adjustRightInd w:val="0"/>
        <w:ind w:firstLine="708"/>
        <w:jc w:val="both"/>
        <w:rPr>
          <w:rFonts w:ascii="Arial Narrow" w:hAnsi="Arial Narrow" w:cs="Arial Narrow"/>
          <w:sz w:val="22"/>
          <w:szCs w:val="22"/>
        </w:rPr>
      </w:pPr>
    </w:p>
    <w:p w:rsidR="0096107A" w:rsidP="0096107A">
      <w:pPr>
        <w:bidi w:val="0"/>
        <w:ind w:firstLine="708"/>
        <w:jc w:val="both"/>
        <w:rPr>
          <w:rFonts w:ascii="Arial Narrow" w:hAnsi="Arial Narrow" w:cs="Arial Narrow"/>
          <w:sz w:val="22"/>
          <w:szCs w:val="22"/>
        </w:rPr>
      </w:pPr>
      <w:r>
        <w:rPr>
          <w:rFonts w:ascii="Arial Narrow" w:hAnsi="Arial Narrow" w:cs="Arial Narrow"/>
          <w:sz w:val="22"/>
          <w:szCs w:val="22"/>
        </w:rPr>
        <w:t xml:space="preserve">Vychádzajúc z týchto zámerov a ekonomických podmienok, rámec rozpočtu verejnej správy na roky 2011  až 2013  bol zostavený tak, aby postupné znižovanie plánovaného schodku rozpočtu verejnej správy viedlo k úrovni 3 % HDP v roku 2013. Schodok rozpočtu verejnej správy vyjadrený v metodike ESA 95 je v roku 2011 rozpočtovaný na úrovni 4,9 % HDP, v roku 2012 vo výške 3,8 % HDP </w:t>
      </w:r>
      <w:r w:rsidR="0083429E">
        <w:rPr>
          <w:rFonts w:ascii="Arial Narrow" w:hAnsi="Arial Narrow" w:cs="Arial Narrow"/>
          <w:sz w:val="22"/>
          <w:szCs w:val="22"/>
        </w:rPr>
        <w:t>a v roku</w:t>
      </w:r>
      <w:r>
        <w:rPr>
          <w:rFonts w:ascii="Arial Narrow" w:hAnsi="Arial Narrow" w:cs="Arial Narrow"/>
          <w:sz w:val="22"/>
          <w:szCs w:val="22"/>
        </w:rPr>
        <w:t xml:space="preserve"> 2013 na úrovni 2,9 % HDP. </w:t>
      </w:r>
    </w:p>
    <w:p w:rsidR="0096107A" w:rsidP="0096107A">
      <w:pPr>
        <w:pStyle w:val="Heading2"/>
        <w:bidi w:val="0"/>
        <w:spacing w:after="0"/>
        <w:rPr>
          <w:rFonts w:ascii="Arial Narrow" w:hAnsi="Arial Narrow" w:cs="Arial Narrow"/>
          <w:i w:val="0"/>
          <w:iCs w:val="0"/>
          <w:sz w:val="24"/>
          <w:szCs w:val="24"/>
        </w:rPr>
      </w:pPr>
      <w:bookmarkStart w:id="33" w:name="_Toc211592392"/>
      <w:bookmarkStart w:id="34" w:name="_Toc206478401"/>
      <w:bookmarkStart w:id="35" w:name="_Toc174871967"/>
      <w:bookmarkStart w:id="36" w:name="_Toc148255242"/>
      <w:bookmarkStart w:id="37" w:name="_Toc143348594"/>
    </w:p>
    <w:p w:rsidR="0096107A" w:rsidP="0096107A">
      <w:pPr>
        <w:pStyle w:val="Heading2"/>
        <w:bidi w:val="0"/>
        <w:spacing w:before="0" w:after="0"/>
        <w:rPr>
          <w:rFonts w:ascii="Arial Narrow" w:hAnsi="Arial Narrow" w:cs="Arial Narrow"/>
          <w:i w:val="0"/>
          <w:iCs w:val="0"/>
          <w:sz w:val="24"/>
          <w:szCs w:val="24"/>
        </w:rPr>
      </w:pPr>
      <w:bookmarkStart w:id="38" w:name="_Toc273474198"/>
      <w:bookmarkStart w:id="39" w:name="_Toc273979613"/>
      <w:r>
        <w:rPr>
          <w:rFonts w:ascii="Arial Narrow" w:hAnsi="Arial Narrow" w:cs="Arial Narrow"/>
          <w:i w:val="0"/>
          <w:iCs w:val="0"/>
          <w:sz w:val="24"/>
          <w:szCs w:val="24"/>
        </w:rPr>
        <w:t>2.2. Rámec na zostavenie rozpočtu verejnej správy</w:t>
      </w:r>
      <w:bookmarkEnd w:id="33"/>
      <w:bookmarkEnd w:id="34"/>
      <w:bookmarkEnd w:id="35"/>
      <w:bookmarkEnd w:id="36"/>
      <w:bookmarkEnd w:id="37"/>
      <w:bookmarkEnd w:id="38"/>
      <w:bookmarkEnd w:id="39"/>
      <w:r>
        <w:rPr>
          <w:rFonts w:ascii="Arial Narrow" w:hAnsi="Arial Narrow" w:cs="Arial Narrow"/>
          <w:i w:val="0"/>
          <w:iCs w:val="0"/>
          <w:sz w:val="24"/>
          <w:szCs w:val="24"/>
        </w:rPr>
        <w:t xml:space="preserve"> </w:t>
      </w:r>
    </w:p>
    <w:p w:rsidR="0096107A" w:rsidP="0096107A">
      <w:pPr>
        <w:pStyle w:val="BodyText"/>
        <w:tabs>
          <w:tab w:val="left" w:pos="0"/>
        </w:tabs>
        <w:bidi w:val="0"/>
        <w:rPr>
          <w:rFonts w:ascii="Arial Narrow" w:hAnsi="Arial Narrow" w:cs="Arial Narrow"/>
        </w:rPr>
      </w:pPr>
      <w:r>
        <w:rPr>
          <w:rFonts w:ascii="Arial Narrow" w:hAnsi="Arial Narrow" w:cs="Arial Narrow"/>
        </w:rPr>
        <w:tab/>
      </w:r>
    </w:p>
    <w:p w:rsidR="0096107A" w:rsidP="0096107A">
      <w:pPr>
        <w:pStyle w:val="BodyText"/>
        <w:tabs>
          <w:tab w:val="left" w:pos="0"/>
        </w:tabs>
        <w:bidi w:val="0"/>
        <w:rPr>
          <w:rFonts w:ascii="Arial Narrow" w:hAnsi="Arial Narrow" w:cs="Arial Narrow"/>
          <w:sz w:val="22"/>
          <w:szCs w:val="22"/>
        </w:rPr>
      </w:pPr>
      <w:r>
        <w:rPr>
          <w:rFonts w:ascii="Arial Narrow" w:hAnsi="Arial Narrow" w:cs="Arial Narrow"/>
          <w:sz w:val="22"/>
          <w:szCs w:val="22"/>
        </w:rPr>
        <w:tab/>
        <w:t xml:space="preserve">Nasledujúca tabuľka poskytuje prehľad o základných parametroch fiškálneho rámca, a to o konkrétnych výškach schodku štátneho rozpočtu v metodike ESA 95 v jednotlivých rokoch zostavovaného rozpočtu a predpokladanom vývoji hospodárenia ostatných subjektov verejnej správy. </w:t>
      </w:r>
    </w:p>
    <w:p w:rsidR="00332D0E" w:rsidP="0096107A">
      <w:pPr>
        <w:pStyle w:val="BodyText"/>
        <w:tabs>
          <w:tab w:val="left" w:pos="0"/>
        </w:tabs>
        <w:bidi w:val="0"/>
        <w:rPr>
          <w:rFonts w:ascii="Arial Narrow" w:hAnsi="Arial Narrow" w:cs="Arial Narrow"/>
          <w:sz w:val="22"/>
          <w:szCs w:val="22"/>
        </w:rPr>
      </w:pPr>
    </w:p>
    <w:tbl>
      <w:tblPr>
        <w:tblStyle w:val="TableNormal"/>
        <w:tblW w:w="9360" w:type="dxa"/>
        <w:tblInd w:w="57" w:type="dxa"/>
        <w:tblCellMar>
          <w:left w:w="70" w:type="dxa"/>
          <w:right w:w="70" w:type="dxa"/>
        </w:tblCellMar>
      </w:tblPr>
      <w:tblGrid>
        <w:gridCol w:w="3960"/>
        <w:gridCol w:w="900"/>
        <w:gridCol w:w="900"/>
        <w:gridCol w:w="900"/>
        <w:gridCol w:w="900"/>
        <w:gridCol w:w="900"/>
        <w:gridCol w:w="900"/>
      </w:tblGrid>
      <w:tr>
        <w:tblPrEx>
          <w:tblW w:w="9360" w:type="dxa"/>
          <w:tblInd w:w="57" w:type="dxa"/>
          <w:tblCellMar>
            <w:left w:w="70" w:type="dxa"/>
            <w:right w:w="70" w:type="dxa"/>
          </w:tblCellMar>
        </w:tblPrEx>
        <w:trPr>
          <w:trHeight w:val="270"/>
        </w:trPr>
        <w:tc>
          <w:tcPr>
            <w:tcW w:w="3960" w:type="dxa"/>
            <w:tcBorders>
              <w:top w:val="single" w:sz="8" w:space="0" w:color="auto"/>
              <w:left w:val="single" w:sz="8" w:space="0" w:color="auto"/>
              <w:bottom w:val="single" w:sz="8" w:space="0" w:color="auto"/>
              <w:right w:val="single" w:sz="4" w:space="0" w:color="auto"/>
            </w:tcBorders>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(v mil. eur)</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2008 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2009 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2010 OS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2011 N</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2012 N</w:t>
            </w:r>
          </w:p>
        </w:tc>
        <w:tc>
          <w:tcPr>
            <w:tcW w:w="900" w:type="dxa"/>
            <w:tcBorders>
              <w:top w:val="single" w:sz="8" w:space="0" w:color="auto"/>
              <w:left w:val="nil"/>
              <w:bottom w:val="single" w:sz="8" w:space="0" w:color="auto"/>
              <w:right w:val="single" w:sz="8"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2013 N</w:t>
            </w:r>
          </w:p>
        </w:tc>
      </w:tr>
      <w:tr>
        <w:tblPrEx>
          <w:tblW w:w="9360" w:type="dxa"/>
          <w:tblInd w:w="57" w:type="dxa"/>
          <w:tblCellMar>
            <w:left w:w="70" w:type="dxa"/>
            <w:right w:w="70" w:type="dxa"/>
          </w:tblCellMar>
        </w:tblPrEx>
        <w:trPr>
          <w:trHeight w:val="255"/>
        </w:trPr>
        <w:tc>
          <w:tcPr>
            <w:tcW w:w="3960" w:type="dxa"/>
            <w:tcBorders>
              <w:top w:val="single" w:sz="4" w:space="0" w:color="auto"/>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Podiel rozpočtu VS v % na HDP</w:t>
            </w:r>
          </w:p>
        </w:tc>
        <w:tc>
          <w:tcPr>
            <w:tcW w:w="900" w:type="dxa"/>
            <w:tcBorders>
              <w:top w:val="single" w:sz="4" w:space="0" w:color="auto"/>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-2,3</w:t>
            </w:r>
          </w:p>
        </w:tc>
        <w:tc>
          <w:tcPr>
            <w:tcW w:w="900" w:type="dxa"/>
            <w:tcBorders>
              <w:top w:val="single" w:sz="4" w:space="0" w:color="auto"/>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-7,9</w:t>
            </w:r>
          </w:p>
        </w:tc>
        <w:tc>
          <w:tcPr>
            <w:tcW w:w="900" w:type="dxa"/>
            <w:tcBorders>
              <w:top w:val="single" w:sz="4" w:space="0" w:color="auto"/>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-7,8</w:t>
            </w:r>
          </w:p>
        </w:tc>
        <w:tc>
          <w:tcPr>
            <w:tcW w:w="900" w:type="dxa"/>
            <w:tcBorders>
              <w:top w:val="single" w:sz="4" w:space="0" w:color="auto"/>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-4,9</w:t>
            </w:r>
          </w:p>
        </w:tc>
        <w:tc>
          <w:tcPr>
            <w:tcW w:w="900" w:type="dxa"/>
            <w:tcBorders>
              <w:top w:val="single" w:sz="4" w:space="0" w:color="auto"/>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-3,8</w:t>
            </w:r>
          </w:p>
        </w:tc>
        <w:tc>
          <w:tcPr>
            <w:tcW w:w="900" w:type="dxa"/>
            <w:tcBorders>
              <w:top w:val="single" w:sz="4" w:space="0" w:color="auto"/>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-2,9</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Rozpočet VS spolu</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-1 548,8</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-4 999,4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-5 108,5</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-3 448,5</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-2 868,3</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-2 364,4</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Ostatné subjekty rozpočtu VS</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144,6</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-645,7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-635,2</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278,2</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287,0</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324,6</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 xml:space="preserve">Štátny rozpočet </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-1 693,4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-4 353,7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-4 473,3</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-3 726,7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-3 155,3</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-2 689,0</w:t>
            </w:r>
          </w:p>
        </w:tc>
      </w:tr>
      <w:tr>
        <w:tblPrEx>
          <w:tblW w:w="9360" w:type="dxa"/>
          <w:tblInd w:w="57" w:type="dxa"/>
          <w:tblCellMar>
            <w:left w:w="70" w:type="dxa"/>
            <w:right w:w="70" w:type="dxa"/>
          </w:tblCellMar>
        </w:tblPrEx>
        <w:trPr>
          <w:trHeight w:val="270"/>
        </w:trPr>
        <w:tc>
          <w:tcPr>
            <w:tcW w:w="3960" w:type="dxa"/>
            <w:tcBorders>
              <w:top w:val="nil"/>
              <w:left w:val="single" w:sz="8" w:space="0" w:color="auto"/>
              <w:bottom w:val="single" w:sz="8"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HDP v b.c.</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67 221,0</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63 332,0</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65 914,0</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70 173,6</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75 481,9</w:t>
            </w:r>
          </w:p>
        </w:tc>
        <w:tc>
          <w:tcPr>
            <w:tcW w:w="900" w:type="dxa"/>
            <w:tcBorders>
              <w:top w:val="nil"/>
              <w:left w:val="nil"/>
              <w:bottom w:val="single" w:sz="8"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81 531,1</w:t>
            </w:r>
          </w:p>
        </w:tc>
      </w:tr>
    </w:tbl>
    <w:p w:rsidR="00332D0E" w:rsidP="0096107A">
      <w:pPr>
        <w:pStyle w:val="BodyText"/>
        <w:tabs>
          <w:tab w:val="left" w:pos="0"/>
        </w:tabs>
        <w:bidi w:val="0"/>
        <w:rPr>
          <w:rFonts w:ascii="Arial Narrow" w:hAnsi="Arial Narrow" w:cs="Arial Narrow"/>
          <w:sz w:val="22"/>
          <w:szCs w:val="22"/>
        </w:rPr>
      </w:pPr>
    </w:p>
    <w:p w:rsidR="00332D0E"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r>
        <w:rPr>
          <w:rFonts w:ascii="Arial Narrow" w:hAnsi="Arial Narrow" w:cs="Arial Narrow"/>
          <w:sz w:val="22"/>
          <w:szCs w:val="22"/>
        </w:rPr>
        <w:tab/>
        <w:t xml:space="preserve">V roku 2011 sa predpokladá prebytkové hospodárenie ostatných subjektov verejnej správy vo výške    278,2 mil. eur. Na tomto vývoji sa na jednej strane podieľa prebytkové hospodárenie niektorých subjektov verejnej správy, a to hlavne prebytok hospodárenia Sociálnej poisťovne vo výške 113,1 mil. eur,  Environmentálneho fondu vo výške 107,6 mil. eur, Národného jadrového fondu v objeme 112 mil. eur a Štátneho fondu rozvoja bývania na úrovni 82,2 mil. eur.  Na druhej strane je to schodkové hospodárenie  obcí vo výške 75,9 mil. eur, vyšších územných celkov vo výške 60 mil. eur a Fondu národného majetku SR na úrovni 22,5 mil. eur. Ostatné nespomenuté subjekty verejnej správy majú vo väčšine neutrálny vplyv na celkové hospodárenie ostatných subjektov verejnej správy. Návrhy rozpočtov ostatných subjektov verejnej správy tvoria prílohu  č. 1 tohto materiálu. </w:t>
      </w:r>
    </w:p>
    <w:p w:rsidR="0096107A" w:rsidP="0096107A">
      <w:pPr>
        <w:pStyle w:val="BodyText"/>
        <w:tabs>
          <w:tab w:val="left" w:pos="0"/>
        </w:tabs>
        <w:bidi w:val="0"/>
        <w:rPr>
          <w:rFonts w:ascii="Times New Roman" w:hAnsi="Times New Roman" w:cs="Times New Roman"/>
          <w:b/>
          <w:bCs/>
        </w:rPr>
      </w:pPr>
    </w:p>
    <w:p w:rsidR="0096107A" w:rsidP="0096107A">
      <w:pPr>
        <w:pStyle w:val="BodyText"/>
        <w:tabs>
          <w:tab w:val="left" w:pos="0"/>
        </w:tabs>
        <w:bidi w:val="0"/>
        <w:rPr>
          <w:rFonts w:ascii="Arial Narrow" w:hAnsi="Arial Narrow" w:cs="Arial Narrow"/>
          <w:sz w:val="22"/>
          <w:szCs w:val="22"/>
        </w:rPr>
      </w:pPr>
      <w:r>
        <w:rPr>
          <w:b/>
          <w:bCs/>
        </w:rPr>
        <w:tab/>
      </w:r>
      <w:r>
        <w:rPr>
          <w:rFonts w:ascii="Arial Narrow" w:hAnsi="Arial Narrow" w:cs="Arial Narrow"/>
          <w:sz w:val="22"/>
          <w:szCs w:val="22"/>
        </w:rPr>
        <w:t xml:space="preserve">Schodok štátneho rozpočtu podľa metodiky ESA 95 z vyššie uvedenej tabuľky je pretransformovaný  pomocou modifikujúcich faktorov na hotovostné saldo. Takto získaný schodok štátneho rozpočtu na hotovostnom princípe spolu s prognózovanými hotovostnými príjmami štátneho rozpočtu vytvárajú priestor pre realizáciu výdavkov štátneho rozpočtu. </w:t>
      </w: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rPr>
          <w:rFonts w:ascii="Arial Narrow" w:hAnsi="Arial Narrow" w:cs="Arial Narrow"/>
          <w:sz w:val="22"/>
          <w:szCs w:val="22"/>
        </w:rPr>
      </w:pPr>
    </w:p>
    <w:p w:rsidR="0096107A" w:rsidP="0096107A">
      <w:pPr>
        <w:pStyle w:val="BodyText"/>
        <w:tabs>
          <w:tab w:val="left" w:pos="0"/>
        </w:tabs>
        <w:bidi w:val="0"/>
        <w:jc w:val="center"/>
        <w:rPr>
          <w:rFonts w:ascii="Arial Narrow" w:hAnsi="Arial Narrow" w:cs="Arial Narrow"/>
          <w:b/>
          <w:bCs/>
          <w:sz w:val="22"/>
          <w:szCs w:val="22"/>
        </w:rPr>
      </w:pPr>
      <w:r>
        <w:rPr>
          <w:rFonts w:ascii="Arial Narrow" w:hAnsi="Arial Narrow" w:cs="Arial Narrow"/>
          <w:b/>
          <w:bCs/>
          <w:sz w:val="22"/>
          <w:szCs w:val="22"/>
        </w:rPr>
        <w:t>Rámec štátneho rozpočtu</w:t>
      </w:r>
    </w:p>
    <w:p w:rsidR="0096107A" w:rsidP="0096107A">
      <w:pPr>
        <w:pStyle w:val="BodyText"/>
        <w:tabs>
          <w:tab w:val="left" w:pos="0"/>
        </w:tabs>
        <w:bidi w:val="0"/>
        <w:jc w:val="center"/>
        <w:rPr>
          <w:rFonts w:ascii="Arial Narrow" w:hAnsi="Arial Narrow" w:cs="Arial Narrow"/>
          <w:b/>
          <w:bCs/>
          <w:sz w:val="16"/>
          <w:szCs w:val="16"/>
        </w:rPr>
      </w:pPr>
    </w:p>
    <w:p w:rsidR="0096107A" w:rsidP="0096107A">
      <w:pPr>
        <w:bidi w:val="0"/>
        <w:jc w:val="both"/>
        <w:rPr>
          <w:rFonts w:ascii="Arial Narrow" w:hAnsi="Arial Narrow" w:cs="Arial Narrow"/>
          <w:sz w:val="22"/>
          <w:szCs w:val="22"/>
        </w:rPr>
      </w:pPr>
    </w:p>
    <w:tbl>
      <w:tblPr>
        <w:tblStyle w:val="TableNormal"/>
        <w:tblW w:w="9360" w:type="dxa"/>
        <w:tblInd w:w="57" w:type="dxa"/>
        <w:tblCellMar>
          <w:left w:w="70" w:type="dxa"/>
          <w:right w:w="70" w:type="dxa"/>
        </w:tblCellMar>
      </w:tblPr>
      <w:tblGrid>
        <w:gridCol w:w="3960"/>
        <w:gridCol w:w="900"/>
        <w:gridCol w:w="900"/>
        <w:gridCol w:w="900"/>
        <w:gridCol w:w="900"/>
        <w:gridCol w:w="900"/>
        <w:gridCol w:w="900"/>
      </w:tblGrid>
      <w:tr>
        <w:tblPrEx>
          <w:tblW w:w="9360" w:type="dxa"/>
          <w:tblInd w:w="57" w:type="dxa"/>
          <w:tblCellMar>
            <w:left w:w="70" w:type="dxa"/>
            <w:right w:w="70" w:type="dxa"/>
          </w:tblCellMar>
        </w:tblPrEx>
        <w:trPr>
          <w:trHeight w:val="270"/>
        </w:trPr>
        <w:tc>
          <w:tcPr>
            <w:tcW w:w="3960" w:type="dxa"/>
            <w:tcBorders>
              <w:top w:val="single" w:sz="8" w:space="0" w:color="auto"/>
              <w:left w:val="single" w:sz="8" w:space="0" w:color="auto"/>
              <w:bottom w:val="single" w:sz="8" w:space="0" w:color="auto"/>
              <w:right w:val="single" w:sz="4" w:space="0" w:color="auto"/>
            </w:tcBorders>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(v mil. eur)</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2008 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2009 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2010 OS</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2011 N</w:t>
            </w:r>
          </w:p>
        </w:tc>
        <w:tc>
          <w:tcPr>
            <w:tcW w:w="900" w:type="dxa"/>
            <w:tcBorders>
              <w:top w:val="single" w:sz="8" w:space="0" w:color="auto"/>
              <w:left w:val="nil"/>
              <w:bottom w:val="single" w:sz="8" w:space="0" w:color="auto"/>
              <w:right w:val="single" w:sz="4"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2012 N</w:t>
            </w:r>
          </w:p>
        </w:tc>
        <w:tc>
          <w:tcPr>
            <w:tcW w:w="900" w:type="dxa"/>
            <w:tcBorders>
              <w:top w:val="single" w:sz="8" w:space="0" w:color="auto"/>
              <w:left w:val="nil"/>
              <w:bottom w:val="single" w:sz="8" w:space="0" w:color="auto"/>
              <w:right w:val="single" w:sz="8" w:space="0" w:color="auto"/>
            </w:tcBorders>
            <w:noWrap/>
            <w:textDirection w:val="lrTb"/>
            <w:vAlign w:val="center"/>
          </w:tcPr>
          <w:p w:rsidR="00332D0E" w:rsidRPr="00332D0E" w:rsidP="00332D0E">
            <w:pPr>
              <w:bidi w:val="0"/>
              <w:jc w:val="center"/>
              <w:rPr>
                <w:rFonts w:ascii="Arial Narrow" w:hAnsi="Arial Narrow" w:cs="Arial"/>
                <w:b/>
                <w:bCs/>
                <w:sz w:val="16"/>
                <w:szCs w:val="16"/>
                <w:lang w:eastAsia="sk-SK"/>
              </w:rPr>
            </w:pPr>
            <w:r w:rsidRPr="00332D0E">
              <w:rPr>
                <w:rFonts w:ascii="Arial Narrow" w:hAnsi="Arial Narrow" w:cs="Arial"/>
                <w:b/>
                <w:bCs/>
                <w:sz w:val="16"/>
                <w:szCs w:val="16"/>
                <w:lang w:eastAsia="sk-SK"/>
              </w:rPr>
              <w:t>2013 N</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Schodok štátneho rozpočtu v metodike ESA 95</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-1 693,4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-4 353,7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-4 473,3</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-3 726,7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-3 155,3</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-2 689,0</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Modifikujúce faktory</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-989,2</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-1 562,4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226,4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106,4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7,1</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-102,6</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Schodok štátneho rozpočtu na hotovostnom princípe</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-704,2</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-2 791,3</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-4 699,7</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-3 833,1</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-3 162,4</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-2 586,4</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Príjmy štátneho rozpočtu na hotovostnom princípe</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11 352,4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10 540,8</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11 146,9</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13 092,4</w:t>
            </w:r>
          </w:p>
        </w:tc>
        <w:tc>
          <w:tcPr>
            <w:tcW w:w="900" w:type="dxa"/>
            <w:tcBorders>
              <w:top w:val="nil"/>
              <w:left w:val="nil"/>
              <w:bottom w:val="single" w:sz="4"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13 392,9</w:t>
            </w:r>
          </w:p>
        </w:tc>
        <w:tc>
          <w:tcPr>
            <w:tcW w:w="900" w:type="dxa"/>
            <w:tcBorders>
              <w:top w:val="nil"/>
              <w:left w:val="nil"/>
              <w:bottom w:val="single" w:sz="4"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13 683,1</w:t>
            </w:r>
          </w:p>
        </w:tc>
      </w:tr>
      <w:tr>
        <w:tblPrEx>
          <w:tblW w:w="9360" w:type="dxa"/>
          <w:tblInd w:w="57" w:type="dxa"/>
          <w:tblCellMar>
            <w:left w:w="70" w:type="dxa"/>
            <w:right w:w="70" w:type="dxa"/>
          </w:tblCellMar>
        </w:tblPrEx>
        <w:trPr>
          <w:trHeight w:val="270"/>
        </w:trPr>
        <w:tc>
          <w:tcPr>
            <w:tcW w:w="3960" w:type="dxa"/>
            <w:tcBorders>
              <w:top w:val="nil"/>
              <w:left w:val="single" w:sz="8" w:space="0" w:color="auto"/>
              <w:bottom w:val="single" w:sz="8" w:space="0" w:color="auto"/>
              <w:right w:val="single" w:sz="4" w:space="0" w:color="auto"/>
            </w:tcBorders>
            <w:noWrap/>
            <w:textDirection w:val="lrTb"/>
            <w:vAlign w:val="center"/>
          </w:tcPr>
          <w:p w:rsidR="00332D0E" w:rsidRPr="00332D0E" w:rsidP="00332D0E">
            <w:pPr>
              <w:bidi w:val="0"/>
              <w:rPr>
                <w:rFonts w:ascii="Arial Narrow" w:hAnsi="Arial Narrow" w:cs="Arial"/>
                <w:sz w:val="16"/>
                <w:szCs w:val="16"/>
                <w:lang w:eastAsia="sk-SK"/>
              </w:rPr>
            </w:pPr>
            <w:r w:rsidRPr="00332D0E">
              <w:rPr>
                <w:rFonts w:ascii="Arial Narrow" w:hAnsi="Arial Narrow" w:cs="Arial"/>
                <w:sz w:val="16"/>
                <w:szCs w:val="16"/>
                <w:lang w:eastAsia="sk-SK"/>
              </w:rPr>
              <w:t>Výdavky štátneho rozpočtu na hotovostnom princípe</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12 056,6</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13 332,1</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15 846,6</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16 925,5</w:t>
            </w:r>
          </w:p>
        </w:tc>
        <w:tc>
          <w:tcPr>
            <w:tcW w:w="900" w:type="dxa"/>
            <w:tcBorders>
              <w:top w:val="nil"/>
              <w:left w:val="nil"/>
              <w:bottom w:val="single" w:sz="8" w:space="0" w:color="auto"/>
              <w:right w:val="single" w:sz="4"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16 555,3</w:t>
            </w:r>
          </w:p>
        </w:tc>
        <w:tc>
          <w:tcPr>
            <w:tcW w:w="900" w:type="dxa"/>
            <w:tcBorders>
              <w:top w:val="nil"/>
              <w:left w:val="nil"/>
              <w:bottom w:val="single" w:sz="8" w:space="0" w:color="auto"/>
              <w:right w:val="single" w:sz="8" w:space="0" w:color="auto"/>
            </w:tcBorders>
            <w:noWrap/>
            <w:textDirection w:val="lrTb"/>
            <w:vAlign w:val="center"/>
          </w:tcPr>
          <w:p w:rsidR="00332D0E" w:rsidRPr="00332D0E" w:rsidP="00332D0E">
            <w:pPr>
              <w:bidi w:val="0"/>
              <w:jc w:val="right"/>
              <w:rPr>
                <w:rFonts w:ascii="Arial Narrow" w:hAnsi="Arial Narrow" w:cs="Arial"/>
                <w:sz w:val="16"/>
                <w:szCs w:val="16"/>
                <w:lang w:eastAsia="sk-SK"/>
              </w:rPr>
            </w:pPr>
            <w:r w:rsidRPr="00332D0E">
              <w:rPr>
                <w:rFonts w:ascii="Arial Narrow" w:hAnsi="Arial Narrow" w:cs="Arial"/>
                <w:sz w:val="16"/>
                <w:szCs w:val="16"/>
                <w:lang w:eastAsia="sk-SK"/>
              </w:rPr>
              <w:t>16 269,5</w:t>
            </w:r>
          </w:p>
        </w:tc>
      </w:tr>
    </w:tbl>
    <w:p w:rsidR="00332D0E" w:rsidP="0096107A">
      <w:pPr>
        <w:bidi w:val="0"/>
        <w:jc w:val="both"/>
        <w:rPr>
          <w:rFonts w:ascii="Arial Narrow" w:hAnsi="Arial Narrow" w:cs="Arial Narrow"/>
          <w:sz w:val="22"/>
          <w:szCs w:val="22"/>
        </w:rPr>
      </w:pPr>
    </w:p>
    <w:p w:rsidR="0096107A" w:rsidP="0096107A">
      <w:pPr>
        <w:bidi w:val="0"/>
        <w:jc w:val="both"/>
        <w:rPr>
          <w:rFonts w:ascii="Arial Narrow" w:hAnsi="Arial Narrow" w:cs="Arial Narrow"/>
          <w:sz w:val="22"/>
          <w:szCs w:val="22"/>
        </w:rPr>
      </w:pPr>
      <w:r>
        <w:rPr>
          <w:rFonts w:ascii="Arial Narrow" w:hAnsi="Arial Narrow" w:cs="Arial Narrow"/>
          <w:sz w:val="22"/>
          <w:szCs w:val="22"/>
        </w:rPr>
        <w:tab/>
        <w:t>Celkovú pozitívnu hodnotu modifikujúcich faktorov štátneho rozpočtu v roku 2011 tvorí predovšetkým pozitívny vplyv časového rozlíšenia daňových príjmov, a to vo výške 177,3 mil. eur. Podrobnú identifikáciu modifikujúcich faktorov štátneho rozpočtu obsahuje časť 6. Štátny rozpočet v metodike ESA 95.</w:t>
      </w:r>
    </w:p>
    <w:p w:rsidR="0096107A" w:rsidP="0096107A">
      <w:pPr>
        <w:bidi w:val="0"/>
        <w:jc w:val="both"/>
        <w:rPr>
          <w:rFonts w:ascii="Arial Narrow" w:hAnsi="Arial Narrow" w:cs="Arial Narrow"/>
          <w:sz w:val="22"/>
          <w:szCs w:val="22"/>
        </w:rPr>
      </w:pPr>
    </w:p>
    <w:p w:rsidR="0096107A" w:rsidP="00E35210">
      <w:pPr>
        <w:pStyle w:val="BodyTextIndent"/>
        <w:bidi w:val="0"/>
        <w:spacing w:after="0"/>
        <w:ind w:left="0" w:firstLine="708"/>
        <w:jc w:val="both"/>
        <w:rPr>
          <w:rFonts w:ascii="Arial Narrow" w:hAnsi="Arial Narrow" w:cs="Arial Narrow"/>
          <w:sz w:val="22"/>
          <w:szCs w:val="22"/>
        </w:rPr>
      </w:pPr>
      <w:r>
        <w:rPr>
          <w:rFonts w:ascii="Arial Narrow" w:hAnsi="Arial Narrow" w:cs="Arial Narrow"/>
          <w:sz w:val="22"/>
          <w:szCs w:val="22"/>
        </w:rPr>
        <w:t xml:space="preserve">Na základe stanovených parametrov fiškálneho rámca, hospodárenia ostatných subjektov verejnej správy a stanovenia rámca štátneho rozpočtu je možné definovať nasledujúce základné parametre vývoja verejných financií. </w:t>
      </w:r>
      <w:r w:rsidR="00E35210">
        <w:rPr>
          <w:rFonts w:ascii="Arial Narrow" w:hAnsi="Arial Narrow" w:cs="Arial Narrow"/>
          <w:sz w:val="22"/>
          <w:szCs w:val="22"/>
        </w:rPr>
        <w:t xml:space="preserve"> </w:t>
      </w:r>
    </w:p>
    <w:p w:rsidR="0096107A" w:rsidP="0096107A">
      <w:pPr>
        <w:pStyle w:val="BodyTextIndent"/>
        <w:bidi w:val="0"/>
        <w:spacing w:after="0"/>
        <w:ind w:firstLine="720"/>
        <w:jc w:val="both"/>
        <w:rPr>
          <w:rFonts w:ascii="Arial Narrow" w:hAnsi="Arial Narrow" w:cs="Arial Narrow"/>
          <w:sz w:val="22"/>
          <w:szCs w:val="22"/>
        </w:rPr>
      </w:pPr>
    </w:p>
    <w:p w:rsidR="0096107A" w:rsidP="0096107A">
      <w:pPr>
        <w:pStyle w:val="BodyText"/>
        <w:tabs>
          <w:tab w:val="left" w:pos="0"/>
        </w:tabs>
        <w:bidi w:val="0"/>
        <w:jc w:val="center"/>
        <w:rPr>
          <w:rFonts w:ascii="Arial Narrow" w:hAnsi="Arial Narrow" w:cs="Arial Narrow"/>
          <w:b/>
          <w:bCs/>
          <w:sz w:val="22"/>
          <w:szCs w:val="22"/>
        </w:rPr>
      </w:pPr>
      <w:r w:rsidRPr="005B3387">
        <w:rPr>
          <w:rFonts w:ascii="Arial Narrow" w:hAnsi="Arial Narrow" w:cs="Arial Narrow"/>
          <w:b/>
          <w:bCs/>
          <w:sz w:val="22"/>
          <w:szCs w:val="22"/>
        </w:rPr>
        <w:t>Rámec rozpočtu verejnej správy</w:t>
      </w:r>
    </w:p>
    <w:p w:rsidR="0096107A" w:rsidP="0096107A">
      <w:pPr>
        <w:pStyle w:val="BodyText"/>
        <w:tabs>
          <w:tab w:val="left" w:pos="0"/>
        </w:tabs>
        <w:bidi w:val="0"/>
        <w:jc w:val="center"/>
        <w:rPr>
          <w:rFonts w:ascii="Arial Narrow" w:hAnsi="Arial Narrow" w:cs="Arial Narrow"/>
          <w:b/>
          <w:bCs/>
          <w:sz w:val="22"/>
          <w:szCs w:val="22"/>
        </w:rPr>
      </w:pPr>
    </w:p>
    <w:tbl>
      <w:tblPr>
        <w:tblStyle w:val="TableNormal"/>
        <w:tblW w:w="9360" w:type="dxa"/>
        <w:tblInd w:w="57" w:type="dxa"/>
        <w:tblCellMar>
          <w:left w:w="70" w:type="dxa"/>
          <w:right w:w="70" w:type="dxa"/>
        </w:tblCellMar>
      </w:tblPr>
      <w:tblGrid>
        <w:gridCol w:w="3960"/>
        <w:gridCol w:w="900"/>
        <w:gridCol w:w="900"/>
        <w:gridCol w:w="900"/>
        <w:gridCol w:w="900"/>
        <w:gridCol w:w="900"/>
        <w:gridCol w:w="900"/>
      </w:tblGrid>
      <w:tr>
        <w:tblPrEx>
          <w:tblW w:w="9360" w:type="dxa"/>
          <w:tblInd w:w="57" w:type="dxa"/>
          <w:tblCellMar>
            <w:left w:w="70" w:type="dxa"/>
            <w:right w:w="70" w:type="dxa"/>
          </w:tblCellMar>
        </w:tblPrEx>
        <w:trPr>
          <w:trHeight w:val="270"/>
        </w:trPr>
        <w:tc>
          <w:tcPr>
            <w:tcW w:w="3960" w:type="dxa"/>
            <w:tcBorders>
              <w:top w:val="single" w:sz="8" w:space="0" w:color="auto"/>
              <w:left w:val="single" w:sz="8" w:space="0" w:color="auto"/>
              <w:bottom w:val="single" w:sz="8" w:space="0" w:color="auto"/>
              <w:right w:val="single" w:sz="4" w:space="0" w:color="auto"/>
            </w:tcBorders>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(v mil. eur, v metodike ESA 95 na konsolidovanej báze)</w:t>
            </w:r>
          </w:p>
        </w:tc>
        <w:tc>
          <w:tcPr>
            <w:tcW w:w="900" w:type="dxa"/>
            <w:tcBorders>
              <w:top w:val="single" w:sz="8" w:space="0" w:color="auto"/>
              <w:left w:val="nil"/>
              <w:bottom w:val="single" w:sz="8" w:space="0" w:color="auto"/>
              <w:right w:val="single" w:sz="4"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2008 S</w:t>
            </w:r>
          </w:p>
        </w:tc>
        <w:tc>
          <w:tcPr>
            <w:tcW w:w="900" w:type="dxa"/>
            <w:tcBorders>
              <w:top w:val="single" w:sz="8" w:space="0" w:color="auto"/>
              <w:left w:val="nil"/>
              <w:bottom w:val="single" w:sz="8" w:space="0" w:color="auto"/>
              <w:right w:val="single" w:sz="4"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2009 S</w:t>
            </w:r>
          </w:p>
        </w:tc>
        <w:tc>
          <w:tcPr>
            <w:tcW w:w="900" w:type="dxa"/>
            <w:tcBorders>
              <w:top w:val="single" w:sz="8" w:space="0" w:color="auto"/>
              <w:left w:val="nil"/>
              <w:bottom w:val="single" w:sz="8" w:space="0" w:color="auto"/>
              <w:right w:val="single" w:sz="4"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2010 OS</w:t>
            </w:r>
          </w:p>
        </w:tc>
        <w:tc>
          <w:tcPr>
            <w:tcW w:w="900" w:type="dxa"/>
            <w:tcBorders>
              <w:top w:val="single" w:sz="8" w:space="0" w:color="auto"/>
              <w:left w:val="nil"/>
              <w:bottom w:val="single" w:sz="8" w:space="0" w:color="auto"/>
              <w:right w:val="single" w:sz="4"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2011 N</w:t>
            </w:r>
          </w:p>
        </w:tc>
        <w:tc>
          <w:tcPr>
            <w:tcW w:w="900" w:type="dxa"/>
            <w:tcBorders>
              <w:top w:val="single" w:sz="8" w:space="0" w:color="auto"/>
              <w:left w:val="nil"/>
              <w:bottom w:val="single" w:sz="8" w:space="0" w:color="auto"/>
              <w:right w:val="single" w:sz="4"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2012 N</w:t>
            </w:r>
          </w:p>
        </w:tc>
        <w:tc>
          <w:tcPr>
            <w:tcW w:w="900" w:type="dxa"/>
            <w:tcBorders>
              <w:top w:val="single" w:sz="8" w:space="0" w:color="auto"/>
              <w:left w:val="nil"/>
              <w:bottom w:val="single" w:sz="8" w:space="0" w:color="auto"/>
              <w:right w:val="single" w:sz="8" w:space="0" w:color="auto"/>
            </w:tcBorders>
            <w:noWrap/>
            <w:textDirection w:val="lrTb"/>
            <w:vAlign w:val="center"/>
          </w:tcPr>
          <w:p w:rsidR="002E2734" w:rsidRPr="002E2734" w:rsidP="002E2734">
            <w:pPr>
              <w:bidi w:val="0"/>
              <w:jc w:val="center"/>
              <w:rPr>
                <w:rFonts w:ascii="Arial Narrow" w:hAnsi="Arial Narrow" w:cs="Arial"/>
                <w:b/>
                <w:bCs/>
                <w:sz w:val="16"/>
                <w:szCs w:val="16"/>
                <w:lang w:eastAsia="sk-SK"/>
              </w:rPr>
            </w:pPr>
            <w:r w:rsidRPr="002E2734">
              <w:rPr>
                <w:rFonts w:ascii="Arial Narrow" w:hAnsi="Arial Narrow" w:cs="Arial"/>
                <w:b/>
                <w:bCs/>
                <w:sz w:val="16"/>
                <w:szCs w:val="16"/>
                <w:lang w:eastAsia="sk-SK"/>
              </w:rPr>
              <w:t>2013 N</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Príjmy verejnej správy</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21 844,1</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21 170,8</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20 950,0</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23 308,4</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24 093,9</w:t>
            </w:r>
          </w:p>
        </w:tc>
        <w:tc>
          <w:tcPr>
            <w:tcW w:w="900" w:type="dxa"/>
            <w:tcBorders>
              <w:top w:val="nil"/>
              <w:left w:val="nil"/>
              <w:bottom w:val="single" w:sz="4"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25 292,3</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Príjmy verejnej správy (v % na HDP)</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32,5</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33,4</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31,8</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33,2</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31,9</w:t>
            </w:r>
          </w:p>
        </w:tc>
        <w:tc>
          <w:tcPr>
            <w:tcW w:w="900" w:type="dxa"/>
            <w:tcBorders>
              <w:top w:val="nil"/>
              <w:left w:val="nil"/>
              <w:bottom w:val="single" w:sz="4"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31,0</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Výdavky verejnej správy</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23 392,9</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26 170,2</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26 058,5</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26 756,9</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26 962,2</w:t>
            </w:r>
          </w:p>
        </w:tc>
        <w:tc>
          <w:tcPr>
            <w:tcW w:w="900" w:type="dxa"/>
            <w:tcBorders>
              <w:top w:val="nil"/>
              <w:left w:val="nil"/>
              <w:bottom w:val="single" w:sz="4"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27 656,7</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Výdavky verejnej správy (v % na HDP)</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34,8</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41,3</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39,5</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38,1</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35,7</w:t>
            </w:r>
          </w:p>
        </w:tc>
        <w:tc>
          <w:tcPr>
            <w:tcW w:w="900" w:type="dxa"/>
            <w:tcBorders>
              <w:top w:val="nil"/>
              <w:left w:val="nil"/>
              <w:bottom w:val="single" w:sz="4"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33,9</w:t>
            </w:r>
          </w:p>
        </w:tc>
      </w:tr>
      <w:tr>
        <w:tblPrEx>
          <w:tblW w:w="9360" w:type="dxa"/>
          <w:tblInd w:w="57" w:type="dxa"/>
          <w:tblCellMar>
            <w:left w:w="70" w:type="dxa"/>
            <w:right w:w="70" w:type="dxa"/>
          </w:tblCellMar>
        </w:tblPrEx>
        <w:trPr>
          <w:trHeight w:val="255"/>
        </w:trPr>
        <w:tc>
          <w:tcPr>
            <w:tcW w:w="3960" w:type="dxa"/>
            <w:tcBorders>
              <w:top w:val="nil"/>
              <w:left w:val="single" w:sz="8" w:space="0" w:color="auto"/>
              <w:bottom w:val="single" w:sz="4"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Schodok verejnej správy</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-1 548,8</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-4 999,4</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-5 108,5</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-3 448,5</w:t>
            </w:r>
          </w:p>
        </w:tc>
        <w:tc>
          <w:tcPr>
            <w:tcW w:w="900" w:type="dxa"/>
            <w:tcBorders>
              <w:top w:val="nil"/>
              <w:left w:val="nil"/>
              <w:bottom w:val="single" w:sz="4"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-2 868,3</w:t>
            </w:r>
          </w:p>
        </w:tc>
        <w:tc>
          <w:tcPr>
            <w:tcW w:w="900" w:type="dxa"/>
            <w:tcBorders>
              <w:top w:val="nil"/>
              <w:left w:val="nil"/>
              <w:bottom w:val="single" w:sz="4"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-2 364,4</w:t>
            </w:r>
          </w:p>
        </w:tc>
      </w:tr>
      <w:tr>
        <w:tblPrEx>
          <w:tblW w:w="9360" w:type="dxa"/>
          <w:tblInd w:w="57" w:type="dxa"/>
          <w:tblCellMar>
            <w:left w:w="70" w:type="dxa"/>
            <w:right w:w="70" w:type="dxa"/>
          </w:tblCellMar>
        </w:tblPrEx>
        <w:trPr>
          <w:trHeight w:val="270"/>
        </w:trPr>
        <w:tc>
          <w:tcPr>
            <w:tcW w:w="3960" w:type="dxa"/>
            <w:tcBorders>
              <w:top w:val="nil"/>
              <w:left w:val="single" w:sz="8" w:space="0" w:color="auto"/>
              <w:bottom w:val="single" w:sz="8" w:space="0" w:color="auto"/>
              <w:right w:val="single" w:sz="4" w:space="0" w:color="auto"/>
            </w:tcBorders>
            <w:noWrap/>
            <w:textDirection w:val="lrTb"/>
            <w:vAlign w:val="center"/>
          </w:tcPr>
          <w:p w:rsidR="002E2734" w:rsidRPr="002E2734" w:rsidP="002E2734">
            <w:pPr>
              <w:bidi w:val="0"/>
              <w:rPr>
                <w:rFonts w:ascii="Arial Narrow" w:hAnsi="Arial Narrow" w:cs="Arial"/>
                <w:sz w:val="16"/>
                <w:szCs w:val="16"/>
                <w:lang w:eastAsia="sk-SK"/>
              </w:rPr>
            </w:pPr>
            <w:r w:rsidRPr="002E2734">
              <w:rPr>
                <w:rFonts w:ascii="Arial Narrow" w:hAnsi="Arial Narrow" w:cs="Arial"/>
                <w:sz w:val="16"/>
                <w:szCs w:val="16"/>
                <w:lang w:eastAsia="sk-SK"/>
              </w:rPr>
              <w:t>Schodok verejnej správy (v % na HDP)</w:t>
            </w:r>
          </w:p>
        </w:tc>
        <w:tc>
          <w:tcPr>
            <w:tcW w:w="900" w:type="dxa"/>
            <w:tcBorders>
              <w:top w:val="nil"/>
              <w:left w:val="nil"/>
              <w:bottom w:val="single" w:sz="8"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-2,3</w:t>
            </w:r>
          </w:p>
        </w:tc>
        <w:tc>
          <w:tcPr>
            <w:tcW w:w="900" w:type="dxa"/>
            <w:tcBorders>
              <w:top w:val="nil"/>
              <w:left w:val="nil"/>
              <w:bottom w:val="single" w:sz="8"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-7,9</w:t>
            </w:r>
          </w:p>
        </w:tc>
        <w:tc>
          <w:tcPr>
            <w:tcW w:w="900" w:type="dxa"/>
            <w:tcBorders>
              <w:top w:val="nil"/>
              <w:left w:val="nil"/>
              <w:bottom w:val="single" w:sz="8"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-7,8</w:t>
            </w:r>
          </w:p>
        </w:tc>
        <w:tc>
          <w:tcPr>
            <w:tcW w:w="900" w:type="dxa"/>
            <w:tcBorders>
              <w:top w:val="nil"/>
              <w:left w:val="nil"/>
              <w:bottom w:val="single" w:sz="8"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-4,9</w:t>
            </w:r>
          </w:p>
        </w:tc>
        <w:tc>
          <w:tcPr>
            <w:tcW w:w="900" w:type="dxa"/>
            <w:tcBorders>
              <w:top w:val="nil"/>
              <w:left w:val="nil"/>
              <w:bottom w:val="single" w:sz="8" w:space="0" w:color="auto"/>
              <w:right w:val="single" w:sz="4"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-3,8</w:t>
            </w:r>
          </w:p>
        </w:tc>
        <w:tc>
          <w:tcPr>
            <w:tcW w:w="900" w:type="dxa"/>
            <w:tcBorders>
              <w:top w:val="nil"/>
              <w:left w:val="nil"/>
              <w:bottom w:val="single" w:sz="8" w:space="0" w:color="auto"/>
              <w:right w:val="single" w:sz="8" w:space="0" w:color="auto"/>
            </w:tcBorders>
            <w:noWrap/>
            <w:textDirection w:val="lrTb"/>
            <w:vAlign w:val="center"/>
          </w:tcPr>
          <w:p w:rsidR="002E2734" w:rsidRPr="002E2734" w:rsidP="002E2734">
            <w:pPr>
              <w:bidi w:val="0"/>
              <w:jc w:val="right"/>
              <w:rPr>
                <w:rFonts w:ascii="Arial Narrow" w:hAnsi="Arial Narrow" w:cs="Arial"/>
                <w:sz w:val="16"/>
                <w:szCs w:val="16"/>
                <w:lang w:eastAsia="sk-SK"/>
              </w:rPr>
            </w:pPr>
            <w:r w:rsidRPr="002E2734">
              <w:rPr>
                <w:rFonts w:ascii="Arial Narrow" w:hAnsi="Arial Narrow" w:cs="Arial"/>
                <w:sz w:val="16"/>
                <w:szCs w:val="16"/>
                <w:lang w:eastAsia="sk-SK"/>
              </w:rPr>
              <w:t>-2,9</w:t>
            </w:r>
          </w:p>
        </w:tc>
      </w:tr>
    </w:tbl>
    <w:p w:rsidR="002E2734" w:rsidP="0096107A">
      <w:pPr>
        <w:bidi w:val="0"/>
      </w:pPr>
    </w:p>
    <w:p w:rsidR="002A6464" w:rsidP="002A6464">
      <w:pPr>
        <w:pStyle w:val="BodyTextIndent"/>
        <w:bidi w:val="0"/>
        <w:spacing w:after="0"/>
        <w:ind w:left="0" w:firstLine="708"/>
        <w:jc w:val="both"/>
        <w:rPr>
          <w:rFonts w:ascii="Arial Narrow" w:hAnsi="Arial Narrow" w:cs="Arial Narrow"/>
          <w:sz w:val="22"/>
          <w:szCs w:val="22"/>
        </w:rPr>
      </w:pPr>
      <w:r w:rsidRPr="002A6464">
        <w:rPr>
          <w:rFonts w:ascii="Arial Narrow" w:hAnsi="Arial Narrow" w:cs="Arial Narrow"/>
          <w:sz w:val="22"/>
          <w:szCs w:val="22"/>
        </w:rPr>
        <w:t>Z vyššie uvedenej tabuľky je možné vidieť spôsob ozdravenia verejných financií v roku 2011. Verejné príjmu vzrastú v roku 2011 v porovnaní s tohtoročnou predpokladanou skutočnosťou o 1,</w:t>
      </w:r>
      <w:r w:rsidR="002E2734">
        <w:rPr>
          <w:rFonts w:ascii="Arial Narrow" w:hAnsi="Arial Narrow" w:cs="Arial Narrow"/>
          <w:sz w:val="22"/>
          <w:szCs w:val="22"/>
        </w:rPr>
        <w:t>4</w:t>
      </w:r>
      <w:r w:rsidR="009916DF">
        <w:rPr>
          <w:rFonts w:ascii="Arial Narrow" w:hAnsi="Arial Narrow" w:cs="Arial Narrow"/>
          <w:sz w:val="22"/>
          <w:szCs w:val="22"/>
        </w:rPr>
        <w:t xml:space="preserve"> </w:t>
      </w:r>
      <w:r w:rsidRPr="002A6464">
        <w:rPr>
          <w:rFonts w:ascii="Arial Narrow" w:hAnsi="Arial Narrow" w:cs="Arial Narrow"/>
          <w:sz w:val="22"/>
          <w:szCs w:val="22"/>
        </w:rPr>
        <w:t>% HDP. Naopak výdavky poklesnú o 1,</w:t>
      </w:r>
      <w:r w:rsidR="002E2734">
        <w:rPr>
          <w:rFonts w:ascii="Arial Narrow" w:hAnsi="Arial Narrow" w:cs="Arial Narrow"/>
          <w:sz w:val="22"/>
          <w:szCs w:val="22"/>
        </w:rPr>
        <w:t>4</w:t>
      </w:r>
      <w:r w:rsidR="009916DF">
        <w:rPr>
          <w:rFonts w:ascii="Arial Narrow" w:hAnsi="Arial Narrow" w:cs="Arial Narrow"/>
          <w:sz w:val="22"/>
          <w:szCs w:val="22"/>
        </w:rPr>
        <w:t xml:space="preserve"> </w:t>
      </w:r>
      <w:r w:rsidRPr="002A6464">
        <w:rPr>
          <w:rFonts w:ascii="Arial Narrow" w:hAnsi="Arial Narrow" w:cs="Arial Narrow"/>
          <w:sz w:val="22"/>
          <w:szCs w:val="22"/>
        </w:rPr>
        <w:t xml:space="preserve">%. </w:t>
      </w:r>
    </w:p>
    <w:p w:rsidR="002A6464" w:rsidRPr="002A6464" w:rsidP="002A6464">
      <w:pPr>
        <w:pStyle w:val="BodyTextIndent"/>
        <w:bidi w:val="0"/>
        <w:spacing w:after="0"/>
        <w:ind w:left="0" w:firstLine="708"/>
        <w:jc w:val="both"/>
        <w:rPr>
          <w:rFonts w:ascii="Arial Narrow" w:hAnsi="Arial Narrow" w:cs="Arial Narrow"/>
          <w:sz w:val="22"/>
          <w:szCs w:val="22"/>
        </w:rPr>
      </w:pPr>
    </w:p>
    <w:p w:rsidR="002A6464" w:rsidRPr="002A6464" w:rsidP="002A6464">
      <w:pPr>
        <w:pStyle w:val="BodyTextIndent"/>
        <w:bidi w:val="0"/>
        <w:spacing w:after="0"/>
        <w:ind w:left="0" w:firstLine="708"/>
        <w:jc w:val="both"/>
        <w:rPr>
          <w:rFonts w:ascii="Arial Narrow" w:hAnsi="Arial Narrow" w:cs="Arial Narrow"/>
          <w:sz w:val="22"/>
          <w:szCs w:val="22"/>
        </w:rPr>
      </w:pPr>
      <w:r w:rsidRPr="002A6464">
        <w:rPr>
          <w:rFonts w:ascii="Arial Narrow" w:hAnsi="Arial Narrow" w:cs="Arial Narrow"/>
          <w:sz w:val="22"/>
          <w:szCs w:val="22"/>
        </w:rPr>
        <w:t>Tieto čísla sú ešte čiastočne skreslené čerpaním eurofondov, ktoré „navyšujú“ úroveň verejných príjmov aj výdavkov (podľa metodiky ESA</w:t>
      </w:r>
      <w:r w:rsidR="00D564D1">
        <w:rPr>
          <w:rFonts w:ascii="Arial Narrow" w:hAnsi="Arial Narrow" w:cs="Arial Narrow"/>
          <w:sz w:val="22"/>
          <w:szCs w:val="22"/>
        </w:rPr>
        <w:t xml:space="preserve"> </w:t>
      </w:r>
      <w:r w:rsidRPr="002A6464">
        <w:rPr>
          <w:rFonts w:ascii="Arial Narrow" w:hAnsi="Arial Narrow" w:cs="Arial Narrow"/>
          <w:sz w:val="22"/>
          <w:szCs w:val="22"/>
        </w:rPr>
        <w:t>95 sú eurofondy, ktoré využijú verejné subjekty súčasťou verejných prí</w:t>
      </w:r>
      <w:r w:rsidR="00D564D1">
        <w:rPr>
          <w:rFonts w:ascii="Arial Narrow" w:hAnsi="Arial Narrow" w:cs="Arial Narrow"/>
          <w:sz w:val="22"/>
          <w:szCs w:val="22"/>
        </w:rPr>
        <w:t>j</w:t>
      </w:r>
      <w:r w:rsidRPr="002A6464">
        <w:rPr>
          <w:rFonts w:ascii="Arial Narrow" w:hAnsi="Arial Narrow" w:cs="Arial Narrow"/>
          <w:sz w:val="22"/>
          <w:szCs w:val="22"/>
        </w:rPr>
        <w:t>mov aj výdavkov</w:t>
      </w:r>
      <w:r w:rsidR="009916DF">
        <w:rPr>
          <w:rFonts w:ascii="Arial Narrow" w:hAnsi="Arial Narrow" w:cs="Arial Narrow"/>
          <w:sz w:val="22"/>
          <w:szCs w:val="22"/>
        </w:rPr>
        <w:t>)</w:t>
      </w:r>
      <w:r w:rsidRPr="002A6464">
        <w:rPr>
          <w:rFonts w:ascii="Arial Narrow" w:hAnsi="Arial Narrow" w:cs="Arial Narrow"/>
          <w:sz w:val="22"/>
          <w:szCs w:val="22"/>
        </w:rPr>
        <w:t>. Ak by sme od eurofondov abstrahovali, príjmy verejných financií dosiahnu v budúcom roku 31,1</w:t>
      </w:r>
      <w:r>
        <w:rPr>
          <w:rFonts w:ascii="Arial Narrow" w:hAnsi="Arial Narrow" w:cs="Arial Narrow"/>
          <w:sz w:val="22"/>
          <w:szCs w:val="22"/>
        </w:rPr>
        <w:t xml:space="preserve"> </w:t>
      </w:r>
      <w:r w:rsidRPr="002A6464">
        <w:rPr>
          <w:rFonts w:ascii="Arial Narrow" w:hAnsi="Arial Narrow" w:cs="Arial Narrow"/>
          <w:sz w:val="22"/>
          <w:szCs w:val="22"/>
        </w:rPr>
        <w:t>% HDP a oproti roku 2010 vzrastú o 0,</w:t>
      </w:r>
      <w:r w:rsidR="002E2734">
        <w:rPr>
          <w:rFonts w:ascii="Arial Narrow" w:hAnsi="Arial Narrow" w:cs="Arial Narrow"/>
          <w:sz w:val="22"/>
          <w:szCs w:val="22"/>
        </w:rPr>
        <w:t>7</w:t>
      </w:r>
      <w:r>
        <w:rPr>
          <w:rFonts w:ascii="Arial Narrow" w:hAnsi="Arial Narrow" w:cs="Arial Narrow"/>
          <w:sz w:val="22"/>
          <w:szCs w:val="22"/>
        </w:rPr>
        <w:t xml:space="preserve"> </w:t>
      </w:r>
      <w:r w:rsidRPr="002A6464">
        <w:rPr>
          <w:rFonts w:ascii="Arial Narrow" w:hAnsi="Arial Narrow" w:cs="Arial Narrow"/>
          <w:sz w:val="22"/>
          <w:szCs w:val="22"/>
        </w:rPr>
        <w:t>% HDP.  Bez akýchkoľvek ozdravných opatrení by podiel verejný</w:t>
      </w:r>
      <w:r w:rsidR="00D564D1">
        <w:rPr>
          <w:rFonts w:ascii="Arial Narrow" w:hAnsi="Arial Narrow" w:cs="Arial Narrow"/>
          <w:sz w:val="22"/>
          <w:szCs w:val="22"/>
        </w:rPr>
        <w:t>ch príjmov na HDP mierne klesal</w:t>
      </w:r>
      <w:r w:rsidRPr="002A6464">
        <w:rPr>
          <w:rFonts w:ascii="Arial Narrow" w:hAnsi="Arial Narrow" w:cs="Arial Narrow"/>
          <w:sz w:val="22"/>
          <w:szCs w:val="22"/>
        </w:rPr>
        <w:t xml:space="preserve"> vďaka vládnym opatreniam, ktorých objem predstavuje 1,1</w:t>
      </w:r>
      <w:r>
        <w:rPr>
          <w:rFonts w:ascii="Arial Narrow" w:hAnsi="Arial Narrow" w:cs="Arial Narrow"/>
          <w:sz w:val="22"/>
          <w:szCs w:val="22"/>
        </w:rPr>
        <w:t xml:space="preserve"> </w:t>
      </w:r>
      <w:r w:rsidRPr="002A6464">
        <w:rPr>
          <w:rFonts w:ascii="Arial Narrow" w:hAnsi="Arial Narrow" w:cs="Arial Narrow"/>
          <w:sz w:val="22"/>
          <w:szCs w:val="22"/>
        </w:rPr>
        <w:t>% HDP, však mierne rastú.</w:t>
      </w:r>
    </w:p>
    <w:p w:rsidR="002A6464" w:rsidP="002A6464">
      <w:pPr>
        <w:pStyle w:val="BodyTextIndent"/>
        <w:bidi w:val="0"/>
        <w:spacing w:after="0"/>
        <w:ind w:left="0" w:firstLine="708"/>
        <w:jc w:val="both"/>
        <w:rPr>
          <w:rFonts w:ascii="Arial Narrow" w:hAnsi="Arial Narrow" w:cs="Arial Narrow"/>
          <w:sz w:val="22"/>
          <w:szCs w:val="22"/>
        </w:rPr>
      </w:pPr>
    </w:p>
    <w:p w:rsidR="002A6464" w:rsidRPr="002A6464" w:rsidP="002A6464">
      <w:pPr>
        <w:pStyle w:val="BodyTextIndent"/>
        <w:bidi w:val="0"/>
        <w:spacing w:after="0"/>
        <w:ind w:left="0" w:firstLine="708"/>
        <w:jc w:val="both"/>
        <w:rPr>
          <w:rFonts w:ascii="Arial Narrow" w:hAnsi="Arial Narrow" w:cs="Arial Narrow"/>
          <w:sz w:val="22"/>
          <w:szCs w:val="22"/>
        </w:rPr>
      </w:pPr>
      <w:r w:rsidRPr="002A6464">
        <w:rPr>
          <w:rFonts w:ascii="Arial Narrow" w:hAnsi="Arial Narrow" w:cs="Arial Narrow"/>
          <w:sz w:val="22"/>
          <w:szCs w:val="22"/>
        </w:rPr>
        <w:t>Výdavky verejných financií bez EÚ fondov v roku 2011 dosiahnu 36</w:t>
      </w:r>
      <w:r>
        <w:rPr>
          <w:rFonts w:ascii="Arial Narrow" w:hAnsi="Arial Narrow" w:cs="Arial Narrow"/>
          <w:sz w:val="22"/>
          <w:szCs w:val="22"/>
        </w:rPr>
        <w:t xml:space="preserve"> </w:t>
      </w:r>
      <w:r w:rsidRPr="002A6464">
        <w:rPr>
          <w:rFonts w:ascii="Arial Narrow" w:hAnsi="Arial Narrow" w:cs="Arial Narrow"/>
          <w:sz w:val="22"/>
          <w:szCs w:val="22"/>
        </w:rPr>
        <w:t>%  HDP. V porovnaní s rokom 2010 klesajú o 2,</w:t>
      </w:r>
      <w:r w:rsidR="002E2734">
        <w:rPr>
          <w:rFonts w:ascii="Arial Narrow" w:hAnsi="Arial Narrow" w:cs="Arial Narrow"/>
          <w:sz w:val="22"/>
          <w:szCs w:val="22"/>
        </w:rPr>
        <w:t>1</w:t>
      </w:r>
      <w:r>
        <w:rPr>
          <w:rFonts w:ascii="Arial Narrow" w:hAnsi="Arial Narrow" w:cs="Arial Narrow"/>
          <w:sz w:val="22"/>
          <w:szCs w:val="22"/>
        </w:rPr>
        <w:t xml:space="preserve"> </w:t>
      </w:r>
      <w:r w:rsidRPr="002A6464">
        <w:rPr>
          <w:rFonts w:ascii="Arial Narrow" w:hAnsi="Arial Narrow" w:cs="Arial Narrow"/>
          <w:sz w:val="22"/>
          <w:szCs w:val="22"/>
        </w:rPr>
        <w:t>%. Výdavky by klesli v</w:t>
      </w:r>
      <w:r w:rsidR="00D564D1">
        <w:rPr>
          <w:rFonts w:ascii="Arial Narrow" w:hAnsi="Arial Narrow" w:cs="Arial Narrow"/>
          <w:sz w:val="22"/>
          <w:szCs w:val="22"/>
        </w:rPr>
        <w:t> </w:t>
      </w:r>
      <w:r w:rsidRPr="002A6464">
        <w:rPr>
          <w:rFonts w:ascii="Arial Narrow" w:hAnsi="Arial Narrow" w:cs="Arial Narrow"/>
          <w:sz w:val="22"/>
          <w:szCs w:val="22"/>
        </w:rPr>
        <w:t>pomere</w:t>
      </w:r>
      <w:r w:rsidR="00D564D1">
        <w:rPr>
          <w:rFonts w:ascii="Arial Narrow" w:hAnsi="Arial Narrow" w:cs="Arial Narrow"/>
          <w:sz w:val="22"/>
          <w:szCs w:val="22"/>
        </w:rPr>
        <w:t xml:space="preserve"> k</w:t>
      </w:r>
      <w:r w:rsidRPr="002A6464">
        <w:rPr>
          <w:rFonts w:ascii="Arial Narrow" w:hAnsi="Arial Narrow" w:cs="Arial Narrow"/>
          <w:sz w:val="22"/>
          <w:szCs w:val="22"/>
        </w:rPr>
        <w:t xml:space="preserve"> HDP mierne aj bez opatrení, vďaka úsporným opatreniam v objeme 1,4</w:t>
      </w:r>
      <w:r w:rsidR="00D564D1">
        <w:rPr>
          <w:rFonts w:ascii="Arial Narrow" w:hAnsi="Arial Narrow" w:cs="Arial Narrow"/>
          <w:sz w:val="22"/>
          <w:szCs w:val="22"/>
        </w:rPr>
        <w:t xml:space="preserve"> </w:t>
      </w:r>
      <w:r w:rsidRPr="002A6464">
        <w:rPr>
          <w:rFonts w:ascii="Arial Narrow" w:hAnsi="Arial Narrow" w:cs="Arial Narrow"/>
          <w:sz w:val="22"/>
          <w:szCs w:val="22"/>
        </w:rPr>
        <w:t xml:space="preserve">% HDP je pokles ešte výraznejší. </w:t>
      </w:r>
    </w:p>
    <w:p w:rsidR="002A6464" w:rsidP="0096107A">
      <w:pPr>
        <w:bidi w:val="0"/>
      </w:pPr>
    </w:p>
    <w:p w:rsidR="00A22ED7" w:rsidRPr="00BC1617" w:rsidP="00A22ED7">
      <w:pPr>
        <w:pStyle w:val="Heading2"/>
        <w:bidi w:val="0"/>
        <w:rPr>
          <w:rFonts w:ascii="Arial Narrow" w:hAnsi="Arial Narrow" w:cs="Arial Narrow"/>
          <w:i w:val="0"/>
          <w:iCs w:val="0"/>
          <w:sz w:val="24"/>
          <w:szCs w:val="24"/>
        </w:rPr>
      </w:pPr>
      <w:bookmarkStart w:id="40" w:name="_Toc273979614"/>
      <w:r w:rsidRPr="00BC1617">
        <w:rPr>
          <w:rFonts w:ascii="Arial Narrow" w:hAnsi="Arial Narrow" w:cs="Arial Narrow"/>
          <w:i w:val="0"/>
          <w:iCs w:val="0"/>
          <w:sz w:val="24"/>
          <w:szCs w:val="24"/>
        </w:rPr>
        <w:t>2.3. Dlh verejnej správy</w:t>
      </w:r>
      <w:bookmarkEnd w:id="24"/>
      <w:bookmarkEnd w:id="40"/>
      <w:r w:rsidRPr="00BC1617">
        <w:rPr>
          <w:rFonts w:ascii="Arial Narrow" w:hAnsi="Arial Narrow" w:cs="Arial Narrow"/>
          <w:i w:val="0"/>
          <w:iCs w:val="0"/>
          <w:sz w:val="24"/>
          <w:szCs w:val="24"/>
        </w:rPr>
        <w:t xml:space="preserve">       </w:t>
      </w:r>
    </w:p>
    <w:p w:rsidR="00A22ED7" w:rsidP="00A22ED7">
      <w:pPr>
        <w:bidi w:val="0"/>
        <w:spacing w:before="240"/>
        <w:ind w:firstLine="709"/>
        <w:jc w:val="both"/>
        <w:rPr>
          <w:rFonts w:ascii="Arial Narrow" w:hAnsi="Arial Narrow" w:cs="Arial Narrow"/>
          <w:sz w:val="22"/>
          <w:szCs w:val="22"/>
        </w:rPr>
      </w:pPr>
      <w:r w:rsidRPr="006F720C">
        <w:rPr>
          <w:rFonts w:ascii="Arial Narrow" w:hAnsi="Arial Narrow" w:cs="Arial Narrow"/>
          <w:sz w:val="22"/>
          <w:szCs w:val="22"/>
        </w:rPr>
        <w:t>Podľa odhadov MF SR sa hrubý dlh verejnej správy</w:t>
      </w:r>
      <w:r>
        <w:rPr>
          <w:rStyle w:val="FootnoteReference"/>
          <w:rFonts w:ascii="Arial Narrow" w:hAnsi="Arial Narrow" w:cs="Arial Narrow"/>
          <w:sz w:val="22"/>
          <w:szCs w:val="22"/>
          <w:rtl w:val="0"/>
        </w:rPr>
        <w:footnoteReference w:id="2"/>
      </w:r>
      <w:r w:rsidRPr="006F720C">
        <w:rPr>
          <w:rFonts w:ascii="Arial Narrow" w:hAnsi="Arial Narrow" w:cs="Arial Narrow"/>
          <w:sz w:val="22"/>
          <w:szCs w:val="22"/>
        </w:rPr>
        <w:t xml:space="preserve"> zvýši medzi rokmi 200</w:t>
      </w:r>
      <w:r>
        <w:rPr>
          <w:rFonts w:ascii="Arial Narrow" w:hAnsi="Arial Narrow" w:cs="Arial Narrow"/>
          <w:sz w:val="22"/>
          <w:szCs w:val="22"/>
        </w:rPr>
        <w:t>8</w:t>
      </w:r>
      <w:r w:rsidRPr="006F720C">
        <w:rPr>
          <w:rFonts w:ascii="Arial Narrow" w:hAnsi="Arial Narrow" w:cs="Arial Narrow"/>
          <w:sz w:val="22"/>
          <w:szCs w:val="22"/>
        </w:rPr>
        <w:t xml:space="preserve"> a 2013 z úrovne </w:t>
      </w:r>
      <w:r>
        <w:rPr>
          <w:rFonts w:ascii="Arial Narrow" w:hAnsi="Arial Narrow" w:cs="Arial Narrow"/>
          <w:sz w:val="22"/>
          <w:szCs w:val="22"/>
        </w:rPr>
        <w:t>27</w:t>
      </w:r>
      <w:r w:rsidRPr="006F720C">
        <w:rPr>
          <w:rFonts w:ascii="Arial Narrow" w:hAnsi="Arial Narrow" w:cs="Arial Narrow"/>
          <w:sz w:val="22"/>
          <w:szCs w:val="22"/>
        </w:rPr>
        <w:t>,7 % HDP na úroveň 45,</w:t>
      </w:r>
      <w:r>
        <w:rPr>
          <w:rFonts w:ascii="Arial Narrow" w:hAnsi="Arial Narrow" w:cs="Arial Narrow"/>
          <w:sz w:val="22"/>
          <w:szCs w:val="22"/>
        </w:rPr>
        <w:t>8</w:t>
      </w:r>
      <w:r w:rsidRPr="006F720C">
        <w:rPr>
          <w:rFonts w:ascii="Arial Narrow" w:hAnsi="Arial Narrow" w:cs="Arial Narrow"/>
          <w:sz w:val="22"/>
          <w:szCs w:val="22"/>
        </w:rPr>
        <w:t xml:space="preserve"> % HDP. Verejný dlh je z 95 % tvorený štátnym dlhom a tento pomer sa výrazne nezmení ani v prognózovanom období. Zvyšok tvorí dlh ostatných subjektov verejnej správy.</w:t>
      </w:r>
    </w:p>
    <w:p w:rsidR="00783727" w:rsidRPr="00BC1617" w:rsidP="00A22ED7">
      <w:pPr>
        <w:bidi w:val="0"/>
        <w:spacing w:before="240"/>
        <w:ind w:firstLine="709"/>
        <w:jc w:val="both"/>
        <w:rPr>
          <w:rFonts w:ascii="Arial Narrow" w:hAnsi="Arial Narrow" w:cs="Arial Narrow"/>
          <w:sz w:val="22"/>
          <w:szCs w:val="22"/>
        </w:rPr>
      </w:pPr>
    </w:p>
    <w:p w:rsidR="00A22ED7" w:rsidRPr="00BC1617" w:rsidP="00A22ED7">
      <w:pPr>
        <w:bidi w:val="0"/>
        <w:jc w:val="both"/>
        <w:rPr>
          <w:rFonts w:ascii="Arial Narrow" w:hAnsi="Arial Narrow" w:cs="Arial Narrow"/>
          <w:sz w:val="22"/>
          <w:szCs w:val="22"/>
          <w:highlight w:val="yellow"/>
        </w:rPr>
      </w:pPr>
    </w:p>
    <w:tbl>
      <w:tblPr>
        <w:tblStyle w:val="TableNormal"/>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315"/>
        <w:gridCol w:w="972"/>
        <w:gridCol w:w="971"/>
        <w:gridCol w:w="971"/>
        <w:gridCol w:w="971"/>
        <w:gridCol w:w="971"/>
        <w:gridCol w:w="971"/>
      </w:tblGrid>
      <w:tr>
        <w:tblPrEx>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0"/>
          <w:jc w:val="center"/>
        </w:trPr>
        <w:tc>
          <w:tcPr>
            <w:tcW w:w="9142" w:type="dxa"/>
            <w:gridSpan w:val="7"/>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b/>
                <w:bCs/>
                <w:sz w:val="16"/>
                <w:szCs w:val="16"/>
                <w:lang w:eastAsia="sk-SK"/>
              </w:rPr>
            </w:pPr>
            <w:r w:rsidRPr="002A181B">
              <w:rPr>
                <w:rFonts w:ascii="Arial Narrow" w:hAnsi="Arial Narrow" w:cs="Arial Narrow"/>
                <w:b/>
                <w:bCs/>
                <w:sz w:val="16"/>
                <w:szCs w:val="16"/>
                <w:lang w:eastAsia="sk-SK"/>
              </w:rPr>
              <w:t>Hrubý dlh verejnej správy (</w:t>
            </w:r>
            <w:r w:rsidR="008703A1">
              <w:rPr>
                <w:rFonts w:ascii="Arial Narrow" w:hAnsi="Arial Narrow" w:cs="Arial Narrow"/>
                <w:b/>
                <w:bCs/>
                <w:sz w:val="16"/>
                <w:szCs w:val="16"/>
                <w:lang w:eastAsia="sk-SK"/>
              </w:rPr>
              <w:t xml:space="preserve">v </w:t>
            </w:r>
            <w:r w:rsidRPr="002A181B">
              <w:rPr>
                <w:rFonts w:ascii="Arial Narrow" w:hAnsi="Arial Narrow" w:cs="Arial Narrow"/>
                <w:b/>
                <w:bCs/>
                <w:sz w:val="16"/>
                <w:szCs w:val="16"/>
                <w:lang w:eastAsia="sk-SK"/>
              </w:rPr>
              <w:t>mil. eur)</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2008</w:t>
            </w:r>
            <w:r>
              <w:rPr>
                <w:rFonts w:ascii="Arial Narrow" w:hAnsi="Arial Narrow" w:cs="Arial Narrow"/>
                <w:b/>
                <w:bCs/>
                <w:sz w:val="16"/>
                <w:szCs w:val="16"/>
                <w:lang w:eastAsia="sk-SK"/>
              </w:rPr>
              <w:t xml:space="preserve"> S</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2009</w:t>
            </w:r>
            <w:r>
              <w:rPr>
                <w:rFonts w:ascii="Arial Narrow" w:hAnsi="Arial Narrow" w:cs="Arial Narrow"/>
                <w:b/>
                <w:bCs/>
                <w:sz w:val="16"/>
                <w:szCs w:val="16"/>
                <w:lang w:eastAsia="sk-SK"/>
              </w:rPr>
              <w:t xml:space="preserve"> S</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2010</w:t>
            </w:r>
            <w:r>
              <w:rPr>
                <w:rFonts w:ascii="Arial Narrow" w:hAnsi="Arial Narrow" w:cs="Arial Narrow"/>
                <w:b/>
                <w:bCs/>
                <w:sz w:val="16"/>
                <w:szCs w:val="16"/>
                <w:lang w:eastAsia="sk-SK"/>
              </w:rPr>
              <w:t xml:space="preserve"> OS</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2011</w:t>
            </w:r>
            <w:r>
              <w:rPr>
                <w:rFonts w:ascii="Arial Narrow" w:hAnsi="Arial Narrow" w:cs="Arial Narrow"/>
                <w:b/>
                <w:bCs/>
                <w:sz w:val="16"/>
                <w:szCs w:val="16"/>
                <w:lang w:eastAsia="sk-SK"/>
              </w:rPr>
              <w:t xml:space="preserve"> N</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2012</w:t>
            </w:r>
            <w:r>
              <w:rPr>
                <w:rFonts w:ascii="Arial Narrow" w:hAnsi="Arial Narrow" w:cs="Arial Narrow"/>
                <w:b/>
                <w:bCs/>
                <w:sz w:val="16"/>
                <w:szCs w:val="16"/>
                <w:lang w:eastAsia="sk-SK"/>
              </w:rPr>
              <w:t xml:space="preserve"> N</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2013</w:t>
            </w:r>
            <w:r>
              <w:rPr>
                <w:rFonts w:ascii="Arial Narrow" w:hAnsi="Arial Narrow" w:cs="Arial Narrow"/>
                <w:b/>
                <w:bCs/>
                <w:sz w:val="16"/>
                <w:szCs w:val="16"/>
                <w:lang w:eastAsia="sk-SK"/>
              </w:rPr>
              <w:t xml:space="preserve"> N</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rPr>
                <w:rFonts w:ascii="Arial Narrow" w:hAnsi="Arial Narrow" w:cs="Arial Narrow"/>
                <w:b/>
                <w:bCs/>
                <w:sz w:val="16"/>
                <w:szCs w:val="16"/>
                <w:lang w:eastAsia="sk-SK"/>
              </w:rPr>
            </w:pPr>
            <w:r w:rsidRPr="002A181B">
              <w:rPr>
                <w:rFonts w:ascii="Arial Narrow" w:hAnsi="Arial Narrow" w:cs="Arial Narrow"/>
                <w:b/>
                <w:bCs/>
                <w:sz w:val="16"/>
                <w:szCs w:val="16"/>
                <w:lang w:eastAsia="sk-SK"/>
              </w:rPr>
              <w:t xml:space="preserve">Hrubý dlh verejnej správy </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jc w:val="right"/>
              <w:rPr>
                <w:rFonts w:ascii="Arial Narrow" w:hAnsi="Arial Narrow" w:cs="Arial Narrow"/>
                <w:b/>
                <w:bCs/>
                <w:sz w:val="16"/>
                <w:szCs w:val="16"/>
              </w:rPr>
            </w:pPr>
            <w:r w:rsidRPr="002A181B">
              <w:rPr>
                <w:rFonts w:ascii="Arial Narrow" w:hAnsi="Arial Narrow" w:cs="Arial Narrow"/>
                <w:b/>
                <w:bCs/>
                <w:sz w:val="16"/>
                <w:szCs w:val="16"/>
              </w:rPr>
              <w:t>18 613</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right"/>
              <w:rPr>
                <w:rFonts w:ascii="Arial Narrow" w:hAnsi="Arial Narrow" w:cs="Arial Narrow"/>
                <w:b/>
                <w:bCs/>
                <w:sz w:val="16"/>
                <w:szCs w:val="16"/>
              </w:rPr>
            </w:pPr>
            <w:r w:rsidRPr="002A181B">
              <w:rPr>
                <w:rFonts w:ascii="Arial Narrow" w:hAnsi="Arial Narrow" w:cs="Arial Narrow"/>
                <w:b/>
                <w:bCs/>
                <w:sz w:val="16"/>
                <w:szCs w:val="16"/>
              </w:rPr>
              <w:t>22 584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28 887</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32 2</w:t>
            </w:r>
            <w:r w:rsidR="002E2734">
              <w:rPr>
                <w:rFonts w:ascii="Arial Narrow" w:hAnsi="Arial Narrow" w:cs="Arial Narrow"/>
                <w:b/>
                <w:bCs/>
                <w:sz w:val="16"/>
                <w:szCs w:val="16"/>
              </w:rPr>
              <w:t>7</w:t>
            </w:r>
            <w:r w:rsidRPr="005F3167">
              <w:rPr>
                <w:rFonts w:ascii="Arial Narrow" w:hAnsi="Arial Narrow" w:cs="Arial Narrow"/>
                <w:b/>
                <w:bCs/>
                <w:sz w:val="16"/>
                <w:szCs w:val="16"/>
              </w:rPr>
              <w:t>8</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35 6</w:t>
            </w:r>
            <w:r w:rsidR="002E2734">
              <w:rPr>
                <w:rFonts w:ascii="Arial Narrow" w:hAnsi="Arial Narrow" w:cs="Arial Narrow"/>
                <w:b/>
                <w:bCs/>
                <w:sz w:val="16"/>
                <w:szCs w:val="16"/>
              </w:rPr>
              <w:t>8</w:t>
            </w:r>
            <w:r w:rsidRPr="005F3167">
              <w:rPr>
                <w:rFonts w:ascii="Arial Narrow" w:hAnsi="Arial Narrow" w:cs="Arial Narrow"/>
                <w:b/>
                <w:bCs/>
                <w:sz w:val="16"/>
                <w:szCs w:val="16"/>
              </w:rPr>
              <w:t>2</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37 3</w:t>
            </w:r>
            <w:r w:rsidR="002E2734">
              <w:rPr>
                <w:rFonts w:ascii="Arial Narrow" w:hAnsi="Arial Narrow" w:cs="Arial Narrow"/>
                <w:b/>
                <w:bCs/>
                <w:sz w:val="16"/>
                <w:szCs w:val="16"/>
              </w:rPr>
              <w:t>4</w:t>
            </w:r>
            <w:r w:rsidRPr="005F3167">
              <w:rPr>
                <w:rFonts w:ascii="Arial Narrow" w:hAnsi="Arial Narrow" w:cs="Arial Narrow"/>
                <w:b/>
                <w:bCs/>
                <w:sz w:val="16"/>
                <w:szCs w:val="16"/>
              </w:rPr>
              <w:t>8</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rPr>
                <w:rFonts w:ascii="Arial Narrow" w:hAnsi="Arial Narrow" w:cs="Arial Narrow"/>
                <w:sz w:val="16"/>
                <w:szCs w:val="16"/>
                <w:lang w:eastAsia="sk-SK"/>
              </w:rPr>
            </w:pPr>
            <w:r w:rsidRPr="002A181B">
              <w:rPr>
                <w:rFonts w:ascii="Arial Narrow" w:hAnsi="Arial Narrow" w:cs="Arial Narrow"/>
                <w:sz w:val="16"/>
                <w:szCs w:val="16"/>
                <w:lang w:eastAsia="sk-SK"/>
              </w:rPr>
              <w:t xml:space="preserve">  - štátny dlh</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jc w:val="right"/>
              <w:rPr>
                <w:rFonts w:ascii="Arial Narrow" w:hAnsi="Arial Narrow" w:cs="Arial Narrow"/>
                <w:sz w:val="16"/>
                <w:szCs w:val="16"/>
              </w:rPr>
            </w:pPr>
            <w:r w:rsidRPr="002A181B">
              <w:rPr>
                <w:rFonts w:ascii="Arial Narrow" w:hAnsi="Arial Narrow" w:cs="Arial Narrow"/>
                <w:sz w:val="16"/>
                <w:szCs w:val="16"/>
              </w:rPr>
              <w:t>17 684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right"/>
              <w:rPr>
                <w:rFonts w:ascii="Arial Narrow" w:hAnsi="Arial Narrow" w:cs="Arial Narrow"/>
                <w:sz w:val="16"/>
                <w:szCs w:val="16"/>
              </w:rPr>
            </w:pPr>
            <w:r w:rsidRPr="002A181B">
              <w:rPr>
                <w:rFonts w:ascii="Arial Narrow" w:hAnsi="Arial Narrow" w:cs="Arial Narrow"/>
                <w:sz w:val="16"/>
                <w:szCs w:val="16"/>
              </w:rPr>
              <w:t>21 362</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27 399</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30 6</w:t>
            </w:r>
            <w:r w:rsidR="002E2734">
              <w:rPr>
                <w:rFonts w:ascii="Arial Narrow" w:hAnsi="Arial Narrow" w:cs="Arial Narrow"/>
                <w:sz w:val="16"/>
                <w:szCs w:val="16"/>
              </w:rPr>
              <w:t>8</w:t>
            </w:r>
            <w:r w:rsidRPr="005F3167">
              <w:rPr>
                <w:rFonts w:ascii="Arial Narrow" w:hAnsi="Arial Narrow" w:cs="Arial Narrow"/>
                <w:sz w:val="16"/>
                <w:szCs w:val="16"/>
              </w:rPr>
              <w:t>7</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33 9</w:t>
            </w:r>
            <w:r w:rsidR="002E2734">
              <w:rPr>
                <w:rFonts w:ascii="Arial Narrow" w:hAnsi="Arial Narrow" w:cs="Arial Narrow"/>
                <w:sz w:val="16"/>
                <w:szCs w:val="16"/>
              </w:rPr>
              <w:t>9</w:t>
            </w:r>
            <w:r w:rsidRPr="005F3167">
              <w:rPr>
                <w:rFonts w:ascii="Arial Narrow" w:hAnsi="Arial Narrow" w:cs="Arial Narrow"/>
                <w:sz w:val="16"/>
                <w:szCs w:val="16"/>
              </w:rPr>
              <w:t>2</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002E2734">
              <w:rPr>
                <w:rFonts w:ascii="Arial Narrow" w:hAnsi="Arial Narrow" w:cs="Arial Narrow"/>
                <w:sz w:val="16"/>
                <w:szCs w:val="16"/>
              </w:rPr>
              <w:t>35 54</w:t>
            </w:r>
            <w:r w:rsidRPr="005F3167">
              <w:rPr>
                <w:rFonts w:ascii="Arial Narrow" w:hAnsi="Arial Narrow" w:cs="Arial Narrow"/>
                <w:sz w:val="16"/>
                <w:szCs w:val="16"/>
              </w:rPr>
              <w:t>6</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rPr>
                <w:rFonts w:ascii="Arial Narrow" w:hAnsi="Arial Narrow" w:cs="Arial Narrow"/>
                <w:sz w:val="16"/>
                <w:szCs w:val="16"/>
                <w:lang w:eastAsia="sk-SK"/>
              </w:rPr>
            </w:pPr>
            <w:r w:rsidRPr="002A181B">
              <w:rPr>
                <w:rFonts w:ascii="Arial Narrow" w:hAnsi="Arial Narrow" w:cs="Arial Narrow"/>
                <w:sz w:val="16"/>
                <w:szCs w:val="16"/>
                <w:lang w:eastAsia="sk-SK"/>
              </w:rPr>
              <w:t xml:space="preserve">  - dlh ostatných zložiek verejnej správy</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jc w:val="right"/>
              <w:rPr>
                <w:rFonts w:ascii="Arial Narrow" w:hAnsi="Arial Narrow" w:cs="Arial Narrow"/>
                <w:sz w:val="16"/>
                <w:szCs w:val="16"/>
              </w:rPr>
            </w:pPr>
            <w:r w:rsidRPr="002A181B">
              <w:rPr>
                <w:rFonts w:ascii="Arial Narrow" w:hAnsi="Arial Narrow" w:cs="Arial Narrow"/>
                <w:sz w:val="16"/>
                <w:szCs w:val="16"/>
              </w:rPr>
              <w:t>929</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2A181B" w:rsidP="00131A28">
            <w:pPr>
              <w:bidi w:val="0"/>
              <w:jc w:val="right"/>
              <w:rPr>
                <w:rFonts w:ascii="Arial Narrow" w:hAnsi="Arial Narrow" w:cs="Arial Narrow"/>
                <w:sz w:val="16"/>
                <w:szCs w:val="16"/>
              </w:rPr>
            </w:pPr>
            <w:r w:rsidRPr="002A181B">
              <w:rPr>
                <w:rFonts w:ascii="Arial Narrow" w:hAnsi="Arial Narrow" w:cs="Arial Narrow"/>
                <w:sz w:val="16"/>
                <w:szCs w:val="16"/>
              </w:rPr>
              <w:t>1 222</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1 488</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1 591</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1 691</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1 802</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2A181B" w:rsidP="00131A28">
            <w:pPr>
              <w:bidi w:val="0"/>
              <w:rPr>
                <w:rFonts w:ascii="Arial Narrow" w:hAnsi="Arial Narrow" w:cs="Arial Narrow"/>
                <w:b/>
                <w:bCs/>
                <w:sz w:val="16"/>
                <w:szCs w:val="16"/>
                <w:lang w:eastAsia="sk-SK"/>
              </w:rPr>
            </w:pPr>
            <w:r w:rsidRPr="002A181B">
              <w:rPr>
                <w:rFonts w:ascii="Arial Narrow" w:hAnsi="Arial Narrow" w:cs="Arial Narrow"/>
                <w:b/>
                <w:bCs/>
                <w:sz w:val="16"/>
                <w:szCs w:val="16"/>
                <w:lang w:eastAsia="sk-SK"/>
              </w:rPr>
              <w:t>Hrubý dlh verejnej správy (% HDP)</w:t>
            </w:r>
          </w:p>
        </w:tc>
        <w:tc>
          <w:tcPr>
            <w:tcW w:w="97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right"/>
              <w:rPr>
                <w:rFonts w:ascii="Arial Narrow" w:hAnsi="Arial Narrow" w:cs="Arial Narrow"/>
                <w:b/>
                <w:bCs/>
                <w:sz w:val="16"/>
                <w:szCs w:val="16"/>
              </w:rPr>
            </w:pPr>
            <w:r w:rsidRPr="002A181B">
              <w:rPr>
                <w:rFonts w:ascii="Arial Narrow" w:hAnsi="Arial Narrow" w:cs="Arial Narrow"/>
                <w:b/>
                <w:bCs/>
                <w:sz w:val="16"/>
                <w:szCs w:val="16"/>
              </w:rPr>
              <w:t>27,7</w:t>
            </w:r>
          </w:p>
        </w:tc>
        <w:tc>
          <w:tcPr>
            <w:tcW w:w="97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2A181B" w:rsidP="00131A28">
            <w:pPr>
              <w:bidi w:val="0"/>
              <w:jc w:val="right"/>
              <w:rPr>
                <w:rFonts w:ascii="Arial Narrow" w:hAnsi="Arial Narrow" w:cs="Arial Narrow"/>
                <w:b/>
                <w:bCs/>
                <w:sz w:val="16"/>
                <w:szCs w:val="16"/>
              </w:rPr>
            </w:pPr>
            <w:r w:rsidRPr="002A181B">
              <w:rPr>
                <w:rFonts w:ascii="Arial Narrow" w:hAnsi="Arial Narrow" w:cs="Arial Narrow"/>
                <w:b/>
                <w:bCs/>
                <w:sz w:val="16"/>
                <w:szCs w:val="16"/>
              </w:rPr>
              <w:t>35,7</w:t>
            </w:r>
          </w:p>
        </w:tc>
        <w:tc>
          <w:tcPr>
            <w:tcW w:w="97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43,8</w:t>
            </w:r>
          </w:p>
        </w:tc>
        <w:tc>
          <w:tcPr>
            <w:tcW w:w="97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46,0</w:t>
            </w:r>
          </w:p>
        </w:tc>
        <w:tc>
          <w:tcPr>
            <w:tcW w:w="97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47,3</w:t>
            </w:r>
          </w:p>
        </w:tc>
        <w:tc>
          <w:tcPr>
            <w:tcW w:w="97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45,8</w:t>
            </w:r>
          </w:p>
        </w:tc>
      </w:tr>
    </w:tbl>
    <w:p w:rsidR="00A22ED7" w:rsidRPr="00BC1617" w:rsidP="00A22ED7">
      <w:pPr>
        <w:bidi w:val="0"/>
        <w:ind w:firstLine="708"/>
        <w:jc w:val="both"/>
        <w:rPr>
          <w:rFonts w:ascii="Arial Narrow" w:hAnsi="Arial Narrow" w:cs="Arial Narrow"/>
          <w:sz w:val="22"/>
          <w:szCs w:val="22"/>
        </w:rPr>
      </w:pPr>
    </w:p>
    <w:p w:rsidR="00A22ED7" w:rsidP="00A22ED7">
      <w:pPr>
        <w:bidi w:val="0"/>
        <w:ind w:firstLine="708"/>
        <w:jc w:val="both"/>
        <w:rPr>
          <w:rFonts w:ascii="Arial Narrow" w:hAnsi="Arial Narrow" w:cs="Arial Narrow"/>
          <w:sz w:val="22"/>
          <w:szCs w:val="22"/>
        </w:rPr>
      </w:pPr>
      <w:r w:rsidRPr="006F720C">
        <w:rPr>
          <w:rFonts w:ascii="Arial Narrow" w:hAnsi="Arial Narrow" w:cs="Arial Narrow"/>
          <w:sz w:val="22"/>
          <w:szCs w:val="22"/>
        </w:rPr>
        <w:t>Nárast dlhu verejnej správy súvisí najmä s </w:t>
      </w:r>
      <w:r>
        <w:rPr>
          <w:rFonts w:ascii="Arial Narrow" w:hAnsi="Arial Narrow" w:cs="Arial Narrow"/>
          <w:sz w:val="22"/>
          <w:szCs w:val="22"/>
        </w:rPr>
        <w:t>prehĺbením</w:t>
      </w:r>
      <w:r w:rsidRPr="006F720C">
        <w:rPr>
          <w:rFonts w:ascii="Arial Narrow" w:hAnsi="Arial Narrow" w:cs="Arial Narrow"/>
          <w:sz w:val="22"/>
          <w:szCs w:val="22"/>
        </w:rPr>
        <w:t xml:space="preserve"> deficitu verejnej správy v rokoch 2009 a 2010. Fiškálna konsolidácia od roku 2011 a postupné zvyšovanie tempa rastu slovenskej ekonomiky prispejú k stabilizácii podielu dlhu verejnej správy na HDP</w:t>
      </w:r>
      <w:r>
        <w:rPr>
          <w:rFonts w:ascii="Arial Narrow" w:hAnsi="Arial Narrow" w:cs="Arial Narrow"/>
          <w:sz w:val="22"/>
          <w:szCs w:val="22"/>
        </w:rPr>
        <w:t>, pričom</w:t>
      </w:r>
      <w:r w:rsidRPr="006F720C">
        <w:rPr>
          <w:rFonts w:ascii="Arial Narrow" w:hAnsi="Arial Narrow" w:cs="Arial Narrow"/>
          <w:sz w:val="22"/>
          <w:szCs w:val="22"/>
        </w:rPr>
        <w:t xml:space="preserve"> v roku 2013</w:t>
      </w:r>
      <w:r>
        <w:rPr>
          <w:rFonts w:ascii="Arial Narrow" w:hAnsi="Arial Narrow" w:cs="Arial Narrow"/>
          <w:sz w:val="22"/>
          <w:szCs w:val="22"/>
        </w:rPr>
        <w:t xml:space="preserve"> sa už očakáva jeho pokles</w:t>
      </w:r>
      <w:r w:rsidRPr="006F720C">
        <w:rPr>
          <w:rFonts w:ascii="Arial Narrow" w:hAnsi="Arial Narrow" w:cs="Arial Narrow"/>
          <w:sz w:val="22"/>
          <w:szCs w:val="22"/>
        </w:rPr>
        <w:t>. Odhad výšky hrubého dlhu verejnej správy na roky 2010 až 2013 ovplyvňuje hlavne predpokladaný vývoj vo verejných financiách.</w:t>
      </w:r>
      <w:r w:rsidRPr="00BC1617">
        <w:rPr>
          <w:rFonts w:ascii="Arial Narrow" w:hAnsi="Arial Narrow" w:cs="Arial Narrow"/>
          <w:sz w:val="22"/>
          <w:szCs w:val="22"/>
        </w:rPr>
        <w:t xml:space="preserve"> </w:t>
      </w:r>
    </w:p>
    <w:p w:rsidR="00A22ED7" w:rsidP="00A22ED7">
      <w:pPr>
        <w:bidi w:val="0"/>
        <w:jc w:val="both"/>
        <w:rPr>
          <w:rFonts w:ascii="Arial Narrow" w:hAnsi="Arial Narrow" w:cs="Arial Narrow"/>
          <w:sz w:val="22"/>
          <w:szCs w:val="22"/>
          <w:highlight w:val="yellow"/>
        </w:rPr>
      </w:pPr>
    </w:p>
    <w:p w:rsidR="00D564D1" w:rsidRPr="00BC1617" w:rsidP="00A22ED7">
      <w:pPr>
        <w:bidi w:val="0"/>
        <w:jc w:val="both"/>
        <w:rPr>
          <w:rFonts w:ascii="Arial Narrow" w:hAnsi="Arial Narrow" w:cs="Arial Narrow"/>
          <w:sz w:val="22"/>
          <w:szCs w:val="22"/>
          <w:highlight w:val="yellow"/>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920"/>
        <w:gridCol w:w="1038"/>
        <w:gridCol w:w="1038"/>
        <w:gridCol w:w="1038"/>
        <w:gridCol w:w="1038"/>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0"/>
          <w:jc w:val="center"/>
        </w:trPr>
        <w:tc>
          <w:tcPr>
            <w:tcW w:w="492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both"/>
              <w:rPr>
                <w:rFonts w:ascii="Arial Narrow" w:hAnsi="Arial Narrow" w:cs="Arial Narrow"/>
                <w:b/>
                <w:bCs/>
                <w:sz w:val="16"/>
                <w:szCs w:val="16"/>
                <w:lang w:eastAsia="sk-SK"/>
              </w:rPr>
            </w:pPr>
            <w:r w:rsidRPr="002A181B" w:rsidR="00C94A21">
              <w:rPr>
                <w:rFonts w:ascii="Arial Narrow" w:hAnsi="Arial Narrow" w:cs="Arial Narrow"/>
                <w:b/>
                <w:bCs/>
                <w:sz w:val="16"/>
                <w:szCs w:val="16"/>
                <w:lang w:eastAsia="sk-SK"/>
              </w:rPr>
              <w:t>Vplyvy na zmenu hrubého dlhu verejnej správy (</w:t>
            </w:r>
            <w:r w:rsidR="008B4C71">
              <w:rPr>
                <w:rFonts w:ascii="Arial Narrow" w:hAnsi="Arial Narrow" w:cs="Arial Narrow"/>
                <w:b/>
                <w:bCs/>
                <w:sz w:val="16"/>
                <w:szCs w:val="16"/>
                <w:lang w:eastAsia="sk-SK"/>
              </w:rPr>
              <w:t xml:space="preserve">v </w:t>
            </w:r>
            <w:r w:rsidRPr="002A181B" w:rsidR="00C94A21">
              <w:rPr>
                <w:rFonts w:ascii="Arial Narrow" w:hAnsi="Arial Narrow" w:cs="Arial Narrow"/>
                <w:b/>
                <w:bCs/>
                <w:sz w:val="16"/>
                <w:szCs w:val="16"/>
                <w:lang w:eastAsia="sk-SK"/>
              </w:rPr>
              <w:t>mil. eur)</w:t>
            </w:r>
          </w:p>
        </w:tc>
        <w:tc>
          <w:tcPr>
            <w:tcW w:w="10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2010</w:t>
            </w:r>
            <w:r>
              <w:rPr>
                <w:rFonts w:ascii="Arial Narrow" w:hAnsi="Arial Narrow" w:cs="Arial Narrow"/>
                <w:b/>
                <w:bCs/>
                <w:sz w:val="16"/>
                <w:szCs w:val="16"/>
                <w:lang w:eastAsia="sk-SK"/>
              </w:rPr>
              <w:t xml:space="preserve"> OS</w:t>
            </w:r>
          </w:p>
        </w:tc>
        <w:tc>
          <w:tcPr>
            <w:tcW w:w="10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2011</w:t>
            </w:r>
            <w:r>
              <w:rPr>
                <w:rFonts w:ascii="Arial Narrow" w:hAnsi="Arial Narrow" w:cs="Arial Narrow"/>
                <w:b/>
                <w:bCs/>
                <w:sz w:val="16"/>
                <w:szCs w:val="16"/>
                <w:lang w:eastAsia="sk-SK"/>
              </w:rPr>
              <w:t xml:space="preserve"> N</w:t>
            </w:r>
          </w:p>
        </w:tc>
        <w:tc>
          <w:tcPr>
            <w:tcW w:w="10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2012</w:t>
            </w:r>
            <w:r>
              <w:rPr>
                <w:rFonts w:ascii="Arial Narrow" w:hAnsi="Arial Narrow" w:cs="Arial Narrow"/>
                <w:b/>
                <w:bCs/>
                <w:sz w:val="16"/>
                <w:szCs w:val="16"/>
                <w:lang w:eastAsia="sk-SK"/>
              </w:rPr>
              <w:t xml:space="preserve"> N</w:t>
            </w:r>
          </w:p>
        </w:tc>
        <w:tc>
          <w:tcPr>
            <w:tcW w:w="10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22ED7" w:rsidRPr="002A181B" w:rsidP="00131A28">
            <w:pPr>
              <w:bidi w:val="0"/>
              <w:jc w:val="center"/>
              <w:rPr>
                <w:rFonts w:ascii="Arial Narrow" w:hAnsi="Arial Narrow" w:cs="Arial Narrow"/>
                <w:b/>
                <w:bCs/>
                <w:sz w:val="16"/>
                <w:szCs w:val="16"/>
                <w:lang w:eastAsia="sk-SK"/>
              </w:rPr>
            </w:pPr>
            <w:r w:rsidRPr="002A181B">
              <w:rPr>
                <w:rFonts w:ascii="Arial Narrow" w:hAnsi="Arial Narrow" w:cs="Arial Narrow"/>
                <w:b/>
                <w:bCs/>
                <w:sz w:val="16"/>
                <w:szCs w:val="16"/>
                <w:lang w:eastAsia="sk-SK"/>
              </w:rPr>
              <w:t>2013</w:t>
            </w:r>
            <w:r>
              <w:rPr>
                <w:rFonts w:ascii="Arial Narrow" w:hAnsi="Arial Narrow" w:cs="Arial Narrow"/>
                <w:b/>
                <w:bCs/>
                <w:sz w:val="16"/>
                <w:szCs w:val="16"/>
                <w:lang w:eastAsia="sk-SK"/>
              </w:rPr>
              <w:t xml:space="preserve"> N</w:t>
            </w:r>
          </w:p>
        </w:tc>
      </w:tr>
      <w:tr>
        <w:tblPrEx>
          <w:tblW w:w="9072" w:type="dxa"/>
          <w:jc w:val="center"/>
          <w:tblCellMar>
            <w:left w:w="70" w:type="dxa"/>
            <w:right w:w="70" w:type="dxa"/>
          </w:tblCellMar>
        </w:tblPrEx>
        <w:trPr>
          <w:trHeight w:val="360"/>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sz w:val="16"/>
                <w:szCs w:val="16"/>
                <w:lang w:eastAsia="sk-SK"/>
              </w:rPr>
            </w:pPr>
            <w:r w:rsidRPr="002A181B">
              <w:rPr>
                <w:rFonts w:ascii="Arial Narrow" w:hAnsi="Arial Narrow" w:cs="Arial Narrow"/>
                <w:sz w:val="16"/>
                <w:szCs w:val="16"/>
                <w:lang w:eastAsia="sk-SK"/>
              </w:rPr>
              <w:t>Deficit ŠR na hotovostnom princípe</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color w:val="000000"/>
                <w:sz w:val="16"/>
                <w:szCs w:val="16"/>
              </w:rPr>
            </w:pPr>
            <w:r w:rsidRPr="005F3167">
              <w:rPr>
                <w:rFonts w:ascii="Arial Narrow" w:hAnsi="Arial Narrow" w:cs="Arial Narrow"/>
                <w:color w:val="000000"/>
                <w:sz w:val="16"/>
                <w:szCs w:val="16"/>
              </w:rPr>
              <w:t>4 700</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color w:val="000000"/>
                <w:sz w:val="16"/>
                <w:szCs w:val="16"/>
              </w:rPr>
            </w:pPr>
            <w:r w:rsidRPr="005F3167">
              <w:rPr>
                <w:rFonts w:ascii="Arial Narrow" w:hAnsi="Arial Narrow" w:cs="Arial Narrow"/>
                <w:color w:val="000000"/>
                <w:sz w:val="16"/>
                <w:szCs w:val="16"/>
              </w:rPr>
              <w:t>3 8</w:t>
            </w:r>
            <w:r w:rsidR="002E2734">
              <w:rPr>
                <w:rFonts w:ascii="Arial Narrow" w:hAnsi="Arial Narrow" w:cs="Arial Narrow"/>
                <w:color w:val="000000"/>
                <w:sz w:val="16"/>
                <w:szCs w:val="16"/>
              </w:rPr>
              <w:t>3</w:t>
            </w:r>
            <w:r w:rsidRPr="005F3167">
              <w:rPr>
                <w:rFonts w:ascii="Arial Narrow" w:hAnsi="Arial Narrow" w:cs="Arial Narrow"/>
                <w:color w:val="000000"/>
                <w:sz w:val="16"/>
                <w:szCs w:val="16"/>
              </w:rPr>
              <w:t>3</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color w:val="000000"/>
                <w:sz w:val="16"/>
                <w:szCs w:val="16"/>
              </w:rPr>
            </w:pPr>
            <w:r w:rsidRPr="005F3167">
              <w:rPr>
                <w:rFonts w:ascii="Arial Narrow" w:hAnsi="Arial Narrow" w:cs="Arial Narrow"/>
                <w:color w:val="000000"/>
                <w:sz w:val="16"/>
                <w:szCs w:val="16"/>
              </w:rPr>
              <w:t>3 162</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color w:val="000000"/>
                <w:sz w:val="16"/>
                <w:szCs w:val="16"/>
              </w:rPr>
            </w:pPr>
            <w:r w:rsidRPr="005F3167">
              <w:rPr>
                <w:rFonts w:ascii="Arial Narrow" w:hAnsi="Arial Narrow" w:cs="Arial Narrow"/>
                <w:color w:val="000000"/>
                <w:sz w:val="16"/>
                <w:szCs w:val="16"/>
              </w:rPr>
              <w:t>2 586</w:t>
            </w:r>
          </w:p>
        </w:tc>
      </w:tr>
      <w:tr>
        <w:tblPrEx>
          <w:tblW w:w="9072" w:type="dxa"/>
          <w:jc w:val="center"/>
          <w:tblCellMar>
            <w:left w:w="70" w:type="dxa"/>
            <w:right w:w="70" w:type="dxa"/>
          </w:tblCellMar>
        </w:tblPrEx>
        <w:trPr>
          <w:trHeight w:val="360"/>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sz w:val="16"/>
                <w:szCs w:val="16"/>
                <w:lang w:eastAsia="sk-SK"/>
              </w:rPr>
            </w:pPr>
            <w:r w:rsidRPr="002A181B">
              <w:rPr>
                <w:rFonts w:ascii="Arial Narrow" w:hAnsi="Arial Narrow" w:cs="Arial Narrow"/>
                <w:sz w:val="16"/>
                <w:szCs w:val="16"/>
                <w:lang w:eastAsia="sk-SK"/>
              </w:rPr>
              <w:t xml:space="preserve">Saldo prijatých a splatených úverov (najmä obce a VÚC) </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266</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103</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99</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112</w:t>
            </w:r>
          </w:p>
        </w:tc>
      </w:tr>
      <w:tr>
        <w:tblPrEx>
          <w:tblW w:w="9072" w:type="dxa"/>
          <w:jc w:val="center"/>
          <w:tblCellMar>
            <w:left w:w="70" w:type="dxa"/>
            <w:right w:w="70" w:type="dxa"/>
          </w:tblCellMar>
        </w:tblPrEx>
        <w:trPr>
          <w:trHeight w:val="329"/>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sz w:val="16"/>
                <w:szCs w:val="16"/>
                <w:lang w:eastAsia="sk-SK"/>
              </w:rPr>
            </w:pPr>
            <w:r w:rsidRPr="002A181B">
              <w:rPr>
                <w:rFonts w:ascii="Arial Narrow" w:hAnsi="Arial Narrow" w:cs="Arial Narrow"/>
                <w:sz w:val="16"/>
                <w:szCs w:val="16"/>
                <w:lang w:eastAsia="sk-SK"/>
              </w:rPr>
              <w:t>Zmena stavu výpožičiek zo Štátnej pokladnice</w:t>
            </w:r>
            <w:r>
              <w:rPr>
                <w:rFonts w:ascii="Arial Narrow" w:hAnsi="Arial Narrow" w:cs="Arial Narrow"/>
                <w:sz w:val="16"/>
                <w:szCs w:val="16"/>
                <w:lang w:eastAsia="sk-SK"/>
              </w:rPr>
              <w:t xml:space="preserve"> používaných na krytie dlhu</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1 339</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-570</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361</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-1 080</w:t>
            </w:r>
          </w:p>
        </w:tc>
      </w:tr>
      <w:tr>
        <w:tblPrEx>
          <w:tblW w:w="9072" w:type="dxa"/>
          <w:jc w:val="center"/>
          <w:tblCellMar>
            <w:left w:w="70" w:type="dxa"/>
            <w:right w:w="70" w:type="dxa"/>
          </w:tblCellMar>
        </w:tblPrEx>
        <w:trPr>
          <w:trHeight w:val="354"/>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sz w:val="16"/>
                <w:szCs w:val="16"/>
              </w:rPr>
            </w:pPr>
            <w:r w:rsidRPr="002A181B">
              <w:rPr>
                <w:rFonts w:ascii="Arial Narrow" w:hAnsi="Arial Narrow" w:cs="Arial Narrow"/>
                <w:sz w:val="16"/>
                <w:szCs w:val="16"/>
              </w:rPr>
              <w:t>Emisný diskont</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136</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112</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74</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68</w:t>
            </w:r>
          </w:p>
        </w:tc>
      </w:tr>
      <w:tr>
        <w:tblPrEx>
          <w:tblW w:w="9072" w:type="dxa"/>
          <w:jc w:val="center"/>
          <w:tblCellMar>
            <w:left w:w="70" w:type="dxa"/>
            <w:right w:w="70" w:type="dxa"/>
          </w:tblCellMar>
        </w:tblPrEx>
        <w:trPr>
          <w:trHeight w:val="336"/>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rPr>
                <w:rFonts w:ascii="Arial Narrow" w:hAnsi="Arial Narrow" w:cs="Arial Narrow"/>
                <w:sz w:val="16"/>
                <w:szCs w:val="16"/>
              </w:rPr>
            </w:pPr>
            <w:r w:rsidRPr="002A181B">
              <w:rPr>
                <w:rFonts w:ascii="Arial Narrow" w:hAnsi="Arial Narrow" w:cs="Arial Narrow"/>
                <w:sz w:val="16"/>
                <w:szCs w:val="16"/>
              </w:rPr>
              <w:t>Splatenie dlhopisov (diskont)</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-139</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-87</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-293</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sz w:val="16"/>
                <w:szCs w:val="16"/>
              </w:rPr>
            </w:pPr>
            <w:r w:rsidRPr="005F3167">
              <w:rPr>
                <w:rFonts w:ascii="Arial Narrow" w:hAnsi="Arial Narrow" w:cs="Arial Narrow"/>
                <w:sz w:val="16"/>
                <w:szCs w:val="16"/>
              </w:rPr>
              <w:t>-21</w:t>
            </w:r>
          </w:p>
        </w:tc>
      </w:tr>
      <w:tr>
        <w:tblPrEx>
          <w:tblW w:w="9072" w:type="dxa"/>
          <w:jc w:val="center"/>
          <w:tblCellMar>
            <w:left w:w="70" w:type="dxa"/>
            <w:right w:w="70" w:type="dxa"/>
          </w:tblCellMar>
        </w:tblPrEx>
        <w:trPr>
          <w:trHeight w:val="360"/>
          <w:jc w:val="center"/>
        </w:trPr>
        <w:tc>
          <w:tcPr>
            <w:tcW w:w="4920" w:type="dxa"/>
            <w:tcBorders>
              <w:top w:val="single" w:sz="4" w:space="0" w:color="auto"/>
              <w:left w:val="single" w:sz="4" w:space="0" w:color="auto"/>
              <w:bottom w:val="single" w:sz="4" w:space="0" w:color="auto"/>
              <w:right w:val="single" w:sz="4" w:space="0" w:color="auto"/>
            </w:tcBorders>
            <w:textDirection w:val="lrTb"/>
            <w:vAlign w:val="center"/>
          </w:tcPr>
          <w:p w:rsidR="00A22ED7" w:rsidRPr="002A181B" w:rsidP="00131A28">
            <w:pPr>
              <w:bidi w:val="0"/>
              <w:jc w:val="both"/>
              <w:rPr>
                <w:rFonts w:ascii="Arial Narrow" w:hAnsi="Arial Narrow" w:cs="Arial Narrow"/>
                <w:b/>
                <w:bCs/>
                <w:sz w:val="16"/>
                <w:szCs w:val="16"/>
                <w:lang w:eastAsia="sk-SK"/>
              </w:rPr>
            </w:pPr>
            <w:r w:rsidRPr="002A181B">
              <w:rPr>
                <w:rFonts w:ascii="Arial Narrow" w:hAnsi="Arial Narrow" w:cs="Arial Narrow"/>
                <w:b/>
                <w:bCs/>
                <w:sz w:val="16"/>
                <w:szCs w:val="16"/>
                <w:lang w:eastAsia="sk-SK"/>
              </w:rPr>
              <w:t>Spolu (medziročná zmena hrubého dlhu VS)</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6 302</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3 3</w:t>
            </w:r>
            <w:r w:rsidR="002E2734">
              <w:rPr>
                <w:rFonts w:ascii="Arial Narrow" w:hAnsi="Arial Narrow" w:cs="Arial Narrow"/>
                <w:b/>
                <w:bCs/>
                <w:sz w:val="16"/>
                <w:szCs w:val="16"/>
              </w:rPr>
              <w:t>9</w:t>
            </w:r>
            <w:r w:rsidRPr="005F3167">
              <w:rPr>
                <w:rFonts w:ascii="Arial Narrow" w:hAnsi="Arial Narrow" w:cs="Arial Narrow"/>
                <w:b/>
                <w:bCs/>
                <w:sz w:val="16"/>
                <w:szCs w:val="16"/>
              </w:rPr>
              <w:t>1</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3 404</w:t>
            </w:r>
          </w:p>
        </w:tc>
        <w:tc>
          <w:tcPr>
            <w:tcW w:w="1038" w:type="dxa"/>
            <w:tcBorders>
              <w:top w:val="single" w:sz="4" w:space="0" w:color="auto"/>
              <w:left w:val="single" w:sz="4" w:space="0" w:color="auto"/>
              <w:bottom w:val="single" w:sz="4" w:space="0" w:color="auto"/>
              <w:right w:val="single" w:sz="4" w:space="0" w:color="auto"/>
            </w:tcBorders>
            <w:textDirection w:val="lrTb"/>
            <w:vAlign w:val="center"/>
          </w:tcPr>
          <w:p w:rsidR="00A22ED7" w:rsidRPr="005F3167" w:rsidP="00131A28">
            <w:pPr>
              <w:bidi w:val="0"/>
              <w:jc w:val="right"/>
              <w:rPr>
                <w:rFonts w:ascii="Arial Narrow" w:hAnsi="Arial Narrow" w:cs="Arial Narrow"/>
                <w:b/>
                <w:bCs/>
                <w:sz w:val="16"/>
                <w:szCs w:val="16"/>
              </w:rPr>
            </w:pPr>
            <w:r w:rsidRPr="005F3167">
              <w:rPr>
                <w:rFonts w:ascii="Arial Narrow" w:hAnsi="Arial Narrow" w:cs="Arial Narrow"/>
                <w:b/>
                <w:bCs/>
                <w:sz w:val="16"/>
                <w:szCs w:val="16"/>
              </w:rPr>
              <w:t>1 666</w:t>
            </w:r>
          </w:p>
        </w:tc>
      </w:tr>
    </w:tbl>
    <w:p w:rsidR="00A22ED7" w:rsidRPr="00BC1617" w:rsidP="00A22ED7">
      <w:pPr>
        <w:tabs>
          <w:tab w:val="left" w:pos="4773"/>
        </w:tabs>
        <w:bidi w:val="0"/>
        <w:rPr>
          <w:rFonts w:ascii="Arial Narrow" w:hAnsi="Arial Narrow" w:cs="Arial Narrow"/>
          <w:i/>
          <w:iCs/>
          <w:sz w:val="16"/>
          <w:szCs w:val="16"/>
        </w:rPr>
      </w:pPr>
      <w:r w:rsidRPr="00BC1617">
        <w:rPr>
          <w:rFonts w:ascii="Arial Narrow" w:hAnsi="Arial Narrow" w:cs="Arial Narrow"/>
          <w:i/>
          <w:iCs/>
          <w:sz w:val="16"/>
          <w:szCs w:val="16"/>
        </w:rPr>
        <w:t>Pozn.: Plusové položky zvyšujú verejný dlh  k 31.12. príslušného roku, mínusové položky znižujú dlh.</w:t>
      </w:r>
    </w:p>
    <w:p w:rsidR="00A22ED7" w:rsidRPr="00BC1617" w:rsidP="00A22ED7">
      <w:pPr>
        <w:bidi w:val="0"/>
        <w:ind w:firstLine="708"/>
        <w:jc w:val="both"/>
        <w:rPr>
          <w:rFonts w:ascii="Arial Narrow" w:hAnsi="Arial Narrow" w:cs="Arial Narrow"/>
          <w:sz w:val="22"/>
          <w:szCs w:val="22"/>
          <w:highlight w:val="yellow"/>
        </w:rPr>
      </w:pPr>
    </w:p>
    <w:p w:rsidR="00A22ED7" w:rsidRPr="00D864AB" w:rsidP="00A22ED7">
      <w:pPr>
        <w:bidi w:val="0"/>
        <w:ind w:firstLine="708"/>
        <w:jc w:val="both"/>
        <w:rPr>
          <w:rFonts w:ascii="Arial Narrow" w:hAnsi="Arial Narrow" w:cs="Arial Narrow"/>
          <w:sz w:val="22"/>
          <w:szCs w:val="22"/>
        </w:rPr>
      </w:pPr>
      <w:r w:rsidRPr="00D864AB">
        <w:rPr>
          <w:rFonts w:ascii="Arial Narrow" w:hAnsi="Arial Narrow" w:cs="Arial Narrow"/>
          <w:sz w:val="22"/>
          <w:szCs w:val="22"/>
        </w:rPr>
        <w:t xml:space="preserve">Hlavným faktorom, ktorý ovplyvní vývoj dlhu verejnej správy je hotovostný </w:t>
      </w:r>
      <w:r w:rsidRPr="00D864AB">
        <w:rPr>
          <w:rFonts w:ascii="Arial Narrow" w:hAnsi="Arial Narrow" w:cs="Arial Narrow"/>
          <w:b/>
          <w:bCs/>
          <w:sz w:val="22"/>
          <w:szCs w:val="22"/>
        </w:rPr>
        <w:t>schodok štátneho rozpočtu.</w:t>
      </w:r>
      <w:r w:rsidRPr="00D864AB">
        <w:rPr>
          <w:rFonts w:ascii="Arial Narrow" w:hAnsi="Arial Narrow" w:cs="Arial Narrow"/>
          <w:sz w:val="22"/>
          <w:szCs w:val="22"/>
        </w:rPr>
        <w:t xml:space="preserve"> Od roku 2011 sa </w:t>
      </w:r>
      <w:r>
        <w:rPr>
          <w:rFonts w:ascii="Arial Narrow" w:hAnsi="Arial Narrow" w:cs="Arial Narrow"/>
          <w:sz w:val="22"/>
          <w:szCs w:val="22"/>
        </w:rPr>
        <w:t xml:space="preserve">v súlade s konsolidačnými cieľmi rozpočtu verejnej správy </w:t>
      </w:r>
      <w:r w:rsidRPr="00D864AB">
        <w:rPr>
          <w:rFonts w:ascii="Arial Narrow" w:hAnsi="Arial Narrow" w:cs="Arial Narrow"/>
          <w:sz w:val="22"/>
          <w:szCs w:val="22"/>
        </w:rPr>
        <w:t xml:space="preserve">predpokladá jeho postupné znižovanie, čím dochádza aj k znižovaniu negatívneho vplyvu na dlh. </w:t>
      </w:r>
    </w:p>
    <w:p w:rsidR="00A22ED7" w:rsidP="00A22ED7">
      <w:pPr>
        <w:bidi w:val="0"/>
        <w:ind w:firstLine="708"/>
        <w:jc w:val="both"/>
        <w:rPr>
          <w:rFonts w:ascii="Arial Narrow" w:hAnsi="Arial Narrow" w:cs="Arial Narrow"/>
          <w:sz w:val="22"/>
          <w:szCs w:val="22"/>
        </w:rPr>
      </w:pPr>
    </w:p>
    <w:p w:rsidR="00A22ED7" w:rsidRPr="006F720C" w:rsidP="00A22ED7">
      <w:pPr>
        <w:bidi w:val="0"/>
        <w:ind w:firstLine="708"/>
        <w:jc w:val="both"/>
        <w:rPr>
          <w:rFonts w:ascii="Arial Narrow" w:hAnsi="Arial Narrow" w:cs="Arial Narrow"/>
          <w:sz w:val="22"/>
          <w:szCs w:val="22"/>
        </w:rPr>
      </w:pPr>
      <w:r w:rsidRPr="00D864AB">
        <w:rPr>
          <w:rFonts w:ascii="Arial Narrow" w:hAnsi="Arial Narrow" w:cs="Arial Narrow"/>
          <w:sz w:val="22"/>
          <w:szCs w:val="22"/>
        </w:rPr>
        <w:t xml:space="preserve">V prípade </w:t>
      </w:r>
      <w:r w:rsidRPr="00D864AB">
        <w:rPr>
          <w:rFonts w:ascii="Arial Narrow" w:hAnsi="Arial Narrow" w:cs="Arial Narrow"/>
          <w:b/>
          <w:bCs/>
          <w:sz w:val="22"/>
          <w:szCs w:val="22"/>
        </w:rPr>
        <w:t>úverov</w:t>
      </w:r>
      <w:r w:rsidRPr="00D864AB">
        <w:rPr>
          <w:rFonts w:ascii="Arial Narrow" w:hAnsi="Arial Narrow" w:cs="Arial Narrow"/>
          <w:sz w:val="22"/>
          <w:szCs w:val="22"/>
        </w:rPr>
        <w:t xml:space="preserve"> sa očakáva, že výška prijatých úverov obcí a VÚC presiahne splátky istín, čo znamená, že táto položka bude v prognózovanom období prispievať k nárastu dlhu.</w:t>
      </w:r>
    </w:p>
    <w:p w:rsidR="00A22ED7" w:rsidRPr="0048479C" w:rsidP="00A22ED7">
      <w:pPr>
        <w:bidi w:val="0"/>
        <w:ind w:firstLine="708"/>
        <w:jc w:val="both"/>
        <w:rPr>
          <w:rFonts w:ascii="Arial Narrow" w:hAnsi="Arial Narrow" w:cs="Arial Narrow"/>
          <w:sz w:val="22"/>
          <w:szCs w:val="22"/>
          <w:highlight w:val="yellow"/>
        </w:rPr>
      </w:pPr>
    </w:p>
    <w:p w:rsidR="00A22ED7" w:rsidP="00A22ED7">
      <w:pPr>
        <w:bidi w:val="0"/>
        <w:ind w:firstLine="708"/>
        <w:jc w:val="both"/>
        <w:rPr>
          <w:rFonts w:ascii="Arial Narrow" w:hAnsi="Arial Narrow" w:cs="Arial Narrow"/>
          <w:sz w:val="22"/>
          <w:szCs w:val="22"/>
        </w:rPr>
      </w:pPr>
      <w:r w:rsidRPr="0024039E">
        <w:rPr>
          <w:rFonts w:ascii="Arial Narrow" w:hAnsi="Arial Narrow" w:cs="Arial Narrow"/>
          <w:sz w:val="22"/>
          <w:szCs w:val="22"/>
        </w:rPr>
        <w:t xml:space="preserve">Prognóza výšky dlhu verejnej správy na roky 2010 až 2013 berie do úvahy aj predpokladanú </w:t>
      </w:r>
      <w:r w:rsidRPr="0024039E">
        <w:rPr>
          <w:rFonts w:ascii="Arial Narrow" w:hAnsi="Arial Narrow" w:cs="Arial Narrow"/>
          <w:b/>
          <w:bCs/>
          <w:sz w:val="22"/>
          <w:szCs w:val="22"/>
        </w:rPr>
        <w:t>zmenu stavu výpožičiek zo Štátnej pokladnice používaných na krytie štátneho dlhu</w:t>
      </w:r>
      <w:r w:rsidRPr="0024039E">
        <w:rPr>
          <w:rFonts w:ascii="Arial Narrow" w:hAnsi="Arial Narrow" w:cs="Arial Narrow"/>
          <w:sz w:val="22"/>
          <w:szCs w:val="22"/>
        </w:rPr>
        <w:t xml:space="preserve">. </w:t>
      </w:r>
      <w:r>
        <w:rPr>
          <w:rFonts w:ascii="Arial Narrow" w:hAnsi="Arial Narrow" w:cs="Arial Narrow"/>
          <w:sz w:val="22"/>
          <w:szCs w:val="22"/>
        </w:rPr>
        <w:t>V priebehu roku 2010 tieto výpožičky klesnú o 1 339 mil. eur, pričom na tomto vývoji sa podieľajú tri skupiny faktorov. Prvým je potreba zabezpečenia dostatočnej likvidity pre účely riadenia dlhu, ktorá vyplýva z časového rozdielu medzi predpokladaným splácaním jednotlivých dlhových nástrojov a plánom ich emisie. Relatívne vysoká potreba splatenia cenných papierov na začiatku roku 2011 si vyžaduje držbu dostatočného množstva likvidných prostriedkov v období pred ich splatením, t.</w:t>
      </w:r>
      <w:r w:rsidR="003C30F4">
        <w:rPr>
          <w:rFonts w:ascii="Arial Narrow" w:hAnsi="Arial Narrow" w:cs="Arial Narrow"/>
          <w:sz w:val="22"/>
          <w:szCs w:val="22"/>
        </w:rPr>
        <w:t xml:space="preserve"> </w:t>
      </w:r>
      <w:r>
        <w:rPr>
          <w:rFonts w:ascii="Arial Narrow" w:hAnsi="Arial Narrow" w:cs="Arial Narrow"/>
          <w:sz w:val="22"/>
          <w:szCs w:val="22"/>
        </w:rPr>
        <w:t>j. na konci roku 2010. To znamená, že tieto prostriedky nemôžu byť použité na krytie dlhu, čo má negatívny vplyv na dlh v tomto roku vo výške 2 004 mil. eur. Dôvodom negatívneho vplyvu je skutočnosť, že medziročné z</w:t>
      </w:r>
      <w:r w:rsidRPr="0024039E">
        <w:rPr>
          <w:rFonts w:ascii="Arial Narrow" w:hAnsi="Arial Narrow" w:cs="Arial Narrow"/>
          <w:sz w:val="22"/>
          <w:szCs w:val="22"/>
        </w:rPr>
        <w:t>níženie stavu výpožičiek</w:t>
      </w:r>
      <w:r>
        <w:rPr>
          <w:rFonts w:ascii="Arial Narrow" w:hAnsi="Arial Narrow" w:cs="Arial Narrow"/>
          <w:sz w:val="22"/>
          <w:szCs w:val="22"/>
        </w:rPr>
        <w:t xml:space="preserve"> zo Štátnej pokladnice</w:t>
      </w:r>
      <w:r w:rsidRPr="0024039E">
        <w:rPr>
          <w:rFonts w:ascii="Arial Narrow" w:hAnsi="Arial Narrow" w:cs="Arial Narrow"/>
          <w:sz w:val="22"/>
          <w:szCs w:val="22"/>
        </w:rPr>
        <w:t xml:space="preserve">, slúžiacich ako zdroj financovania štátneho dlhu, bude musieť ARDAL </w:t>
      </w:r>
      <w:r>
        <w:rPr>
          <w:rFonts w:ascii="Arial Narrow" w:hAnsi="Arial Narrow" w:cs="Arial Narrow"/>
          <w:sz w:val="22"/>
          <w:szCs w:val="22"/>
        </w:rPr>
        <w:t xml:space="preserve">v priebehu daného roka </w:t>
      </w:r>
      <w:r w:rsidRPr="0024039E">
        <w:rPr>
          <w:rFonts w:ascii="Arial Narrow" w:hAnsi="Arial Narrow" w:cs="Arial Narrow"/>
          <w:sz w:val="22"/>
          <w:szCs w:val="22"/>
        </w:rPr>
        <w:t xml:space="preserve">nahradiť emitovaním nových dlhopisov. </w:t>
      </w:r>
      <w:r>
        <w:rPr>
          <w:rFonts w:ascii="Arial Narrow" w:hAnsi="Arial Narrow" w:cs="Arial Narrow"/>
          <w:sz w:val="22"/>
          <w:szCs w:val="22"/>
        </w:rPr>
        <w:t>Druhým faktorom je zapojenie prostriedkov z EÚ do výpožičiek Štátnej pokladnice. V priebehu roku 2010 sa tieto prostriedky poskytli ARDAL</w:t>
      </w:r>
      <w:r w:rsidR="00B377DE">
        <w:rPr>
          <w:rFonts w:ascii="Arial Narrow" w:hAnsi="Arial Narrow" w:cs="Arial Narrow"/>
          <w:sz w:val="22"/>
          <w:szCs w:val="22"/>
        </w:rPr>
        <w:t>u</w:t>
      </w:r>
      <w:r>
        <w:rPr>
          <w:rFonts w:ascii="Arial Narrow" w:hAnsi="Arial Narrow" w:cs="Arial Narrow"/>
          <w:sz w:val="22"/>
          <w:szCs w:val="22"/>
        </w:rPr>
        <w:t xml:space="preserve"> na účely riadenia dlhu a likvidity vo výške 900 mil. eur. Keďže tieto prostriedky môžu byť použité na krytie dlhu, majú pozitívny vplyv na úroveň dlhu v uvedenej sume. Treťou skupinou sú faktory, ktoré prispievajú k zníženiu celkového stavu výpožičiek zo Štátnej pokladnice a teda k nárastu hrubého dlhu vo výške 235 mil. eur. Pokles je spôsobený najmä medziročným znížením prostriedkov na bežných účtoch štátnych rozpočtových organizácií, Fondu národného majetku a Sociálnej poisťovne. </w:t>
      </w:r>
    </w:p>
    <w:p w:rsidR="00AB426D" w:rsidP="00A22ED7">
      <w:pPr>
        <w:bidi w:val="0"/>
        <w:ind w:firstLine="708"/>
        <w:jc w:val="both"/>
        <w:rPr>
          <w:rFonts w:ascii="Arial Narrow" w:hAnsi="Arial Narrow" w:cs="Arial Narrow"/>
          <w:sz w:val="22"/>
          <w:szCs w:val="22"/>
        </w:rPr>
      </w:pPr>
    </w:p>
    <w:p w:rsidR="00A22ED7" w:rsidRPr="0024039E" w:rsidP="00A22ED7">
      <w:pPr>
        <w:bidi w:val="0"/>
        <w:ind w:firstLine="708"/>
        <w:jc w:val="both"/>
        <w:rPr>
          <w:rFonts w:ascii="Arial Narrow" w:hAnsi="Arial Narrow" w:cs="Arial Narrow"/>
          <w:sz w:val="22"/>
          <w:szCs w:val="22"/>
        </w:rPr>
      </w:pPr>
      <w:r>
        <w:rPr>
          <w:rFonts w:ascii="Arial Narrow" w:hAnsi="Arial Narrow" w:cs="Arial Narrow"/>
          <w:sz w:val="22"/>
          <w:szCs w:val="22"/>
        </w:rPr>
        <w:t xml:space="preserve">V rokoch 2011 až 2013 je vplyv výpožičiek zo Štátnej pokladnice na dlh ovplyvnený najmä potrebou zabezpečenia dostatočnej likvidity pre účely riadenia dlhu. V rokoch 2011 a 2013 bude ARDAL využívať viac zdrojov zo Štátnej pokladnice na krytie dlhu, čo bude pozitívne pôsobiť na výšku dlhu. </w:t>
      </w:r>
    </w:p>
    <w:p w:rsidR="00A22ED7" w:rsidP="00A22ED7">
      <w:pPr>
        <w:bidi w:val="0"/>
        <w:jc w:val="both"/>
        <w:rPr>
          <w:rFonts w:ascii="Arial Narrow" w:hAnsi="Arial Narrow" w:cs="Arial Narrow"/>
          <w:sz w:val="22"/>
          <w:szCs w:val="22"/>
        </w:rPr>
      </w:pPr>
      <w:r w:rsidRPr="0004192D">
        <w:rPr>
          <w:rFonts w:ascii="Arial Narrow" w:hAnsi="Arial Narrow" w:cs="Arial Narrow"/>
          <w:sz w:val="22"/>
          <w:szCs w:val="22"/>
        </w:rPr>
        <w:tab/>
      </w:r>
    </w:p>
    <w:p w:rsidR="00A22ED7" w:rsidRPr="0004192D" w:rsidP="00A22ED7">
      <w:pPr>
        <w:bidi w:val="0"/>
        <w:ind w:firstLine="708"/>
        <w:jc w:val="both"/>
        <w:rPr>
          <w:rFonts w:ascii="Arial Narrow" w:hAnsi="Arial Narrow" w:cs="Arial Narrow"/>
          <w:sz w:val="22"/>
          <w:szCs w:val="22"/>
        </w:rPr>
      </w:pPr>
      <w:r w:rsidRPr="0004192D">
        <w:rPr>
          <w:rFonts w:ascii="Arial Narrow" w:hAnsi="Arial Narrow" w:cs="Arial Narrow"/>
          <w:sz w:val="22"/>
          <w:szCs w:val="22"/>
        </w:rPr>
        <w:t xml:space="preserve">Ďalším negatívnym faktorom, ktorý prispel k zvýšeniu dlhu je </w:t>
      </w:r>
      <w:r w:rsidRPr="0004192D">
        <w:rPr>
          <w:rFonts w:ascii="Arial Narrow" w:hAnsi="Arial Narrow" w:cs="Arial Narrow"/>
          <w:b/>
          <w:bCs/>
          <w:sz w:val="22"/>
          <w:szCs w:val="22"/>
        </w:rPr>
        <w:t>diskont pri emisii štátnych dlhopisov</w:t>
      </w:r>
      <w:r w:rsidRPr="0004192D">
        <w:rPr>
          <w:rFonts w:ascii="Arial Narrow" w:hAnsi="Arial Narrow" w:cs="Arial Narrow"/>
          <w:sz w:val="22"/>
          <w:szCs w:val="22"/>
        </w:rPr>
        <w:t xml:space="preserve"> a štátnych pokladničných poukážok. Keďže v okamihu emisie dlhopisov narastú záväzky štátu o nominálnu hodnotu dlhopisov, avšak štát získava v hotovosti nižšiu sumu (zníženú práve o diskont), potom emisný diskont je faktorom, ktorý prispieva k nárastu dlhu.</w:t>
      </w:r>
    </w:p>
    <w:p w:rsidR="00A22ED7" w:rsidRPr="0048479C" w:rsidP="00A22ED7">
      <w:pPr>
        <w:bidi w:val="0"/>
        <w:jc w:val="both"/>
        <w:rPr>
          <w:rFonts w:ascii="Arial Narrow" w:hAnsi="Arial Narrow" w:cs="Arial Narrow"/>
          <w:b/>
          <w:bCs/>
          <w:sz w:val="22"/>
          <w:szCs w:val="22"/>
          <w:highlight w:val="yellow"/>
        </w:rPr>
      </w:pPr>
    </w:p>
    <w:p w:rsidR="00A22ED7" w:rsidP="00A22ED7">
      <w:pPr>
        <w:bidi w:val="0"/>
        <w:ind w:firstLine="708"/>
        <w:jc w:val="both"/>
        <w:rPr>
          <w:rFonts w:ascii="Arial Narrow" w:hAnsi="Arial Narrow" w:cs="Arial Narrow"/>
          <w:sz w:val="22"/>
          <w:szCs w:val="22"/>
        </w:rPr>
      </w:pPr>
      <w:r w:rsidRPr="006F720C">
        <w:rPr>
          <w:rFonts w:ascii="Arial Narrow" w:hAnsi="Arial Narrow" w:cs="Arial Narrow"/>
          <w:sz w:val="22"/>
          <w:szCs w:val="22"/>
        </w:rPr>
        <w:t xml:space="preserve">V čase splatnosti dlhopisov je výška </w:t>
      </w:r>
      <w:r w:rsidRPr="006F720C">
        <w:rPr>
          <w:rFonts w:ascii="Arial Narrow" w:hAnsi="Arial Narrow" w:cs="Arial Narrow"/>
          <w:b/>
          <w:bCs/>
          <w:sz w:val="22"/>
          <w:szCs w:val="22"/>
        </w:rPr>
        <w:t>plateného diskontu</w:t>
      </w:r>
      <w:r w:rsidRPr="006F720C">
        <w:rPr>
          <w:rFonts w:ascii="Arial Narrow" w:hAnsi="Arial Narrow" w:cs="Arial Narrow"/>
          <w:sz w:val="22"/>
          <w:szCs w:val="22"/>
        </w:rPr>
        <w:t xml:space="preserve"> súčasťou hotovostných výdavkov štátneho rozpočtu, avšak táto suma neprispieva k nárastu dlhu. Spôsob výpočtu predpokladá, že ak hotovostný deficit štátneho rozpočtu v plnej výške zvyšuje štátny dlh, potom diskont pri splatení štátnych dlhopisov má pozitívny vplyv na dlh. Dôvodom je skutočnosť, že k nárastu dlhu dochádza už pri emisii dlhopisov, a to v nominálnej hodnote dlhopisu a nie pri ich splatení.</w:t>
      </w:r>
    </w:p>
    <w:p w:rsidR="00AB426D" w:rsidP="00A22ED7">
      <w:pPr>
        <w:bidi w:val="0"/>
        <w:ind w:firstLine="708"/>
        <w:jc w:val="both"/>
        <w:rPr>
          <w:rFonts w:ascii="Arial Narrow" w:hAnsi="Arial Narrow" w:cs="Arial Narrow"/>
          <w:sz w:val="22"/>
          <w:szCs w:val="22"/>
        </w:rPr>
      </w:pPr>
    </w:p>
    <w:p w:rsidR="00A1281C" w:rsidP="00A1281C">
      <w:pPr>
        <w:bidi w:val="0"/>
        <w:jc w:val="both"/>
        <w:rPr>
          <w:rFonts w:ascii="Arial Narrow" w:hAnsi="Arial Narrow" w:cs="Arial Narrow"/>
          <w:sz w:val="22"/>
          <w:szCs w:val="22"/>
        </w:rPr>
      </w:pPr>
      <w:bookmarkStart w:id="41" w:name="_Toc219860186"/>
    </w:p>
    <w:p w:rsidR="00A1281C" w:rsidRPr="00FB57DA" w:rsidP="00A1281C">
      <w:pPr>
        <w:pStyle w:val="Heading1"/>
        <w:bidi w:val="0"/>
        <w:spacing w:before="0"/>
        <w:rPr>
          <w:rFonts w:ascii="Arial Narrow" w:hAnsi="Arial Narrow" w:cs="Arial Narrow"/>
          <w:sz w:val="28"/>
          <w:szCs w:val="28"/>
        </w:rPr>
      </w:pPr>
      <w:bookmarkStart w:id="42" w:name="_Toc273148230"/>
      <w:bookmarkStart w:id="43" w:name="_Toc273148231"/>
      <w:bookmarkStart w:id="44" w:name="_Toc273979615"/>
      <w:r w:rsidRPr="00FB57DA">
        <w:rPr>
          <w:rFonts w:ascii="Arial Narrow" w:hAnsi="Arial Narrow" w:cs="Arial Narrow"/>
          <w:sz w:val="28"/>
          <w:szCs w:val="28"/>
        </w:rPr>
        <w:t>3. Rozpočtovanie príjmov štátneho rozpočtu</w:t>
      </w:r>
      <w:bookmarkEnd w:id="42"/>
      <w:bookmarkEnd w:id="44"/>
    </w:p>
    <w:p w:rsidR="00A1281C" w:rsidRPr="00951CC4" w:rsidP="00A1281C">
      <w:pPr>
        <w:pStyle w:val="Heading2"/>
        <w:bidi w:val="0"/>
        <w:rPr>
          <w:rFonts w:ascii="Arial Narrow" w:hAnsi="Arial Narrow" w:cs="Arial Narrow"/>
          <w:i w:val="0"/>
          <w:iCs w:val="0"/>
          <w:sz w:val="24"/>
          <w:szCs w:val="24"/>
        </w:rPr>
      </w:pPr>
      <w:bookmarkStart w:id="45" w:name="_Toc273979616"/>
      <w:r w:rsidRPr="00951CC4">
        <w:rPr>
          <w:rFonts w:ascii="Arial Narrow" w:hAnsi="Arial Narrow" w:cs="Arial Narrow"/>
          <w:i w:val="0"/>
          <w:iCs w:val="0"/>
          <w:sz w:val="24"/>
          <w:szCs w:val="24"/>
        </w:rPr>
        <w:t xml:space="preserve">3.1. </w:t>
      </w:r>
      <w:bookmarkEnd w:id="43"/>
      <w:r>
        <w:rPr>
          <w:rFonts w:ascii="Arial Narrow" w:hAnsi="Arial Narrow" w:cs="Arial Narrow"/>
          <w:i w:val="0"/>
          <w:iCs w:val="0"/>
          <w:sz w:val="24"/>
          <w:szCs w:val="24"/>
        </w:rPr>
        <w:t>Daňové a odvodové zaťaženie</w:t>
      </w:r>
      <w:bookmarkEnd w:id="45"/>
    </w:p>
    <w:p w:rsidR="00A1281C" w:rsidRPr="00DF45EC" w:rsidP="00A1281C">
      <w:pPr>
        <w:bidi w:val="0"/>
        <w:rPr>
          <w:rFonts w:ascii="Arial Narrow" w:hAnsi="Arial Narrow" w:cs="Arial Narrow"/>
          <w:highlight w:val="yellow"/>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Celkové daňové a odvodové zaťaženie je možné merať ako podiel daní a odvodov na HDP.</w:t>
      </w:r>
      <w:r w:rsidRPr="002F2D15">
        <w:rPr>
          <w:rFonts w:ascii="Arial Narrow" w:hAnsi="Arial Narrow" w:cs="Arial Narrow"/>
          <w:sz w:val="22"/>
          <w:szCs w:val="22"/>
        </w:rPr>
        <w:t xml:space="preserve"> </w:t>
      </w:r>
      <w:r w:rsidRPr="00DF45EC">
        <w:rPr>
          <w:rFonts w:ascii="Arial Narrow" w:hAnsi="Arial Narrow" w:cs="Arial Narrow"/>
          <w:sz w:val="22"/>
          <w:szCs w:val="22"/>
        </w:rPr>
        <w:t xml:space="preserve">Ide o veľmi jednoduchý a súhrnný ukazovateľ, ktorý umožňuje </w:t>
      </w:r>
      <w:r>
        <w:rPr>
          <w:rFonts w:ascii="Arial Narrow" w:hAnsi="Arial Narrow" w:cs="Arial Narrow"/>
          <w:sz w:val="22"/>
          <w:szCs w:val="22"/>
        </w:rPr>
        <w:t xml:space="preserve">aj </w:t>
      </w:r>
      <w:r w:rsidRPr="00DF45EC">
        <w:rPr>
          <w:rFonts w:ascii="Arial Narrow" w:hAnsi="Arial Narrow" w:cs="Arial Narrow"/>
          <w:sz w:val="22"/>
          <w:szCs w:val="22"/>
        </w:rPr>
        <w:t>vzájomnú medzinárodnú komparáciu.</w:t>
      </w:r>
      <w:r>
        <w:rPr>
          <w:rFonts w:ascii="Arial Narrow" w:hAnsi="Arial Narrow" w:cs="Arial Narrow"/>
          <w:sz w:val="22"/>
          <w:szCs w:val="22"/>
        </w:rPr>
        <w:t xml:space="preserve"> Okrem toho poskytuje  základnú informáciu o tom, akým spôsobom vplývajú dane a odvody na medziročnú zmenu salda verejnej správy. </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Aktuálna prognóza daní a odvodov predpokladá v období rokov 2010 až 2013 stabilizáciu celkového daňového zaťaženia, ktoré by malo poklesnúť len veľmi mierne z úrovne 27,8 % HDP v roku 2010 na úroveň  </w:t>
      </w:r>
      <w:r w:rsidRPr="008268E3">
        <w:rPr>
          <w:rFonts w:ascii="Arial Narrow" w:hAnsi="Arial Narrow" w:cs="Arial Narrow"/>
          <w:sz w:val="22"/>
          <w:szCs w:val="22"/>
        </w:rPr>
        <w:t>2</w:t>
      </w:r>
      <w:r>
        <w:rPr>
          <w:rFonts w:ascii="Arial Narrow" w:hAnsi="Arial Narrow" w:cs="Arial Narrow"/>
          <w:sz w:val="22"/>
          <w:szCs w:val="22"/>
        </w:rPr>
        <w:t>7</w:t>
      </w:r>
      <w:r w:rsidRPr="008268E3">
        <w:rPr>
          <w:rFonts w:ascii="Arial Narrow" w:hAnsi="Arial Narrow" w:cs="Arial Narrow"/>
          <w:sz w:val="22"/>
          <w:szCs w:val="22"/>
        </w:rPr>
        <w:t>,</w:t>
      </w:r>
      <w:r>
        <w:rPr>
          <w:rFonts w:ascii="Arial Narrow" w:hAnsi="Arial Narrow" w:cs="Arial Narrow"/>
          <w:sz w:val="22"/>
          <w:szCs w:val="22"/>
        </w:rPr>
        <w:t xml:space="preserve">7 </w:t>
      </w:r>
      <w:r w:rsidRPr="008268E3">
        <w:rPr>
          <w:rFonts w:ascii="Arial Narrow" w:hAnsi="Arial Narrow" w:cs="Arial Narrow"/>
          <w:sz w:val="22"/>
          <w:szCs w:val="22"/>
        </w:rPr>
        <w:t>% HDP</w:t>
      </w:r>
      <w:r>
        <w:rPr>
          <w:rFonts w:ascii="Arial Narrow" w:hAnsi="Arial Narrow" w:cs="Arial Narrow"/>
          <w:sz w:val="22"/>
          <w:szCs w:val="22"/>
        </w:rPr>
        <w:t xml:space="preserve"> v roku 2013.</w:t>
      </w:r>
      <w:r w:rsidRPr="008268E3">
        <w:rPr>
          <w:rFonts w:ascii="Arial Narrow" w:hAnsi="Arial Narrow" w:cs="Arial Narrow"/>
          <w:sz w:val="22"/>
          <w:szCs w:val="22"/>
        </w:rPr>
        <w:t xml:space="preserve"> </w:t>
      </w:r>
      <w:r>
        <w:rPr>
          <w:rFonts w:ascii="Arial Narrow" w:hAnsi="Arial Narrow" w:cs="Arial Narrow"/>
          <w:sz w:val="22"/>
          <w:szCs w:val="22"/>
        </w:rPr>
        <w:t xml:space="preserve">Podiel daní a odvodov na HDP nevzrastie aj napriek prijatiu konsolidačných </w:t>
      </w:r>
      <w:r w:rsidRPr="008268E3">
        <w:rPr>
          <w:rFonts w:ascii="Arial Narrow" w:hAnsi="Arial Narrow" w:cs="Arial Narrow"/>
          <w:sz w:val="22"/>
          <w:szCs w:val="22"/>
        </w:rPr>
        <w:t>opatren</w:t>
      </w:r>
      <w:r>
        <w:rPr>
          <w:rFonts w:ascii="Arial Narrow" w:hAnsi="Arial Narrow" w:cs="Arial Narrow"/>
          <w:sz w:val="22"/>
          <w:szCs w:val="22"/>
        </w:rPr>
        <w:t>í</w:t>
      </w:r>
      <w:r w:rsidRPr="008268E3">
        <w:rPr>
          <w:rFonts w:ascii="Arial Narrow" w:hAnsi="Arial Narrow" w:cs="Arial Narrow"/>
          <w:sz w:val="22"/>
          <w:szCs w:val="22"/>
        </w:rPr>
        <w:t xml:space="preserve"> v oblastí daní a</w:t>
      </w:r>
      <w:r>
        <w:rPr>
          <w:rFonts w:ascii="Arial Narrow" w:hAnsi="Arial Narrow" w:cs="Arial Narrow"/>
          <w:sz w:val="22"/>
          <w:szCs w:val="22"/>
        </w:rPr>
        <w:t> </w:t>
      </w:r>
      <w:r w:rsidRPr="008268E3">
        <w:rPr>
          <w:rFonts w:ascii="Arial Narrow" w:hAnsi="Arial Narrow" w:cs="Arial Narrow"/>
          <w:sz w:val="22"/>
          <w:szCs w:val="22"/>
        </w:rPr>
        <w:t>odvodov</w:t>
      </w:r>
      <w:r>
        <w:rPr>
          <w:rFonts w:ascii="Arial Narrow" w:hAnsi="Arial Narrow" w:cs="Arial Narrow"/>
          <w:sz w:val="22"/>
          <w:szCs w:val="22"/>
        </w:rPr>
        <w:t xml:space="preserve"> v celkovej výške viac než 1,0 % HDP</w:t>
      </w:r>
      <w:r>
        <w:rPr>
          <w:rStyle w:val="FootnoteReference"/>
          <w:rFonts w:ascii="Arial Narrow" w:hAnsi="Arial Narrow" w:cs="Arial Narrow"/>
          <w:sz w:val="22"/>
          <w:szCs w:val="22"/>
          <w:rtl w:val="0"/>
        </w:rPr>
        <w:footnoteReference w:id="3"/>
      </w:r>
      <w:r>
        <w:rPr>
          <w:rFonts w:ascii="Arial Narrow" w:hAnsi="Arial Narrow" w:cs="Arial Narrow"/>
          <w:sz w:val="22"/>
          <w:szCs w:val="22"/>
        </w:rPr>
        <w:t xml:space="preserve">. Dôvodom je skutočnosť, že bez zohľadnenia prijatých opatrení by daňové zaťaženie klesalo, v porovnaní s rokom 2010 až o 1,2 p. b. na úroveň 26,6 % HDP. </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p>
    <w:tbl>
      <w:tblPr>
        <w:tblStyle w:val="TableNormal"/>
        <w:tblW w:w="5857" w:type="dxa"/>
        <w:jc w:val="center"/>
        <w:tblLayout w:type="fixed"/>
        <w:tblLook w:val="01E0"/>
      </w:tblPr>
      <w:tblGrid>
        <w:gridCol w:w="5566"/>
        <w:gridCol w:w="291"/>
      </w:tblGrid>
      <w:tr>
        <w:tblPrEx>
          <w:tblW w:w="5857" w:type="dxa"/>
          <w:jc w:val="center"/>
          <w:tblLayout w:type="fixed"/>
          <w:tblLook w:val="01E0"/>
        </w:tblPrEx>
        <w:trPr>
          <w:trHeight w:val="340"/>
          <w:jc w:val="center"/>
        </w:trPr>
        <w:tc>
          <w:tcPr>
            <w:tcW w:w="5566" w:type="dxa"/>
            <w:tcBorders>
              <w:top w:val="none" w:sz="0" w:space="0" w:color="auto"/>
              <w:left w:val="none" w:sz="0" w:space="0" w:color="auto"/>
              <w:bottom w:val="single" w:sz="4" w:space="0" w:color="auto"/>
              <w:right w:val="none" w:sz="0" w:space="0" w:color="auto"/>
            </w:tcBorders>
            <w:textDirection w:val="lrTb"/>
            <w:vAlign w:val="center"/>
          </w:tcPr>
          <w:p w:rsidR="00A1281C" w:rsidRPr="001263CC" w:rsidP="006740C3">
            <w:pPr>
              <w:bidi w:val="0"/>
              <w:spacing w:before="40" w:after="40"/>
              <w:ind w:right="-162"/>
              <w:rPr>
                <w:rFonts w:ascii="Arial Narrow" w:hAnsi="Arial Narrow" w:cs="Arial Narrow"/>
                <w:b/>
                <w:bCs/>
                <w:sz w:val="18"/>
                <w:szCs w:val="18"/>
              </w:rPr>
            </w:pPr>
            <w:r w:rsidRPr="001263CC">
              <w:rPr>
                <w:rFonts w:ascii="Arial Narrow" w:hAnsi="Arial Narrow" w:cs="Arial Narrow"/>
                <w:b/>
                <w:bCs/>
                <w:sz w:val="18"/>
                <w:szCs w:val="18"/>
              </w:rPr>
              <w:t>Celkové daňov</w:t>
            </w:r>
            <w:r>
              <w:rPr>
                <w:rFonts w:ascii="Arial Narrow" w:hAnsi="Arial Narrow" w:cs="Arial Narrow"/>
                <w:b/>
                <w:bCs/>
                <w:sz w:val="18"/>
                <w:szCs w:val="18"/>
              </w:rPr>
              <w:t>é a odvodové</w:t>
            </w:r>
            <w:r w:rsidRPr="001263CC">
              <w:rPr>
                <w:rFonts w:ascii="Arial Narrow" w:hAnsi="Arial Narrow" w:cs="Arial Narrow"/>
                <w:b/>
                <w:bCs/>
                <w:sz w:val="18"/>
                <w:szCs w:val="18"/>
              </w:rPr>
              <w:t xml:space="preserve"> zaťaženie na Slovensku v rokoch 2008 - 2013</w:t>
            </w:r>
          </w:p>
        </w:tc>
        <w:tc>
          <w:tcPr>
            <w:tcW w:w="291" w:type="dxa"/>
            <w:tcBorders>
              <w:top w:val="none" w:sz="0" w:space="0" w:color="auto"/>
              <w:left w:val="none" w:sz="0" w:space="0" w:color="auto"/>
              <w:bottom w:val="none" w:sz="0" w:space="0" w:color="auto"/>
              <w:right w:val="none" w:sz="0" w:space="0" w:color="auto"/>
            </w:tcBorders>
            <w:textDirection w:val="lrTb"/>
            <w:vAlign w:val="center"/>
          </w:tcPr>
          <w:p w:rsidR="00A1281C" w:rsidRPr="001649F0" w:rsidP="006740C3">
            <w:pPr>
              <w:bidi w:val="0"/>
              <w:spacing w:before="40" w:after="40"/>
              <w:rPr>
                <w:rFonts w:ascii="Arial Narrow" w:hAnsi="Arial Narrow" w:cs="Arial Narrow"/>
                <w:b/>
                <w:bCs/>
                <w:sz w:val="18"/>
                <w:szCs w:val="18"/>
              </w:rPr>
            </w:pPr>
          </w:p>
        </w:tc>
      </w:tr>
      <w:tr>
        <w:tblPrEx>
          <w:tblW w:w="5857" w:type="dxa"/>
          <w:jc w:val="center"/>
          <w:tblLayout w:type="fixed"/>
          <w:tblLook w:val="01E0"/>
        </w:tblPrEx>
        <w:trPr>
          <w:trHeight w:val="1531"/>
          <w:jc w:val="center"/>
        </w:trPr>
        <w:tc>
          <w:tcPr>
            <w:tcW w:w="5566" w:type="dxa"/>
            <w:tcBorders>
              <w:top w:val="single" w:sz="4" w:space="0" w:color="auto"/>
              <w:left w:val="none" w:sz="0" w:space="0" w:color="auto"/>
              <w:bottom w:val="single" w:sz="4" w:space="0" w:color="auto"/>
              <w:right w:val="none" w:sz="0" w:space="0" w:color="auto"/>
            </w:tcBorders>
            <w:textDirection w:val="lrTb"/>
            <w:vAlign w:val="top"/>
          </w:tcPr>
          <w:p w:rsidR="00A1281C" w:rsidRPr="006513D6" w:rsidP="006740C3">
            <w:pPr>
              <w:bidi w:val="0"/>
              <w:spacing w:before="40" w:after="40"/>
              <w:jc w:val="center"/>
              <w:rPr>
                <w:rFonts w:ascii="Arial Narrow" w:hAnsi="Arial Narrow" w:cs="Arial Narrow"/>
                <w:b/>
                <w:bCs/>
                <w:sz w:val="18"/>
                <w:szCs w:val="18"/>
              </w:rPr>
            </w:pPr>
            <w:r>
              <w:rPr>
                <w:rFonts w:ascii="Arial Narrow" w:hAnsi="Arial Narrow" w:cs="Arial Narrow"/>
                <w:b/>
                <w:noProof/>
                <w:sz w:val="18"/>
                <w:szCs w:val="18"/>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5" type="#_x0000_t75" style="width:238.27pt;height:141.27pt;visibility:visible" filled="f" stroked="f">
                  <v:fill o:detectmouseclick="f"/>
                  <v:imagedata r:id="rId5" o:title=""/>
                </v:shape>
              </w:pict>
            </w:r>
          </w:p>
        </w:tc>
        <w:tc>
          <w:tcPr>
            <w:tcW w:w="291"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rPr>
                <w:rFonts w:ascii="Arial Narrow" w:hAnsi="Arial Narrow" w:cs="Arial Narrow"/>
                <w:b/>
                <w:bCs/>
                <w:sz w:val="18"/>
                <w:szCs w:val="18"/>
              </w:rPr>
            </w:pPr>
          </w:p>
        </w:tc>
      </w:tr>
      <w:tr>
        <w:tblPrEx>
          <w:tblW w:w="5857" w:type="dxa"/>
          <w:jc w:val="center"/>
          <w:tblLayout w:type="fixed"/>
          <w:tblLook w:val="01E0"/>
        </w:tblPrEx>
        <w:trPr>
          <w:jc w:val="center"/>
        </w:trPr>
        <w:tc>
          <w:tcPr>
            <w:tcW w:w="5566"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jc w:val="right"/>
              <w:rPr>
                <w:rFonts w:ascii="Arial Narrow" w:hAnsi="Arial Narrow" w:cs="Arial Narrow"/>
                <w:i/>
                <w:iCs/>
                <w:sz w:val="16"/>
                <w:szCs w:val="16"/>
              </w:rPr>
            </w:pPr>
            <w:r>
              <w:rPr>
                <w:rFonts w:ascii="Arial Narrow" w:hAnsi="Arial Narrow" w:cs="Arial Narrow"/>
                <w:i/>
                <w:iCs/>
                <w:sz w:val="16"/>
                <w:szCs w:val="16"/>
              </w:rPr>
              <w:t>Zdroj: Eurostat, MFSR</w:t>
            </w:r>
          </w:p>
        </w:tc>
        <w:tc>
          <w:tcPr>
            <w:tcW w:w="291"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rPr>
                <w:rFonts w:ascii="Arial Narrow" w:hAnsi="Arial Narrow" w:cs="Arial Narrow"/>
                <w:sz w:val="16"/>
                <w:szCs w:val="16"/>
              </w:rPr>
            </w:pPr>
          </w:p>
        </w:tc>
      </w:tr>
    </w:tbl>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Z hľadiska fiškálnej politiky je optimálne, ak sa úroveň celkového daňového zaťaženia, bez vplyvu legislatívnych zmien, medziročne výrazne nemení. Stabilný podiel daní a odvodov na HDP zvyšuje predvídateľnosť vývoja verejných financií a umožňuje rýchlejšiu konsolidáciu verejných financií. Na Slovensku  celkové daňové zaťaženie dlhodobo klesá, čo </w:t>
      </w:r>
      <w:r w:rsidRPr="0035636D">
        <w:rPr>
          <w:rFonts w:ascii="Arial Narrow" w:hAnsi="Arial Narrow" w:cs="Arial Narrow"/>
          <w:sz w:val="22"/>
          <w:szCs w:val="22"/>
        </w:rPr>
        <w:t>zvyšuje náročnosť fiškálnej konsolidácie, keďže si vyžaduje prijímanie prísnejších konsolidačnýc</w:t>
      </w:r>
      <w:r>
        <w:rPr>
          <w:rFonts w:ascii="Arial Narrow" w:hAnsi="Arial Narrow" w:cs="Arial Narrow"/>
          <w:sz w:val="22"/>
          <w:szCs w:val="22"/>
        </w:rPr>
        <w:t>h opatrení na strane výdavkov.</w:t>
      </w:r>
    </w:p>
    <w:p w:rsidR="00A1281C" w:rsidRPr="0035636D"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Hlavnými faktormi, ktoré vedú k dlhodobému poklesu daňovej kvóty na Slovensku patria: </w:t>
      </w:r>
    </w:p>
    <w:p w:rsidR="00A1281C" w:rsidRPr="000D5771" w:rsidP="00BE7180">
      <w:pPr>
        <w:numPr>
          <w:numId w:val="8"/>
        </w:numPr>
        <w:bidi w:val="0"/>
        <w:jc w:val="both"/>
        <w:rPr>
          <w:rFonts w:ascii="Arial Narrow" w:hAnsi="Arial Narrow" w:cs="Arial Narrow"/>
          <w:sz w:val="22"/>
          <w:szCs w:val="22"/>
        </w:rPr>
      </w:pPr>
      <w:r w:rsidRPr="00F6565B">
        <w:rPr>
          <w:rFonts w:ascii="Arial Narrow" w:hAnsi="Arial Narrow" w:cs="Arial Narrow"/>
          <w:sz w:val="22"/>
          <w:szCs w:val="22"/>
          <w:u w:val="single"/>
        </w:rPr>
        <w:t>Štruktúra ekonomického rastu</w:t>
      </w:r>
      <w:r>
        <w:rPr>
          <w:rFonts w:ascii="Arial Narrow" w:hAnsi="Arial Narrow" w:cs="Arial Narrow"/>
          <w:sz w:val="22"/>
          <w:szCs w:val="22"/>
        </w:rPr>
        <w:t xml:space="preserve"> – ekonomický rast je na Slovensku ťahaný predovšetkým zahraničným dopytom (exportom), ktorý je menej daňovo intenzívny v porovnaní s domácim dopytom (spotreba vlády a spotreba domácností).</w:t>
      </w:r>
    </w:p>
    <w:p w:rsidR="00A1281C" w:rsidRPr="000D5771" w:rsidP="00BE7180">
      <w:pPr>
        <w:numPr>
          <w:numId w:val="8"/>
        </w:numPr>
        <w:bidi w:val="0"/>
        <w:jc w:val="both"/>
        <w:rPr>
          <w:rFonts w:ascii="Arial Narrow" w:hAnsi="Arial Narrow" w:cs="Arial Narrow"/>
          <w:sz w:val="22"/>
          <w:szCs w:val="22"/>
        </w:rPr>
      </w:pPr>
      <w:r w:rsidRPr="00F6565B">
        <w:rPr>
          <w:rFonts w:ascii="Arial Narrow" w:hAnsi="Arial Narrow" w:cs="Arial Narrow"/>
          <w:sz w:val="22"/>
          <w:szCs w:val="22"/>
          <w:u w:val="single"/>
        </w:rPr>
        <w:t>Legislatívne úpravy</w:t>
      </w:r>
      <w:r>
        <w:rPr>
          <w:rFonts w:ascii="Arial Narrow" w:hAnsi="Arial Narrow" w:cs="Arial Narrow"/>
          <w:sz w:val="22"/>
          <w:szCs w:val="22"/>
        </w:rPr>
        <w:t xml:space="preserve"> – legislatívne úpravy môžu zvyšovať alebo znižovať celkové daňové zaťaženie. Na Slovensku od roku 1995 dochádzalo vplyvom legislatívy skôr k znižovaniu celkového daňového zaťaženia (nedávne úpravy: znížená sadzba DPH vo výške 10 % od roku 2007, zvýšenie nezdaniteľnej časti základu dane v roku 2009 a zavedenie zamestnaneckej prémie; zníženie sadzby dane na naftu od roku 2010, zrušenie koncesionárskych poplatkov od roku 2012). Na druhej strane parametre dane z príjmov fyzických osôb spôsobujú mierny rast daňového zaťaženia</w:t>
      </w:r>
      <w:r>
        <w:rPr>
          <w:rStyle w:val="FootnoteReference"/>
          <w:rFonts w:ascii="Arial Narrow" w:hAnsi="Arial Narrow" w:cs="Arial Narrow"/>
          <w:sz w:val="22"/>
          <w:szCs w:val="22"/>
          <w:rtl w:val="0"/>
        </w:rPr>
        <w:footnoteReference w:id="4"/>
      </w:r>
      <w:r>
        <w:rPr>
          <w:rFonts w:ascii="Arial Narrow" w:hAnsi="Arial Narrow" w:cs="Arial Narrow"/>
          <w:sz w:val="22"/>
          <w:szCs w:val="22"/>
        </w:rPr>
        <w:t>. V roku 2011 zároveň došlo k zníženiu nezdaniteľnej časti základu dane na úroveň roka 2008.</w:t>
      </w:r>
    </w:p>
    <w:p w:rsidR="00A1281C" w:rsidRPr="000D5771" w:rsidP="00BE7180">
      <w:pPr>
        <w:numPr>
          <w:numId w:val="8"/>
        </w:numPr>
        <w:bidi w:val="0"/>
        <w:jc w:val="both"/>
        <w:rPr>
          <w:rFonts w:ascii="Arial Narrow" w:hAnsi="Arial Narrow" w:cs="Arial Narrow"/>
          <w:sz w:val="22"/>
          <w:szCs w:val="22"/>
        </w:rPr>
      </w:pPr>
      <w:r w:rsidRPr="00F6565B">
        <w:rPr>
          <w:rFonts w:ascii="Arial Narrow" w:hAnsi="Arial Narrow" w:cs="Arial Narrow"/>
          <w:sz w:val="22"/>
          <w:szCs w:val="22"/>
          <w:u w:val="single"/>
        </w:rPr>
        <w:t>Pevné daňové sadzby</w:t>
      </w:r>
      <w:r>
        <w:rPr>
          <w:rFonts w:ascii="Arial Narrow" w:hAnsi="Arial Narrow" w:cs="Arial Narrow"/>
          <w:sz w:val="22"/>
          <w:szCs w:val="22"/>
        </w:rPr>
        <w:t xml:space="preserve"> – pri niektorých typoch daní  sú sadzby dane </w:t>
      </w:r>
      <w:r w:rsidRPr="000D5771">
        <w:rPr>
          <w:rFonts w:ascii="Arial Narrow" w:hAnsi="Arial Narrow" w:cs="Arial Narrow"/>
          <w:sz w:val="22"/>
          <w:szCs w:val="22"/>
        </w:rPr>
        <w:t>definované pevnou sumou</w:t>
      </w:r>
      <w:r>
        <w:rPr>
          <w:rFonts w:ascii="Arial Narrow" w:hAnsi="Arial Narrow" w:cs="Arial Narrow"/>
          <w:sz w:val="22"/>
          <w:szCs w:val="22"/>
        </w:rPr>
        <w:t xml:space="preserve"> (napr. spotrebné dane alebo dane z nehnuteľností).</w:t>
      </w:r>
    </w:p>
    <w:p w:rsidR="00A1281C" w:rsidRPr="000D5771" w:rsidP="00BE7180">
      <w:pPr>
        <w:numPr>
          <w:numId w:val="8"/>
        </w:numPr>
        <w:bidi w:val="0"/>
        <w:jc w:val="both"/>
        <w:rPr>
          <w:rFonts w:ascii="Arial Narrow" w:hAnsi="Arial Narrow" w:cs="Arial Narrow"/>
          <w:sz w:val="22"/>
          <w:szCs w:val="22"/>
        </w:rPr>
      </w:pPr>
      <w:r w:rsidRPr="00DE2550">
        <w:rPr>
          <w:rFonts w:ascii="Arial Narrow" w:hAnsi="Arial Narrow" w:cs="Arial Narrow"/>
          <w:sz w:val="22"/>
          <w:szCs w:val="22"/>
          <w:u w:val="single"/>
        </w:rPr>
        <w:t>Daňové úniky</w:t>
      </w:r>
      <w:r>
        <w:rPr>
          <w:rFonts w:ascii="Arial Narrow" w:hAnsi="Arial Narrow" w:cs="Arial Narrow"/>
          <w:sz w:val="22"/>
          <w:szCs w:val="22"/>
        </w:rPr>
        <w:t xml:space="preserve"> – napriek zohľadneniu vyššie spomenutých faktorov majú niektoré dane a odvody tendenciu klesať na HDP (napr. DPH), čo je možné pripísať rastúcim daňovým únikom.</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Na základe údajov Eurostatu</w:t>
      </w:r>
      <w:r>
        <w:rPr>
          <w:rStyle w:val="FootnoteReference"/>
          <w:rFonts w:ascii="Arial Narrow" w:hAnsi="Arial Narrow" w:cs="Arial Narrow"/>
          <w:sz w:val="22"/>
          <w:szCs w:val="22"/>
          <w:rtl w:val="0"/>
        </w:rPr>
        <w:footnoteReference w:id="5"/>
      </w:r>
      <w:r w:rsidRPr="00DF45EC">
        <w:rPr>
          <w:rFonts w:ascii="Arial Narrow" w:hAnsi="Arial Narrow" w:cs="Arial Narrow"/>
          <w:sz w:val="22"/>
          <w:szCs w:val="22"/>
        </w:rPr>
        <w:t xml:space="preserve"> je možné porovnať podiel daní a odvodov na HDP v krajinách EÚ 27 podľa metodiky ESA</w:t>
      </w:r>
      <w:r>
        <w:rPr>
          <w:rFonts w:ascii="Arial Narrow" w:hAnsi="Arial Narrow" w:cs="Arial Narrow"/>
          <w:sz w:val="22"/>
          <w:szCs w:val="22"/>
        </w:rPr>
        <w:t xml:space="preserve"> </w:t>
      </w:r>
      <w:r w:rsidRPr="00DF45EC">
        <w:rPr>
          <w:rFonts w:ascii="Arial Narrow" w:hAnsi="Arial Narrow" w:cs="Arial Narrow"/>
          <w:sz w:val="22"/>
          <w:szCs w:val="22"/>
        </w:rPr>
        <w:t>95</w:t>
      </w:r>
      <w:r>
        <w:rPr>
          <w:rStyle w:val="FootnoteReference"/>
          <w:rFonts w:ascii="Arial Narrow" w:hAnsi="Arial Narrow" w:cs="Arial Narrow"/>
          <w:sz w:val="22"/>
          <w:szCs w:val="22"/>
          <w:rtl w:val="0"/>
        </w:rPr>
        <w:footnoteReference w:id="6"/>
      </w:r>
      <w:r w:rsidRPr="00DF45EC">
        <w:rPr>
          <w:rFonts w:ascii="Arial Narrow" w:hAnsi="Arial Narrow" w:cs="Arial Narrow"/>
          <w:sz w:val="22"/>
          <w:szCs w:val="22"/>
        </w:rPr>
        <w:t xml:space="preserve">. </w:t>
      </w:r>
      <w:r w:rsidRPr="00F60B45">
        <w:rPr>
          <w:rFonts w:ascii="Arial Narrow" w:hAnsi="Arial Narrow" w:cs="Arial Narrow"/>
          <w:sz w:val="22"/>
          <w:szCs w:val="22"/>
        </w:rPr>
        <w:t>Slovensko v rámci 27 krajín Európskej únie dosiahlo v roku 2009 tretí najnižší podiel daní a odvodov na HDP, a to vo výške 28,5</w:t>
      </w:r>
      <w:r>
        <w:rPr>
          <w:rFonts w:ascii="Arial Narrow" w:hAnsi="Arial Narrow" w:cs="Arial Narrow"/>
          <w:sz w:val="22"/>
          <w:szCs w:val="22"/>
        </w:rPr>
        <w:t xml:space="preserve"> </w:t>
      </w:r>
      <w:r w:rsidRPr="00F60B45">
        <w:rPr>
          <w:rFonts w:ascii="Arial Narrow" w:hAnsi="Arial Narrow" w:cs="Arial Narrow"/>
          <w:sz w:val="22"/>
          <w:szCs w:val="22"/>
        </w:rPr>
        <w:t>% HDP, nižší</w:t>
      </w:r>
      <w:r>
        <w:rPr>
          <w:rFonts w:ascii="Arial Narrow" w:hAnsi="Arial Narrow" w:cs="Arial Narrow"/>
          <w:sz w:val="22"/>
          <w:szCs w:val="22"/>
        </w:rPr>
        <w:t xml:space="preserve"> už</w:t>
      </w:r>
      <w:r w:rsidRPr="00F60B45">
        <w:rPr>
          <w:rFonts w:ascii="Arial Narrow" w:hAnsi="Arial Narrow" w:cs="Arial Narrow"/>
          <w:sz w:val="22"/>
          <w:szCs w:val="22"/>
        </w:rPr>
        <w:t xml:space="preserve"> malo len Rumunsko</w:t>
      </w:r>
      <w:r>
        <w:rPr>
          <w:rFonts w:ascii="Arial Narrow" w:hAnsi="Arial Narrow" w:cs="Arial Narrow"/>
          <w:sz w:val="22"/>
          <w:szCs w:val="22"/>
        </w:rPr>
        <w:t xml:space="preserve"> a Lotyšsko</w:t>
      </w:r>
      <w:r w:rsidRPr="00F60B45">
        <w:rPr>
          <w:rFonts w:ascii="Arial Narrow" w:hAnsi="Arial Narrow" w:cs="Arial Narrow"/>
          <w:sz w:val="22"/>
          <w:szCs w:val="22"/>
        </w:rPr>
        <w:t xml:space="preserve">. </w:t>
      </w:r>
      <w:r>
        <w:rPr>
          <w:rFonts w:ascii="Arial Narrow" w:hAnsi="Arial Narrow" w:cs="Arial Narrow"/>
          <w:sz w:val="22"/>
          <w:szCs w:val="22"/>
        </w:rPr>
        <w:t>Na Slovensku sa zároveň znížilo celkové daňové zaťaženie oproti roku 2000 až o 5,6 % HDP, čo bolo najviac z krajín EÚ27.</w:t>
      </w:r>
    </w:p>
    <w:p w:rsidR="00A1281C" w:rsidP="00A1281C">
      <w:pPr>
        <w:bidi w:val="0"/>
        <w:ind w:firstLine="708"/>
        <w:jc w:val="both"/>
        <w:rPr>
          <w:rFonts w:ascii="Arial Narrow" w:hAnsi="Arial Narrow" w:cs="Arial Narrow"/>
          <w:sz w:val="22"/>
          <w:szCs w:val="22"/>
        </w:rPr>
      </w:pPr>
    </w:p>
    <w:p w:rsidR="00A1281C" w:rsidP="00A1281C">
      <w:pPr>
        <w:bidi w:val="0"/>
        <w:jc w:val="both"/>
        <w:rPr>
          <w:rFonts w:ascii="Arial Narrow" w:hAnsi="Arial Narrow" w:cs="Arial Narrow"/>
          <w:sz w:val="22"/>
          <w:szCs w:val="22"/>
        </w:rPr>
      </w:pPr>
    </w:p>
    <w:tbl>
      <w:tblPr>
        <w:tblStyle w:val="TableNormal"/>
        <w:tblW w:w="9228" w:type="dxa"/>
        <w:jc w:val="center"/>
        <w:tblLayout w:type="fixed"/>
        <w:tblLook w:val="01E0"/>
      </w:tblPr>
      <w:tblGrid>
        <w:gridCol w:w="4602"/>
        <w:gridCol w:w="291"/>
        <w:gridCol w:w="4335"/>
      </w:tblGrid>
      <w:tr>
        <w:tblPrEx>
          <w:tblW w:w="9228" w:type="dxa"/>
          <w:jc w:val="center"/>
          <w:tblLayout w:type="fixed"/>
          <w:tblLook w:val="01E0"/>
        </w:tblPrEx>
        <w:trPr>
          <w:trHeight w:val="340"/>
          <w:jc w:val="center"/>
        </w:trPr>
        <w:tc>
          <w:tcPr>
            <w:tcW w:w="4602" w:type="dxa"/>
            <w:tcBorders>
              <w:top w:val="none" w:sz="0" w:space="0" w:color="auto"/>
              <w:left w:val="none" w:sz="0" w:space="0" w:color="auto"/>
              <w:bottom w:val="single" w:sz="4" w:space="0" w:color="auto"/>
              <w:right w:val="none" w:sz="0" w:space="0" w:color="auto"/>
            </w:tcBorders>
            <w:textDirection w:val="lrTb"/>
            <w:vAlign w:val="center"/>
          </w:tcPr>
          <w:p w:rsidR="00A1281C" w:rsidRPr="001263CC" w:rsidP="006740C3">
            <w:pPr>
              <w:bidi w:val="0"/>
              <w:spacing w:before="40" w:after="40"/>
              <w:ind w:right="-162"/>
              <w:rPr>
                <w:rFonts w:ascii="Arial Narrow" w:hAnsi="Arial Narrow" w:cs="Arial Narrow"/>
                <w:b/>
                <w:bCs/>
                <w:sz w:val="18"/>
                <w:szCs w:val="18"/>
              </w:rPr>
            </w:pPr>
            <w:r>
              <w:rPr>
                <w:rFonts w:ascii="Arial Narrow" w:hAnsi="Arial Narrow" w:cs="Arial Narrow"/>
                <w:b/>
                <w:bCs/>
                <w:sz w:val="18"/>
                <w:szCs w:val="18"/>
              </w:rPr>
              <w:t>Dane a odvody na HDP (rok 2009)</w:t>
            </w:r>
          </w:p>
        </w:tc>
        <w:tc>
          <w:tcPr>
            <w:tcW w:w="291" w:type="dxa"/>
            <w:tcBorders>
              <w:top w:val="none" w:sz="0" w:space="0" w:color="auto"/>
              <w:left w:val="none" w:sz="0" w:space="0" w:color="auto"/>
              <w:bottom w:val="none" w:sz="0" w:space="0" w:color="auto"/>
              <w:right w:val="none" w:sz="0" w:space="0" w:color="auto"/>
            </w:tcBorders>
            <w:textDirection w:val="lrTb"/>
            <w:vAlign w:val="center"/>
          </w:tcPr>
          <w:p w:rsidR="00A1281C" w:rsidRPr="001649F0" w:rsidP="006740C3">
            <w:pPr>
              <w:bidi w:val="0"/>
              <w:spacing w:before="40" w:after="40"/>
              <w:rPr>
                <w:rFonts w:ascii="Arial Narrow" w:hAnsi="Arial Narrow" w:cs="Arial Narrow"/>
                <w:b/>
                <w:bCs/>
                <w:sz w:val="18"/>
                <w:szCs w:val="18"/>
              </w:rPr>
            </w:pPr>
          </w:p>
        </w:tc>
        <w:tc>
          <w:tcPr>
            <w:tcW w:w="4335" w:type="dxa"/>
            <w:tcBorders>
              <w:top w:val="none" w:sz="0" w:space="0" w:color="auto"/>
              <w:left w:val="none" w:sz="0" w:space="0" w:color="auto"/>
              <w:bottom w:val="single" w:sz="4" w:space="0" w:color="auto"/>
              <w:right w:val="none" w:sz="0" w:space="0" w:color="auto"/>
            </w:tcBorders>
            <w:textDirection w:val="lrTb"/>
            <w:vAlign w:val="center"/>
          </w:tcPr>
          <w:p w:rsidR="00A1281C" w:rsidRPr="001263CC" w:rsidP="006740C3">
            <w:pPr>
              <w:bidi w:val="0"/>
              <w:spacing w:before="40" w:after="40"/>
              <w:ind w:right="-162"/>
              <w:rPr>
                <w:rFonts w:ascii="Arial Narrow" w:hAnsi="Arial Narrow" w:cs="Arial Narrow"/>
                <w:b/>
                <w:bCs/>
                <w:sz w:val="18"/>
                <w:szCs w:val="18"/>
              </w:rPr>
            </w:pPr>
            <w:r w:rsidRPr="00863B24">
              <w:rPr>
                <w:rFonts w:ascii="Arial Narrow" w:hAnsi="Arial Narrow" w:cs="Arial Narrow"/>
                <w:b/>
                <w:bCs/>
                <w:sz w:val="18"/>
                <w:szCs w:val="18"/>
              </w:rPr>
              <w:t>Zmena podielu daní a odvodov na HDP v rokoch 2000-2009</w:t>
            </w:r>
          </w:p>
        </w:tc>
      </w:tr>
      <w:tr>
        <w:tblPrEx>
          <w:tblW w:w="9228" w:type="dxa"/>
          <w:jc w:val="center"/>
          <w:tblLayout w:type="fixed"/>
          <w:tblLook w:val="01E0"/>
        </w:tblPrEx>
        <w:trPr>
          <w:trHeight w:val="1531"/>
          <w:jc w:val="center"/>
        </w:trPr>
        <w:tc>
          <w:tcPr>
            <w:tcW w:w="4602" w:type="dxa"/>
            <w:tcBorders>
              <w:top w:val="single" w:sz="4" w:space="0" w:color="auto"/>
              <w:left w:val="none" w:sz="0" w:space="0" w:color="auto"/>
              <w:bottom w:val="single" w:sz="4" w:space="0" w:color="auto"/>
              <w:right w:val="none" w:sz="0" w:space="0" w:color="auto"/>
            </w:tcBorders>
            <w:textDirection w:val="lrTb"/>
            <w:vAlign w:val="top"/>
          </w:tcPr>
          <w:p w:rsidR="00A1281C" w:rsidRPr="006513D6" w:rsidP="006740C3">
            <w:pPr>
              <w:bidi w:val="0"/>
              <w:spacing w:before="40" w:after="40"/>
              <w:rPr>
                <w:rFonts w:ascii="Arial Narrow" w:hAnsi="Arial Narrow" w:cs="Arial Narrow"/>
                <w:b/>
                <w:bCs/>
                <w:sz w:val="18"/>
                <w:szCs w:val="18"/>
              </w:rPr>
            </w:pPr>
            <w:r>
              <w:rPr>
                <w:rFonts w:ascii="Arial Narrow" w:hAnsi="Arial Narrow" w:cs="Arial Narrow"/>
                <w:b/>
                <w:noProof/>
                <w:sz w:val="18"/>
                <w:szCs w:val="18"/>
                <w:lang w:eastAsia="sk-SK"/>
              </w:rPr>
              <w:pict>
                <v:shape id="Obrázok 15" o:spid="_x0000_i1026" type="#_x0000_t75" style="width:217.47pt;height:140.76pt;visibility:visible" filled="f" stroked="f">
                  <v:fill o:detectmouseclick="f"/>
                  <v:imagedata r:id="rId6" o:title=""/>
                </v:shape>
              </w:pict>
            </w:r>
          </w:p>
        </w:tc>
        <w:tc>
          <w:tcPr>
            <w:tcW w:w="291"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rPr>
                <w:rFonts w:ascii="Arial Narrow" w:hAnsi="Arial Narrow" w:cs="Arial Narrow"/>
                <w:b/>
                <w:bCs/>
                <w:sz w:val="18"/>
                <w:szCs w:val="18"/>
              </w:rPr>
            </w:pPr>
          </w:p>
        </w:tc>
        <w:tc>
          <w:tcPr>
            <w:tcW w:w="4335" w:type="dxa"/>
            <w:tcBorders>
              <w:top w:val="single" w:sz="4" w:space="0" w:color="auto"/>
              <w:left w:val="none" w:sz="0" w:space="0" w:color="auto"/>
              <w:bottom w:val="single" w:sz="4" w:space="0" w:color="auto"/>
              <w:right w:val="none" w:sz="0" w:space="0" w:color="auto"/>
            </w:tcBorders>
            <w:textDirection w:val="lrTb"/>
            <w:vAlign w:val="top"/>
          </w:tcPr>
          <w:p w:rsidR="00A1281C" w:rsidRPr="006513D6" w:rsidP="006740C3">
            <w:pPr>
              <w:bidi w:val="0"/>
              <w:spacing w:before="40" w:after="40"/>
              <w:ind w:left="-103"/>
              <w:rPr>
                <w:rFonts w:ascii="Arial Narrow" w:hAnsi="Arial Narrow" w:cs="Arial Narrow"/>
                <w:b/>
                <w:bCs/>
                <w:sz w:val="18"/>
                <w:szCs w:val="18"/>
              </w:rPr>
            </w:pPr>
            <w:r>
              <w:rPr>
                <w:rFonts w:ascii="Arial Narrow" w:hAnsi="Arial Narrow" w:cs="Arial Narrow"/>
                <w:b/>
                <w:noProof/>
                <w:sz w:val="18"/>
                <w:szCs w:val="18"/>
                <w:lang w:eastAsia="sk-SK"/>
              </w:rPr>
              <w:pict>
                <v:shape id="Obrázok 18" o:spid="_x0000_i1027" type="#_x0000_t75" style="width:217.94pt;height:139.3pt;visibility:visible" filled="f" stroked="f">
                  <v:fill o:detectmouseclick="f"/>
                  <v:imagedata r:id="rId7" o:title=""/>
                </v:shape>
              </w:pict>
            </w:r>
          </w:p>
        </w:tc>
      </w:tr>
      <w:tr>
        <w:tblPrEx>
          <w:tblW w:w="9228" w:type="dxa"/>
          <w:jc w:val="center"/>
          <w:tblLayout w:type="fixed"/>
          <w:tblLook w:val="01E0"/>
        </w:tblPrEx>
        <w:trPr>
          <w:jc w:val="center"/>
        </w:trPr>
        <w:tc>
          <w:tcPr>
            <w:tcW w:w="4602"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jc w:val="right"/>
              <w:rPr>
                <w:rFonts w:ascii="Arial Narrow" w:hAnsi="Arial Narrow" w:cs="Arial Narrow"/>
                <w:i/>
                <w:iCs/>
                <w:sz w:val="16"/>
                <w:szCs w:val="16"/>
              </w:rPr>
            </w:pPr>
            <w:r>
              <w:rPr>
                <w:rFonts w:ascii="Arial Narrow" w:hAnsi="Arial Narrow" w:cs="Arial Narrow"/>
                <w:i/>
                <w:iCs/>
                <w:sz w:val="16"/>
                <w:szCs w:val="16"/>
              </w:rPr>
              <w:t>Zdroj: Eurostat, MFSR</w:t>
            </w:r>
          </w:p>
        </w:tc>
        <w:tc>
          <w:tcPr>
            <w:tcW w:w="291"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rPr>
                <w:rFonts w:ascii="Arial Narrow" w:hAnsi="Arial Narrow" w:cs="Arial Narrow"/>
                <w:sz w:val="16"/>
                <w:szCs w:val="16"/>
              </w:rPr>
            </w:pPr>
          </w:p>
        </w:tc>
        <w:tc>
          <w:tcPr>
            <w:tcW w:w="4335" w:type="dxa"/>
            <w:tcBorders>
              <w:top w:val="none" w:sz="0" w:space="0" w:color="auto"/>
              <w:left w:val="none" w:sz="0" w:space="0" w:color="auto"/>
              <w:bottom w:val="none" w:sz="0" w:space="0" w:color="auto"/>
              <w:right w:val="none" w:sz="0" w:space="0" w:color="auto"/>
            </w:tcBorders>
            <w:textDirection w:val="lrTb"/>
            <w:vAlign w:val="top"/>
          </w:tcPr>
          <w:p w:rsidR="00A1281C" w:rsidRPr="00834A77" w:rsidP="006740C3">
            <w:pPr>
              <w:bidi w:val="0"/>
              <w:spacing w:before="40" w:after="40"/>
              <w:jc w:val="right"/>
              <w:rPr>
                <w:rFonts w:ascii="Arial Narrow" w:hAnsi="Arial Narrow" w:cs="Arial Narrow"/>
                <w:i/>
                <w:iCs/>
                <w:sz w:val="16"/>
                <w:szCs w:val="16"/>
              </w:rPr>
            </w:pPr>
            <w:r>
              <w:rPr>
                <w:rFonts w:ascii="Arial Narrow" w:hAnsi="Arial Narrow" w:cs="Arial Narrow"/>
                <w:i/>
                <w:iCs/>
                <w:sz w:val="16"/>
                <w:szCs w:val="16"/>
              </w:rPr>
              <w:t>Zdroj: Eurostat, MFSR</w:t>
            </w:r>
          </w:p>
        </w:tc>
      </w:tr>
    </w:tbl>
    <w:p w:rsidR="00A1281C" w:rsidRPr="00E04583" w:rsidP="00A1281C">
      <w:pPr>
        <w:bidi w:val="0"/>
        <w:jc w:val="both"/>
        <w:rPr>
          <w:rFonts w:ascii="Arial Narrow" w:hAnsi="Arial Narrow" w:cs="Arial Narrow"/>
          <w:sz w:val="22"/>
          <w:szCs w:val="22"/>
        </w:rPr>
      </w:pPr>
    </w:p>
    <w:p w:rsidR="00A1281C" w:rsidRPr="009835BC" w:rsidP="00A1281C">
      <w:pPr>
        <w:pStyle w:val="Heading2"/>
        <w:bidi w:val="0"/>
        <w:rPr>
          <w:rFonts w:ascii="Arial Narrow" w:hAnsi="Arial Narrow" w:cs="Arial Narrow"/>
          <w:i w:val="0"/>
          <w:iCs w:val="0"/>
          <w:sz w:val="24"/>
          <w:szCs w:val="24"/>
        </w:rPr>
      </w:pPr>
      <w:bookmarkStart w:id="46" w:name="_Toc273979617"/>
      <w:r w:rsidRPr="009835BC">
        <w:rPr>
          <w:rFonts w:ascii="Arial Narrow" w:hAnsi="Arial Narrow" w:cs="Arial Narrow"/>
          <w:i w:val="0"/>
          <w:iCs w:val="0"/>
          <w:sz w:val="24"/>
          <w:szCs w:val="24"/>
        </w:rPr>
        <w:t xml:space="preserve">3.2 </w:t>
      </w:r>
      <w:r>
        <w:rPr>
          <w:rFonts w:ascii="Arial Narrow" w:hAnsi="Arial Narrow" w:cs="Arial Narrow"/>
          <w:i w:val="0"/>
          <w:iCs w:val="0"/>
          <w:sz w:val="24"/>
          <w:szCs w:val="24"/>
        </w:rPr>
        <w:t>Rozpočtovanie daňových príjmov ŠR</w:t>
      </w:r>
      <w:bookmarkEnd w:id="46"/>
    </w:p>
    <w:p w:rsidR="00A1281C" w:rsidRPr="00A43C11" w:rsidP="00A1281C">
      <w:pPr>
        <w:bidi w:val="0"/>
        <w:rPr>
          <w:rFonts w:ascii="Arial Narrow" w:hAnsi="Arial Narrow" w:cs="Arial Narrow"/>
          <w:b/>
          <w:bCs/>
        </w:rPr>
      </w:pPr>
    </w:p>
    <w:p w:rsidR="00A1281C" w:rsidRPr="00386FFA"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Makroekonomické predpoklady uvedené v predchádzajúcej časti tohto dokumentu boli základom pre vypracovanie aktuálnych prognóz daňových príjmov verejnej správy na roky 20</w:t>
      </w:r>
      <w:r>
        <w:rPr>
          <w:rFonts w:ascii="Arial Narrow" w:hAnsi="Arial Narrow" w:cs="Arial Narrow"/>
          <w:sz w:val="22"/>
          <w:szCs w:val="22"/>
        </w:rPr>
        <w:t xml:space="preserve">10 až </w:t>
      </w:r>
      <w:r w:rsidRPr="00DF45EC">
        <w:rPr>
          <w:rFonts w:ascii="Arial Narrow" w:hAnsi="Arial Narrow" w:cs="Arial Narrow"/>
          <w:sz w:val="22"/>
          <w:szCs w:val="22"/>
        </w:rPr>
        <w:t>20</w:t>
      </w:r>
      <w:r>
        <w:rPr>
          <w:rFonts w:ascii="Arial Narrow" w:hAnsi="Arial Narrow" w:cs="Arial Narrow"/>
          <w:sz w:val="22"/>
          <w:szCs w:val="22"/>
        </w:rPr>
        <w:t>13</w:t>
      </w:r>
      <w:r w:rsidRPr="00DF45EC">
        <w:rPr>
          <w:rFonts w:ascii="Arial Narrow" w:hAnsi="Arial Narrow" w:cs="Arial Narrow"/>
          <w:sz w:val="22"/>
          <w:szCs w:val="22"/>
        </w:rPr>
        <w:t xml:space="preserve">. </w:t>
      </w:r>
      <w:r>
        <w:rPr>
          <w:rFonts w:ascii="Arial Narrow" w:hAnsi="Arial Narrow" w:cs="Arial Narrow"/>
          <w:sz w:val="22"/>
          <w:szCs w:val="22"/>
        </w:rPr>
        <w:t xml:space="preserve">Aktuálna prognóza </w:t>
      </w:r>
      <w:r w:rsidRPr="00336860">
        <w:rPr>
          <w:rFonts w:ascii="Arial Narrow" w:hAnsi="Arial Narrow" w:cs="Arial Narrow"/>
          <w:sz w:val="22"/>
          <w:szCs w:val="22"/>
        </w:rPr>
        <w:t xml:space="preserve"> bola podrobená hodnoteniu v r</w:t>
      </w:r>
      <w:r>
        <w:rPr>
          <w:rFonts w:ascii="Arial Narrow" w:hAnsi="Arial Narrow" w:cs="Arial Narrow"/>
          <w:sz w:val="22"/>
          <w:szCs w:val="22"/>
        </w:rPr>
        <w:t>ámci Výboru pre daňové prognózy dňa 14</w:t>
      </w:r>
      <w:r w:rsidRPr="00336860">
        <w:rPr>
          <w:rFonts w:ascii="Arial Narrow" w:hAnsi="Arial Narrow" w:cs="Arial Narrow"/>
          <w:sz w:val="22"/>
          <w:szCs w:val="22"/>
        </w:rPr>
        <w:t xml:space="preserve">. </w:t>
      </w:r>
      <w:r>
        <w:rPr>
          <w:rFonts w:ascii="Arial Narrow" w:hAnsi="Arial Narrow" w:cs="Arial Narrow"/>
          <w:sz w:val="22"/>
          <w:szCs w:val="22"/>
        </w:rPr>
        <w:t>septembra</w:t>
      </w:r>
      <w:r w:rsidRPr="00336860">
        <w:rPr>
          <w:rFonts w:ascii="Arial Narrow" w:hAnsi="Arial Narrow" w:cs="Arial Narrow"/>
          <w:sz w:val="22"/>
          <w:szCs w:val="22"/>
        </w:rPr>
        <w:t xml:space="preserve"> </w:t>
      </w:r>
      <w:r w:rsidRPr="00386FFA">
        <w:rPr>
          <w:rFonts w:ascii="Arial Narrow" w:hAnsi="Arial Narrow" w:cs="Arial Narrow"/>
          <w:sz w:val="22"/>
          <w:szCs w:val="22"/>
        </w:rPr>
        <w:t>20</w:t>
      </w:r>
      <w:r>
        <w:rPr>
          <w:rFonts w:ascii="Arial Narrow" w:hAnsi="Arial Narrow" w:cs="Arial Narrow"/>
          <w:sz w:val="22"/>
          <w:szCs w:val="22"/>
        </w:rPr>
        <w:t>10</w:t>
      </w:r>
      <w:r w:rsidRPr="00386FFA">
        <w:rPr>
          <w:rFonts w:ascii="Arial Narrow" w:hAnsi="Arial Narrow" w:cs="Arial Narrow"/>
          <w:sz w:val="22"/>
          <w:szCs w:val="22"/>
        </w:rPr>
        <w:t>. Výsledkom je celkové hodnotenie charakteru definitívnej prognózy MF SR na základe stanoveného kritéria</w:t>
      </w:r>
      <w:r>
        <w:rPr>
          <w:rStyle w:val="FootnoteReference"/>
          <w:rFonts w:ascii="Arial Narrow" w:hAnsi="Arial Narrow" w:cs="Arial Narrow"/>
          <w:sz w:val="22"/>
          <w:szCs w:val="22"/>
          <w:rtl w:val="0"/>
        </w:rPr>
        <w:footnoteReference w:id="7"/>
      </w:r>
      <w:r w:rsidRPr="00386FFA">
        <w:rPr>
          <w:rFonts w:ascii="Arial Narrow" w:hAnsi="Arial Narrow" w:cs="Arial Narrow"/>
          <w:sz w:val="22"/>
          <w:szCs w:val="22"/>
        </w:rPr>
        <w:t xml:space="preserve">. Strednodobá prognóza daňových príjmov a sociálnych odvodov MF SR bola všetkými </w:t>
      </w:r>
      <w:r>
        <w:rPr>
          <w:rFonts w:ascii="Arial Narrow" w:hAnsi="Arial Narrow" w:cs="Arial Narrow"/>
          <w:sz w:val="22"/>
          <w:szCs w:val="22"/>
        </w:rPr>
        <w:t xml:space="preserve">siedmymi </w:t>
      </w:r>
      <w:r w:rsidRPr="00386FFA">
        <w:rPr>
          <w:rFonts w:ascii="Arial Narrow" w:hAnsi="Arial Narrow" w:cs="Arial Narrow"/>
          <w:sz w:val="22"/>
          <w:szCs w:val="22"/>
        </w:rPr>
        <w:t xml:space="preserve">členmi Výboru označená ako </w:t>
      </w:r>
      <w:r w:rsidRPr="00386FFA">
        <w:rPr>
          <w:rFonts w:ascii="Arial Narrow" w:hAnsi="Arial Narrow" w:cs="Arial Narrow"/>
          <w:b/>
          <w:bCs/>
          <w:sz w:val="22"/>
          <w:szCs w:val="22"/>
        </w:rPr>
        <w:t>realistická</w:t>
      </w:r>
      <w:r w:rsidRPr="00386FFA">
        <w:rPr>
          <w:rFonts w:ascii="Arial Narrow" w:hAnsi="Arial Narrow" w:cs="Arial Narrow"/>
          <w:sz w:val="22"/>
          <w:szCs w:val="22"/>
        </w:rPr>
        <w:t xml:space="preserve">. </w:t>
      </w:r>
    </w:p>
    <w:p w:rsidR="00A1281C" w:rsidP="00A1281C">
      <w:pPr>
        <w:bidi w:val="0"/>
        <w:ind w:firstLine="720"/>
        <w:jc w:val="both"/>
        <w:rPr>
          <w:rFonts w:ascii="Arial Narrow" w:hAnsi="Arial Narrow" w:cs="Arial Narrow"/>
          <w:sz w:val="22"/>
          <w:szCs w:val="22"/>
        </w:rPr>
      </w:pPr>
    </w:p>
    <w:p w:rsidR="00A1281C" w:rsidP="00A1281C">
      <w:pPr>
        <w:bidi w:val="0"/>
        <w:ind w:firstLine="720"/>
        <w:jc w:val="both"/>
        <w:rPr>
          <w:rFonts w:ascii="Arial Narrow" w:hAnsi="Arial Narrow" w:cs="Arial Narrow"/>
          <w:sz w:val="22"/>
          <w:szCs w:val="22"/>
        </w:rPr>
      </w:pPr>
      <w:r w:rsidRPr="00DF45EC">
        <w:rPr>
          <w:rFonts w:ascii="Arial Narrow" w:hAnsi="Arial Narrow" w:cs="Arial Narrow"/>
          <w:sz w:val="22"/>
          <w:szCs w:val="22"/>
        </w:rPr>
        <w:t>Oproti schválenému rozpočtu verejnej správy na roky 20</w:t>
      </w:r>
      <w:r>
        <w:rPr>
          <w:rFonts w:ascii="Arial Narrow" w:hAnsi="Arial Narrow" w:cs="Arial Narrow"/>
          <w:sz w:val="22"/>
          <w:szCs w:val="22"/>
        </w:rPr>
        <w:t xml:space="preserve">10 až </w:t>
      </w:r>
      <w:r w:rsidRPr="00DF45EC">
        <w:rPr>
          <w:rFonts w:ascii="Arial Narrow" w:hAnsi="Arial Narrow" w:cs="Arial Narrow"/>
          <w:sz w:val="22"/>
          <w:szCs w:val="22"/>
        </w:rPr>
        <w:t>20</w:t>
      </w:r>
      <w:r>
        <w:rPr>
          <w:rFonts w:ascii="Arial Narrow" w:hAnsi="Arial Narrow" w:cs="Arial Narrow"/>
          <w:sz w:val="22"/>
          <w:szCs w:val="22"/>
        </w:rPr>
        <w:t xml:space="preserve">12 </w:t>
      </w:r>
      <w:r w:rsidRPr="00DF45EC">
        <w:rPr>
          <w:rFonts w:ascii="Arial Narrow" w:hAnsi="Arial Narrow" w:cs="Arial Narrow"/>
          <w:sz w:val="22"/>
          <w:szCs w:val="22"/>
        </w:rPr>
        <w:t>dochádza k zmene legislat</w:t>
      </w:r>
      <w:r>
        <w:rPr>
          <w:rFonts w:ascii="Arial Narrow" w:hAnsi="Arial Narrow" w:cs="Arial Narrow"/>
          <w:sz w:val="22"/>
          <w:szCs w:val="22"/>
        </w:rPr>
        <w:t>ívnych predpokladov pri dani z príjmov fyzických osôb, pri dani z príjmov právnických osôb, pri dani z pridanej hodnoty, pri spotrebnej dani z minerálnych olejov, z piva, z tabakových výrobkov, zo zemného plynu, z uhlia a pri dani z úhrad za služby verejnosti poskytované Slovenskou televíziou a Slovenským rozhlasom. Tieto legislatívne zmeny zahŕňajú všetky opatrenia, ktoré boli prijaté predchádzajúcou vládou po schválení rozpočtu na roky 2010 až 2012 a nové opatrenia prijaté súčasnou vládou.</w:t>
      </w:r>
    </w:p>
    <w:p w:rsidR="00A1281C" w:rsidP="00A1281C">
      <w:pPr>
        <w:bidi w:val="0"/>
        <w:ind w:firstLine="720"/>
        <w:jc w:val="both"/>
        <w:rPr>
          <w:rFonts w:ascii="Arial Narrow" w:hAnsi="Arial Narrow" w:cs="Arial Narrow"/>
          <w:sz w:val="22"/>
          <w:szCs w:val="22"/>
        </w:rPr>
      </w:pPr>
    </w:p>
    <w:p w:rsidR="00A1281C" w:rsidP="00A1281C">
      <w:pPr>
        <w:bidi w:val="0"/>
        <w:jc w:val="both"/>
        <w:rPr>
          <w:rFonts w:ascii="Arial Narrow" w:hAnsi="Arial Narrow" w:cs="Arial Narrow"/>
          <w:sz w:val="22"/>
          <w:szCs w:val="22"/>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320"/>
        <w:gridCol w:w="1188"/>
        <w:gridCol w:w="1188"/>
        <w:gridCol w:w="1188"/>
        <w:gridCol w:w="1188"/>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375"/>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 xml:space="preserve">Kvantifikácia vplyvu legislatívnych zmien na </w:t>
            </w:r>
            <w:r>
              <w:rPr>
                <w:rFonts w:ascii="Arial Narrow" w:hAnsi="Arial Narrow" w:cs="Arial Narrow"/>
                <w:b/>
                <w:bCs/>
                <w:sz w:val="16"/>
                <w:szCs w:val="16"/>
              </w:rPr>
              <w:t xml:space="preserve">daňové príjmy </w:t>
            </w:r>
            <w:r w:rsidRPr="007C11CA">
              <w:rPr>
                <w:rFonts w:ascii="Arial Narrow" w:hAnsi="Arial Narrow" w:cs="Arial Narrow"/>
                <w:b/>
                <w:bCs/>
                <w:sz w:val="16"/>
                <w:szCs w:val="16"/>
              </w:rPr>
              <w:t>verejnej správy (ESA 95, tis. eur)</w:t>
            </w:r>
          </w:p>
        </w:tc>
      </w:tr>
      <w:tr>
        <w:tblPrEx>
          <w:tblW w:w="9072" w:type="dxa"/>
          <w:jc w:val="center"/>
          <w:tblLayout w:type="fixed"/>
          <w:tblCellMar>
            <w:left w:w="70" w:type="dxa"/>
            <w:right w:w="70" w:type="dxa"/>
          </w:tblCellMar>
        </w:tblPrEx>
        <w:trPr>
          <w:trHeight w:val="270"/>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sz w:val="16"/>
                <w:szCs w:val="16"/>
              </w:rPr>
            </w:pP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2010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2011</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2012</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2013</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VPLYV NA DAŇOVÉ PRÍJMY SPOLU*</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-42 019</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289 899</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299 063</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341 513</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ind w:left="708"/>
              <w:rPr>
                <w:rFonts w:ascii="Arial Narrow" w:hAnsi="Arial Narrow" w:cs="Arial Narrow"/>
                <w:sz w:val="16"/>
                <w:szCs w:val="16"/>
              </w:rPr>
            </w:pPr>
            <w:r w:rsidRPr="007C11CA">
              <w:rPr>
                <w:rFonts w:ascii="Arial Narrow" w:hAnsi="Arial Narrow" w:cs="Arial Narrow"/>
                <w:sz w:val="16"/>
                <w:szCs w:val="16"/>
              </w:rPr>
              <w:t>Daň z príjmov fyzických osôb</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51 072</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32 940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81 467</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81 871</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1416"/>
              <w:rPr>
                <w:rFonts w:ascii="Arial Narrow" w:hAnsi="Arial Narrow" w:cs="Arial Narrow"/>
                <w:sz w:val="16"/>
                <w:szCs w:val="16"/>
              </w:rPr>
            </w:pPr>
            <w:r w:rsidRPr="007C11CA">
              <w:rPr>
                <w:rFonts w:ascii="Arial Narrow" w:hAnsi="Arial Narrow" w:cs="Arial Narrow"/>
                <w:sz w:val="16"/>
                <w:szCs w:val="16"/>
              </w:rPr>
              <w:t>- zo závislej činnosti</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45 160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-5 492</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42 339</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42 228</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1416"/>
              <w:rPr>
                <w:rFonts w:ascii="Arial Narrow" w:hAnsi="Arial Narrow" w:cs="Arial Narrow"/>
                <w:sz w:val="16"/>
                <w:szCs w:val="16"/>
              </w:rPr>
            </w:pPr>
            <w:r w:rsidRPr="007C11CA">
              <w:rPr>
                <w:rFonts w:ascii="Arial Narrow" w:hAnsi="Arial Narrow" w:cs="Arial Narrow"/>
                <w:sz w:val="16"/>
                <w:szCs w:val="16"/>
              </w:rPr>
              <w:t>- z podnikania</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5 912</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38 432</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39 128</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39 643</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708"/>
              <w:rPr>
                <w:rFonts w:ascii="Arial Narrow" w:hAnsi="Arial Narrow" w:cs="Arial Narrow"/>
                <w:sz w:val="16"/>
                <w:szCs w:val="16"/>
              </w:rPr>
            </w:pPr>
            <w:r w:rsidRPr="007C11CA">
              <w:rPr>
                <w:rFonts w:ascii="Arial Narrow" w:hAnsi="Arial Narrow" w:cs="Arial Narrow"/>
                <w:sz w:val="16"/>
                <w:szCs w:val="16"/>
              </w:rPr>
              <w:t>Daň z príjmov právnických osôb</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32 822</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40 330</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49 576</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708"/>
              <w:rPr>
                <w:rFonts w:ascii="Arial Narrow" w:hAnsi="Arial Narrow" w:cs="Arial Narrow"/>
                <w:sz w:val="16"/>
                <w:szCs w:val="16"/>
              </w:rPr>
            </w:pPr>
            <w:r w:rsidRPr="007C11CA">
              <w:rPr>
                <w:rFonts w:ascii="Arial Narrow" w:hAnsi="Arial Narrow" w:cs="Arial Narrow"/>
                <w:sz w:val="16"/>
                <w:szCs w:val="16"/>
              </w:rPr>
              <w:t>DPH</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-12 091</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178 723</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190 396</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204 128</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708"/>
              <w:rPr>
                <w:rFonts w:ascii="Arial Narrow" w:hAnsi="Arial Narrow" w:cs="Arial Narrow"/>
                <w:sz w:val="16"/>
                <w:szCs w:val="16"/>
              </w:rPr>
            </w:pPr>
            <w:r w:rsidRPr="007C11CA">
              <w:rPr>
                <w:rFonts w:ascii="Arial Narrow" w:hAnsi="Arial Narrow" w:cs="Arial Narrow"/>
                <w:sz w:val="16"/>
                <w:szCs w:val="16"/>
              </w:rPr>
              <w:t>Spotrebné dane</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-81 000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45 414</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65 879</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85 737</w:t>
            </w:r>
          </w:p>
        </w:tc>
      </w:tr>
      <w:tr>
        <w:tblPrEx>
          <w:tblW w:w="9072" w:type="dxa"/>
          <w:jc w:val="center"/>
          <w:tblLayout w:type="fixed"/>
          <w:tblCellMar>
            <w:left w:w="70" w:type="dxa"/>
            <w:right w:w="70" w:type="dxa"/>
          </w:tblCellMar>
        </w:tblPrEx>
        <w:trPr>
          <w:trHeight w:val="284"/>
          <w:jc w:val="center"/>
        </w:trPr>
        <w:tc>
          <w:tcPr>
            <w:tcW w:w="432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ind w:left="708"/>
              <w:rPr>
                <w:rFonts w:ascii="Arial Narrow" w:hAnsi="Arial Narrow" w:cs="Arial Narrow"/>
                <w:sz w:val="16"/>
                <w:szCs w:val="16"/>
              </w:rPr>
            </w:pPr>
            <w:r w:rsidRPr="007C11CA">
              <w:rPr>
                <w:rFonts w:ascii="Arial Narrow" w:hAnsi="Arial Narrow" w:cs="Arial Narrow"/>
                <w:sz w:val="16"/>
                <w:szCs w:val="16"/>
              </w:rPr>
              <w:t>Úhrada za služby verejnosti poskytované STV a SRo</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118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-79 009</w:t>
            </w:r>
          </w:p>
        </w:tc>
        <w:tc>
          <w:tcPr>
            <w:tcW w:w="1188" w:type="dxa"/>
            <w:tcBorders>
              <w:top w:val="single" w:sz="4" w:space="0" w:color="auto"/>
              <w:left w:val="single" w:sz="4"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-79 799</w:t>
            </w:r>
          </w:p>
        </w:tc>
      </w:tr>
    </w:tbl>
    <w:p w:rsidR="00A1281C" w:rsidP="00A1281C">
      <w:pPr>
        <w:bidi w:val="0"/>
        <w:jc w:val="both"/>
        <w:rPr>
          <w:rFonts w:ascii="Arial Narrow" w:hAnsi="Arial Narrow" w:cs="Arial Narrow"/>
          <w:sz w:val="16"/>
          <w:szCs w:val="16"/>
        </w:rPr>
      </w:pPr>
      <w:r w:rsidRPr="00A76C1C">
        <w:rPr>
          <w:rFonts w:ascii="Arial Narrow" w:hAnsi="Arial Narrow" w:cs="Arial Narrow"/>
          <w:sz w:val="16"/>
          <w:szCs w:val="16"/>
        </w:rPr>
        <w:t xml:space="preserve">* znamienko (-) znamená </w:t>
      </w:r>
      <w:r>
        <w:rPr>
          <w:rFonts w:ascii="Arial Narrow" w:hAnsi="Arial Narrow" w:cs="Arial Narrow"/>
          <w:sz w:val="16"/>
          <w:szCs w:val="16"/>
        </w:rPr>
        <w:t xml:space="preserve">zníženie daňových príjmov </w:t>
      </w:r>
      <w:r w:rsidRPr="00A76C1C">
        <w:rPr>
          <w:rFonts w:ascii="Arial Narrow" w:hAnsi="Arial Narrow" w:cs="Arial Narrow"/>
          <w:sz w:val="16"/>
          <w:szCs w:val="16"/>
        </w:rPr>
        <w:t>verejnej správy</w:t>
      </w:r>
    </w:p>
    <w:p w:rsidR="00A1281C" w:rsidP="00A1281C">
      <w:pPr>
        <w:bidi w:val="0"/>
        <w:jc w:val="both"/>
        <w:rPr>
          <w:rFonts w:ascii="Arial Narrow" w:hAnsi="Arial Narrow" w:cs="Arial Narrow"/>
          <w:sz w:val="22"/>
          <w:szCs w:val="22"/>
        </w:rPr>
      </w:pPr>
    </w:p>
    <w:p w:rsidR="00A1281C" w:rsidP="00A1281C">
      <w:pPr>
        <w:bidi w:val="0"/>
        <w:ind w:firstLine="720"/>
        <w:jc w:val="both"/>
        <w:rPr>
          <w:rFonts w:ascii="Arial Narrow" w:hAnsi="Arial Narrow" w:cs="Arial Narrow"/>
          <w:sz w:val="22"/>
          <w:szCs w:val="22"/>
        </w:rPr>
      </w:pPr>
    </w:p>
    <w:p w:rsidR="00A1281C" w:rsidRPr="008D4633" w:rsidP="00A1281C">
      <w:pPr>
        <w:bidi w:val="0"/>
        <w:ind w:firstLine="720"/>
        <w:jc w:val="both"/>
        <w:rPr>
          <w:rFonts w:ascii="Arial Narrow" w:hAnsi="Arial Narrow" w:cs="Arial Narrow"/>
          <w:sz w:val="22"/>
          <w:szCs w:val="22"/>
        </w:rPr>
      </w:pPr>
      <w:r>
        <w:rPr>
          <w:rFonts w:ascii="Arial Narrow" w:hAnsi="Arial Narrow" w:cs="Arial Narrow"/>
          <w:sz w:val="22"/>
          <w:szCs w:val="22"/>
        </w:rPr>
        <w:t>Novelou</w:t>
      </w:r>
      <w:r w:rsidRPr="008D4633">
        <w:rPr>
          <w:rFonts w:ascii="Arial Narrow" w:hAnsi="Arial Narrow" w:cs="Arial Narrow"/>
          <w:sz w:val="22"/>
          <w:szCs w:val="22"/>
        </w:rPr>
        <w:t xml:space="preserve"> zákona č. 595/2003 Z. z. o </w:t>
      </w:r>
      <w:r w:rsidRPr="008D4633">
        <w:rPr>
          <w:rFonts w:ascii="Arial Narrow" w:hAnsi="Arial Narrow" w:cs="Arial Narrow"/>
          <w:b/>
          <w:bCs/>
          <w:sz w:val="22"/>
          <w:szCs w:val="22"/>
        </w:rPr>
        <w:t>dani z príjmov</w:t>
      </w:r>
      <w:r w:rsidRPr="008D4633">
        <w:rPr>
          <w:rFonts w:ascii="Arial Narrow" w:hAnsi="Arial Narrow" w:cs="Arial Narrow"/>
          <w:sz w:val="22"/>
          <w:szCs w:val="22"/>
        </w:rPr>
        <w:t>, ktor</w:t>
      </w:r>
      <w:r>
        <w:rPr>
          <w:rFonts w:ascii="Arial Narrow" w:hAnsi="Arial Narrow" w:cs="Arial Narrow"/>
          <w:sz w:val="22"/>
          <w:szCs w:val="22"/>
        </w:rPr>
        <w:t xml:space="preserve">ú NR SR </w:t>
      </w:r>
      <w:r w:rsidRPr="008D4633">
        <w:rPr>
          <w:rFonts w:ascii="Arial Narrow" w:hAnsi="Arial Narrow" w:cs="Arial Narrow"/>
          <w:sz w:val="22"/>
          <w:szCs w:val="22"/>
        </w:rPr>
        <w:t>schvál</w:t>
      </w:r>
      <w:r>
        <w:rPr>
          <w:rFonts w:ascii="Arial Narrow" w:hAnsi="Arial Narrow" w:cs="Arial Narrow"/>
          <w:sz w:val="22"/>
          <w:szCs w:val="22"/>
        </w:rPr>
        <w:t xml:space="preserve">ila </w:t>
      </w:r>
      <w:r w:rsidRPr="008D4633">
        <w:rPr>
          <w:rFonts w:ascii="Arial Narrow" w:hAnsi="Arial Narrow" w:cs="Arial Narrow"/>
          <w:sz w:val="22"/>
          <w:szCs w:val="22"/>
        </w:rPr>
        <w:t>dňa</w:t>
      </w:r>
      <w:r>
        <w:rPr>
          <w:rFonts w:ascii="Arial Narrow" w:hAnsi="Arial Narrow" w:cs="Arial Narrow"/>
          <w:sz w:val="22"/>
          <w:szCs w:val="22"/>
        </w:rPr>
        <w:t xml:space="preserve"> 22.10.2009</w:t>
      </w:r>
      <w:r w:rsidRPr="008D4633">
        <w:rPr>
          <w:rFonts w:ascii="Arial Narrow" w:hAnsi="Arial Narrow" w:cs="Arial Narrow"/>
          <w:sz w:val="22"/>
          <w:szCs w:val="22"/>
        </w:rPr>
        <w:t>, došlo k zmrazeniu valorizácie nezdaniteľnej časti základu dane na daňovníka, na výpočet ktorej sa v roku 2010 použije životné minimum platné k 1.</w:t>
      </w:r>
      <w:r>
        <w:rPr>
          <w:rFonts w:ascii="Arial Narrow" w:hAnsi="Arial Narrow" w:cs="Arial Narrow"/>
          <w:sz w:val="22"/>
          <w:szCs w:val="22"/>
        </w:rPr>
        <w:t xml:space="preserve"> </w:t>
      </w:r>
      <w:r w:rsidRPr="008D4633">
        <w:rPr>
          <w:rFonts w:ascii="Arial Narrow" w:hAnsi="Arial Narrow" w:cs="Arial Narrow"/>
          <w:sz w:val="22"/>
          <w:szCs w:val="22"/>
        </w:rPr>
        <w:t>1.</w:t>
      </w:r>
      <w:r>
        <w:rPr>
          <w:rFonts w:ascii="Arial Narrow" w:hAnsi="Arial Narrow" w:cs="Arial Narrow"/>
          <w:sz w:val="22"/>
          <w:szCs w:val="22"/>
        </w:rPr>
        <w:t xml:space="preserve"> </w:t>
      </w:r>
      <w:r w:rsidRPr="008D4633">
        <w:rPr>
          <w:rFonts w:ascii="Arial Narrow" w:hAnsi="Arial Narrow" w:cs="Arial Narrow"/>
          <w:sz w:val="22"/>
          <w:szCs w:val="22"/>
        </w:rPr>
        <w:t xml:space="preserve">2009. Uvedená skutočnosť mala za následok, že výška nezdaniteľnej časti základu dane zostala v roku 2010 na rovnakej úrovni ako v roku 2009, čo predstavuje 4 025,70 eur. Táto legislatívna zmena </w:t>
      </w:r>
      <w:r>
        <w:rPr>
          <w:rFonts w:ascii="Arial Narrow" w:hAnsi="Arial Narrow" w:cs="Arial Narrow"/>
          <w:sz w:val="22"/>
          <w:szCs w:val="22"/>
        </w:rPr>
        <w:t>má</w:t>
      </w:r>
      <w:r w:rsidRPr="008D4633">
        <w:rPr>
          <w:rFonts w:ascii="Arial Narrow" w:hAnsi="Arial Narrow" w:cs="Arial Narrow"/>
          <w:sz w:val="22"/>
          <w:szCs w:val="22"/>
        </w:rPr>
        <w:t xml:space="preserve"> pozitívny vplyv na daňové príjmy vo výške 51,1 mil. eur v roku 2010 a 1,4 mil. eur v roku 2011.</w:t>
      </w:r>
    </w:p>
    <w:p w:rsidR="00A1281C" w:rsidP="00A1281C">
      <w:pPr>
        <w:tabs>
          <w:tab w:val="left" w:pos="6589"/>
        </w:tabs>
        <w:bidi w:val="0"/>
        <w:ind w:left="289"/>
        <w:jc w:val="both"/>
        <w:rPr>
          <w:rFonts w:ascii="Arial Narrow" w:hAnsi="Arial Narrow" w:cs="Arial Narrow"/>
          <w:sz w:val="22"/>
          <w:szCs w:val="22"/>
        </w:rPr>
      </w:pPr>
    </w:p>
    <w:p w:rsidR="00A1281C" w:rsidP="00A1281C">
      <w:pPr>
        <w:bidi w:val="0"/>
        <w:ind w:firstLine="720"/>
        <w:jc w:val="both"/>
        <w:rPr>
          <w:rFonts w:ascii="Arial Narrow" w:hAnsi="Arial Narrow" w:cs="Arial Narrow"/>
          <w:sz w:val="22"/>
          <w:szCs w:val="22"/>
        </w:rPr>
      </w:pPr>
      <w:r w:rsidRPr="00A716A6">
        <w:rPr>
          <w:rFonts w:ascii="Arial Narrow" w:hAnsi="Arial Narrow" w:cs="Arial Narrow"/>
          <w:sz w:val="22"/>
          <w:szCs w:val="22"/>
        </w:rPr>
        <w:t>Novelou zákona č. 595/2003 Z. z. o </w:t>
      </w:r>
      <w:r w:rsidRPr="00A716A6">
        <w:rPr>
          <w:rFonts w:ascii="Arial Narrow" w:hAnsi="Arial Narrow" w:cs="Arial Narrow"/>
          <w:b/>
          <w:bCs/>
          <w:sz w:val="22"/>
          <w:szCs w:val="22"/>
        </w:rPr>
        <w:t>dani z príjmov</w:t>
      </w:r>
      <w:r w:rsidRPr="00227FF0">
        <w:rPr>
          <w:rFonts w:ascii="Arial Narrow" w:hAnsi="Arial Narrow" w:cs="Arial Narrow"/>
          <w:sz w:val="22"/>
          <w:szCs w:val="22"/>
        </w:rPr>
        <w:t xml:space="preserve"> </w:t>
      </w:r>
      <w:r>
        <w:rPr>
          <w:rFonts w:ascii="Arial Narrow" w:hAnsi="Arial Narrow" w:cs="Arial Narrow"/>
          <w:sz w:val="22"/>
          <w:szCs w:val="22"/>
        </w:rPr>
        <w:t>a n</w:t>
      </w:r>
      <w:r w:rsidRPr="005B2427">
        <w:rPr>
          <w:rFonts w:ascii="Arial Narrow" w:hAnsi="Arial Narrow" w:cs="Arial Narrow"/>
          <w:sz w:val="22"/>
          <w:szCs w:val="22"/>
        </w:rPr>
        <w:t>ovelami zákona č. 461/2003 Z. z. o </w:t>
      </w:r>
      <w:r w:rsidRPr="005B2427">
        <w:rPr>
          <w:rFonts w:ascii="Arial Narrow" w:hAnsi="Arial Narrow" w:cs="Arial Narrow"/>
          <w:b/>
          <w:bCs/>
          <w:sz w:val="22"/>
          <w:szCs w:val="22"/>
        </w:rPr>
        <w:t xml:space="preserve">sociálnom poistení </w:t>
      </w:r>
      <w:r w:rsidRPr="005B2427">
        <w:rPr>
          <w:rFonts w:ascii="Arial Narrow" w:hAnsi="Arial Narrow" w:cs="Arial Narrow"/>
          <w:sz w:val="22"/>
          <w:szCs w:val="22"/>
        </w:rPr>
        <w:t>a zákona č. 580/2004 Z. z.</w:t>
      </w:r>
      <w:r w:rsidRPr="005B2427">
        <w:rPr>
          <w:rFonts w:ascii="Arial Narrow" w:hAnsi="Arial Narrow" w:cs="Arial Narrow"/>
          <w:b/>
          <w:bCs/>
          <w:sz w:val="22"/>
          <w:szCs w:val="22"/>
        </w:rPr>
        <w:t xml:space="preserve"> o zdravotnom poistení</w:t>
      </w:r>
      <w:r w:rsidRPr="005B2427">
        <w:rPr>
          <w:rFonts w:ascii="Arial Narrow" w:hAnsi="Arial Narrow" w:cs="Arial Narrow"/>
          <w:sz w:val="22"/>
          <w:szCs w:val="22"/>
        </w:rPr>
        <w:t>,</w:t>
      </w:r>
      <w:r w:rsidRPr="00A716A6">
        <w:rPr>
          <w:rFonts w:ascii="Arial Narrow" w:hAnsi="Arial Narrow" w:cs="Arial Narrow"/>
          <w:sz w:val="22"/>
          <w:szCs w:val="22"/>
        </w:rPr>
        <w:t xml:space="preserve"> ktor</w:t>
      </w:r>
      <w:r>
        <w:rPr>
          <w:rFonts w:ascii="Arial Narrow" w:hAnsi="Arial Narrow" w:cs="Arial Narrow"/>
          <w:sz w:val="22"/>
          <w:szCs w:val="22"/>
        </w:rPr>
        <w:t>é</w:t>
      </w:r>
      <w:r w:rsidRPr="00A716A6">
        <w:rPr>
          <w:rFonts w:ascii="Arial Narrow" w:hAnsi="Arial Narrow" w:cs="Arial Narrow"/>
          <w:sz w:val="22"/>
          <w:szCs w:val="22"/>
        </w:rPr>
        <w:t xml:space="preserve"> </w:t>
      </w:r>
      <w:r w:rsidRPr="006476D3">
        <w:rPr>
          <w:rFonts w:ascii="Arial Narrow" w:hAnsi="Arial Narrow" w:cs="Arial Narrow"/>
          <w:sz w:val="22"/>
          <w:szCs w:val="22"/>
        </w:rPr>
        <w:t>vláda SR schválila dňa 22.</w:t>
      </w:r>
      <w:r>
        <w:rPr>
          <w:rFonts w:ascii="Arial Narrow" w:hAnsi="Arial Narrow" w:cs="Arial Narrow"/>
          <w:sz w:val="22"/>
          <w:szCs w:val="22"/>
        </w:rPr>
        <w:t xml:space="preserve"> 9</w:t>
      </w:r>
      <w:r w:rsidRPr="006476D3">
        <w:rPr>
          <w:rFonts w:ascii="Arial Narrow" w:hAnsi="Arial Narrow" w:cs="Arial Narrow"/>
          <w:sz w:val="22"/>
          <w:szCs w:val="22"/>
        </w:rPr>
        <w:t>.</w:t>
      </w:r>
      <w:r>
        <w:rPr>
          <w:rFonts w:ascii="Arial Narrow" w:hAnsi="Arial Narrow" w:cs="Arial Narrow"/>
          <w:sz w:val="22"/>
          <w:szCs w:val="22"/>
        </w:rPr>
        <w:t xml:space="preserve"> </w:t>
      </w:r>
      <w:r w:rsidRPr="006476D3">
        <w:rPr>
          <w:rFonts w:ascii="Arial Narrow" w:hAnsi="Arial Narrow" w:cs="Arial Narrow"/>
          <w:sz w:val="22"/>
          <w:szCs w:val="22"/>
        </w:rPr>
        <w:t>2010</w:t>
      </w:r>
      <w:r w:rsidRPr="00A716A6">
        <w:rPr>
          <w:rFonts w:ascii="Arial Narrow" w:hAnsi="Arial Narrow" w:cs="Arial Narrow"/>
          <w:sz w:val="22"/>
          <w:szCs w:val="22"/>
        </w:rPr>
        <w:t xml:space="preserve">, sa zaviedlo viacero legislatívnych zmien prijatých za účelom konsolidácie verejných financií s účinnosťou od </w:t>
      </w:r>
      <w:r>
        <w:rPr>
          <w:rFonts w:ascii="Arial Narrow" w:hAnsi="Arial Narrow" w:cs="Arial Narrow"/>
          <w:sz w:val="22"/>
          <w:szCs w:val="22"/>
        </w:rPr>
        <w:t xml:space="preserve">          </w:t>
      </w:r>
      <w:r w:rsidRPr="00A716A6">
        <w:rPr>
          <w:rFonts w:ascii="Arial Narrow" w:hAnsi="Arial Narrow" w:cs="Arial Narrow"/>
          <w:sz w:val="22"/>
          <w:szCs w:val="22"/>
        </w:rPr>
        <w:t>1.</w:t>
      </w:r>
      <w:r>
        <w:rPr>
          <w:rFonts w:ascii="Arial Narrow" w:hAnsi="Arial Narrow" w:cs="Arial Narrow"/>
          <w:sz w:val="22"/>
          <w:szCs w:val="22"/>
        </w:rPr>
        <w:t xml:space="preserve"> </w:t>
      </w:r>
      <w:r w:rsidRPr="00A716A6">
        <w:rPr>
          <w:rFonts w:ascii="Arial Narrow" w:hAnsi="Arial Narrow" w:cs="Arial Narrow"/>
          <w:sz w:val="22"/>
          <w:szCs w:val="22"/>
        </w:rPr>
        <w:t>1.</w:t>
      </w:r>
      <w:r>
        <w:rPr>
          <w:rFonts w:ascii="Arial Narrow" w:hAnsi="Arial Narrow" w:cs="Arial Narrow"/>
          <w:sz w:val="22"/>
          <w:szCs w:val="22"/>
        </w:rPr>
        <w:t xml:space="preserve"> </w:t>
      </w:r>
      <w:r w:rsidRPr="00A716A6">
        <w:rPr>
          <w:rFonts w:ascii="Arial Narrow" w:hAnsi="Arial Narrow" w:cs="Arial Narrow"/>
          <w:sz w:val="22"/>
          <w:szCs w:val="22"/>
        </w:rPr>
        <w:t>201</w:t>
      </w:r>
      <w:r>
        <w:rPr>
          <w:rFonts w:ascii="Arial Narrow" w:hAnsi="Arial Narrow" w:cs="Arial Narrow"/>
          <w:sz w:val="22"/>
          <w:szCs w:val="22"/>
        </w:rPr>
        <w:t>1. V prípade sociálnych a zdravotných odvodov ide najmä o rozširovanie</w:t>
      </w:r>
      <w:r w:rsidRPr="005B2427">
        <w:rPr>
          <w:rFonts w:ascii="Arial Narrow" w:hAnsi="Arial Narrow" w:cs="Arial Narrow"/>
          <w:sz w:val="22"/>
          <w:szCs w:val="22"/>
        </w:rPr>
        <w:t xml:space="preserve"> vymeriavacích základov</w:t>
      </w:r>
      <w:r>
        <w:rPr>
          <w:rFonts w:ascii="Arial Narrow" w:hAnsi="Arial Narrow" w:cs="Arial Narrow"/>
          <w:sz w:val="22"/>
          <w:szCs w:val="22"/>
        </w:rPr>
        <w:t xml:space="preserve"> </w:t>
      </w:r>
      <w:r w:rsidRPr="005B2427">
        <w:rPr>
          <w:rFonts w:ascii="Arial Narrow" w:hAnsi="Arial Narrow" w:cs="Arial Narrow"/>
          <w:sz w:val="22"/>
          <w:szCs w:val="22"/>
        </w:rPr>
        <w:t xml:space="preserve">s negatívnym vplyvom na základ dane z príjmu fyzických osôb. </w:t>
      </w:r>
    </w:p>
    <w:p w:rsidR="00A1281C" w:rsidP="00A1281C">
      <w:pPr>
        <w:bidi w:val="0"/>
        <w:ind w:firstLine="720"/>
        <w:jc w:val="both"/>
        <w:rPr>
          <w:rFonts w:ascii="Arial Narrow" w:hAnsi="Arial Narrow" w:cs="Arial Narrow"/>
          <w:sz w:val="22"/>
          <w:szCs w:val="22"/>
        </w:rPr>
      </w:pPr>
    </w:p>
    <w:p w:rsidR="00A1281C" w:rsidP="00A1281C">
      <w:pPr>
        <w:bidi w:val="0"/>
        <w:ind w:firstLine="720"/>
        <w:jc w:val="both"/>
        <w:rPr>
          <w:rFonts w:ascii="Arial Narrow" w:hAnsi="Arial Narrow" w:cs="Arial Narrow"/>
          <w:sz w:val="22"/>
          <w:szCs w:val="22"/>
        </w:rPr>
      </w:pPr>
      <w:r>
        <w:rPr>
          <w:rFonts w:ascii="Arial Narrow" w:hAnsi="Arial Narrow" w:cs="Arial Narrow"/>
          <w:sz w:val="22"/>
          <w:szCs w:val="22"/>
        </w:rPr>
        <w:t>V nasledujúcej tabuľke</w:t>
      </w:r>
      <w:r w:rsidRPr="00A716A6">
        <w:rPr>
          <w:rFonts w:ascii="Arial Narrow" w:hAnsi="Arial Narrow" w:cs="Arial Narrow"/>
          <w:sz w:val="22"/>
          <w:szCs w:val="22"/>
        </w:rPr>
        <w:t xml:space="preserve"> je uvedený p</w:t>
      </w:r>
      <w:r>
        <w:rPr>
          <w:rFonts w:ascii="Arial Narrow" w:hAnsi="Arial Narrow" w:cs="Arial Narrow"/>
          <w:sz w:val="22"/>
          <w:szCs w:val="22"/>
        </w:rPr>
        <w:t>odrobnejší opis a vplyv opatrení na dane z príjmov:</w:t>
      </w:r>
    </w:p>
    <w:p w:rsidR="00783727" w:rsidP="00A1281C">
      <w:pPr>
        <w:bidi w:val="0"/>
        <w:ind w:firstLine="720"/>
        <w:jc w:val="both"/>
        <w:rPr>
          <w:rFonts w:ascii="Arial Narrow" w:hAnsi="Arial Narrow" w:cs="Arial Narrow"/>
          <w:sz w:val="22"/>
          <w:szCs w:val="22"/>
        </w:rPr>
      </w:pPr>
    </w:p>
    <w:p w:rsidR="00783727" w:rsidP="00A1281C">
      <w:pPr>
        <w:bidi w:val="0"/>
        <w:ind w:firstLine="720"/>
        <w:jc w:val="both"/>
        <w:rPr>
          <w:rFonts w:ascii="Arial Narrow" w:hAnsi="Arial Narrow" w:cs="Arial Narrow"/>
          <w:sz w:val="22"/>
          <w:szCs w:val="22"/>
        </w:rPr>
      </w:pPr>
    </w:p>
    <w:p w:rsidR="00783727" w:rsidP="00A1281C">
      <w:pPr>
        <w:bidi w:val="0"/>
        <w:ind w:firstLine="720"/>
        <w:jc w:val="both"/>
        <w:rPr>
          <w:rFonts w:ascii="Arial Narrow" w:hAnsi="Arial Narrow" w:cs="Arial Narrow"/>
          <w:sz w:val="22"/>
          <w:szCs w:val="22"/>
        </w:rPr>
      </w:pPr>
    </w:p>
    <w:p w:rsidR="00A1281C" w:rsidP="00A1281C">
      <w:pPr>
        <w:bidi w:val="0"/>
        <w:ind w:firstLine="720"/>
        <w:jc w:val="both"/>
        <w:rPr>
          <w:rFonts w:ascii="Arial Narrow" w:hAnsi="Arial Narrow" w:cs="Arial Narrow"/>
          <w:sz w:val="22"/>
          <w:szCs w:val="22"/>
        </w:rPr>
      </w:pPr>
    </w:p>
    <w:tbl>
      <w:tblPr>
        <w:tblStyle w:val="TableNormal"/>
        <w:tblW w:w="9072" w:type="dxa"/>
        <w:jc w:val="center"/>
        <w:tblLook w:val="00A0"/>
      </w:tblPr>
      <w:tblGrid>
        <w:gridCol w:w="6457"/>
        <w:gridCol w:w="890"/>
        <w:gridCol w:w="862"/>
        <w:gridCol w:w="863"/>
      </w:tblGrid>
      <w:tr>
        <w:tblPrEx>
          <w:tblW w:w="9072" w:type="dxa"/>
          <w:jc w:val="center"/>
          <w:tblLook w:val="00A0"/>
        </w:tblPrEx>
        <w:trPr>
          <w:trHeight w:val="567"/>
          <w:jc w:val="center"/>
        </w:trPr>
        <w:tc>
          <w:tcPr>
            <w:tcW w:w="9072" w:type="dxa"/>
            <w:gridSpan w:val="4"/>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A1281C" w:rsidRPr="007C11CA" w:rsidP="006740C3">
            <w:pPr>
              <w:bidi w:val="0"/>
              <w:rPr>
                <w:rFonts w:ascii="Arial Narrow" w:hAnsi="Arial Narrow" w:cs="Arial Narrow"/>
                <w:b/>
                <w:bCs/>
                <w:sz w:val="16"/>
                <w:szCs w:val="16"/>
                <w:lang w:eastAsia="en-US"/>
              </w:rPr>
            </w:pPr>
            <w:r w:rsidRPr="007C11CA">
              <w:rPr>
                <w:rFonts w:ascii="Arial Narrow" w:hAnsi="Arial Narrow" w:cs="Arial Narrow"/>
                <w:b/>
                <w:bCs/>
                <w:sz w:val="16"/>
                <w:szCs w:val="16"/>
                <w:lang w:eastAsia="en-US"/>
              </w:rPr>
              <w:t>Vplyv noviel zákonov č. 595/2003 Z. z. o dani z príjmu, zákona č. 461/2003 Z. z. o sociálnom poistení a  zákona č. 580/2004 Z. z. o zdravotnom poistení s účinnosťou od 1.1.2011 na daňové príjmy VS (ESA 95, tis. eur)</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shd w:val="clear" w:color="000000" w:fill="auto"/>
            <w:noWrap/>
            <w:textDirection w:val="lrTb"/>
            <w:vAlign w:val="center"/>
          </w:tcPr>
          <w:p w:rsidR="00A1281C" w:rsidRPr="007C11CA" w:rsidP="006740C3">
            <w:pPr>
              <w:bidi w:val="0"/>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Opatrenia</w:t>
            </w:r>
          </w:p>
        </w:tc>
        <w:tc>
          <w:tcPr>
            <w:tcW w:w="890" w:type="dxa"/>
            <w:tcBorders>
              <w:top w:val="single" w:sz="8" w:space="0" w:color="auto"/>
              <w:left w:val="nil"/>
              <w:bottom w:val="single" w:sz="8" w:space="0" w:color="auto"/>
              <w:right w:val="single" w:sz="8" w:space="0" w:color="auto"/>
            </w:tcBorders>
            <w:shd w:val="clear" w:color="000000" w:fill="auto"/>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2011</w:t>
            </w:r>
          </w:p>
        </w:tc>
        <w:tc>
          <w:tcPr>
            <w:tcW w:w="862" w:type="dxa"/>
            <w:tcBorders>
              <w:top w:val="single" w:sz="8" w:space="0" w:color="auto"/>
              <w:left w:val="nil"/>
              <w:bottom w:val="single" w:sz="8" w:space="0" w:color="auto"/>
              <w:right w:val="single" w:sz="8" w:space="0" w:color="auto"/>
            </w:tcBorders>
            <w:shd w:val="clear" w:color="000000" w:fill="auto"/>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2012</w:t>
            </w:r>
          </w:p>
        </w:tc>
        <w:tc>
          <w:tcPr>
            <w:tcW w:w="863" w:type="dxa"/>
            <w:tcBorders>
              <w:top w:val="nil"/>
              <w:left w:val="nil"/>
              <w:bottom w:val="single" w:sz="8" w:space="0" w:color="auto"/>
              <w:right w:val="single" w:sz="8" w:space="0" w:color="auto"/>
            </w:tcBorders>
            <w:shd w:val="clear" w:color="000000" w:fill="auto"/>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2013</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DPFO - Zrušenie úpravy základu dane </w:t>
            </w:r>
            <w:r>
              <w:rPr>
                <w:rFonts w:ascii="Arial Narrow" w:hAnsi="Arial Narrow" w:cs="Arial Narrow"/>
                <w:color w:val="000000"/>
                <w:sz w:val="16"/>
                <w:szCs w:val="16"/>
                <w:lang w:eastAsia="en-US"/>
              </w:rPr>
              <w:t>zdravotníckych pracovníkov o n</w:t>
            </w:r>
            <w:r w:rsidRPr="007C11CA">
              <w:rPr>
                <w:rFonts w:ascii="Arial Narrow" w:hAnsi="Arial Narrow" w:cs="Arial Narrow"/>
                <w:color w:val="000000"/>
                <w:sz w:val="16"/>
                <w:szCs w:val="16"/>
                <w:lang w:eastAsia="en-US"/>
              </w:rPr>
              <w:t>áklady na</w:t>
            </w:r>
            <w:r>
              <w:rPr>
                <w:rFonts w:ascii="Arial Narrow" w:hAnsi="Arial Narrow" w:cs="Arial Narrow"/>
                <w:color w:val="000000"/>
                <w:sz w:val="16"/>
                <w:szCs w:val="16"/>
                <w:lang w:eastAsia="en-US"/>
              </w:rPr>
              <w:t xml:space="preserve"> ich </w:t>
            </w:r>
            <w:r w:rsidRPr="007C11CA">
              <w:rPr>
                <w:rFonts w:ascii="Arial Narrow" w:hAnsi="Arial Narrow" w:cs="Arial Narrow"/>
                <w:color w:val="000000"/>
                <w:sz w:val="16"/>
                <w:szCs w:val="16"/>
                <w:lang w:eastAsia="en-US"/>
              </w:rPr>
              <w:t>ďalšie vzdelávanie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362</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724</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724</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závislá činnosť</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362</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362</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w:t>
            </w:r>
            <w:r w:rsidRPr="007C11CA">
              <w:rPr>
                <w:rFonts w:ascii="Arial Narrow" w:hAnsi="Arial Narrow" w:cs="Arial Narrow"/>
                <w:i/>
                <w:iCs/>
                <w:color w:val="000000"/>
                <w:sz w:val="16"/>
                <w:szCs w:val="16"/>
                <w:lang w:eastAsia="en-US"/>
              </w:rPr>
              <w:t xml:space="preserve"> 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362</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362</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362</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jc w:val="both"/>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DPFO - Zrušenie nezdaniteľnej časti základu dane </w:t>
            </w:r>
            <w:r>
              <w:rPr>
                <w:rFonts w:ascii="Arial Narrow" w:hAnsi="Arial Narrow" w:cs="Arial Narrow"/>
                <w:color w:val="000000"/>
                <w:sz w:val="16"/>
                <w:szCs w:val="16"/>
                <w:lang w:eastAsia="en-US"/>
              </w:rPr>
              <w:t xml:space="preserve">(ďalej len „NČZD“) </w:t>
            </w:r>
            <w:r w:rsidRPr="007C11CA">
              <w:rPr>
                <w:rFonts w:ascii="Arial Narrow" w:hAnsi="Arial Narrow" w:cs="Arial Narrow"/>
                <w:color w:val="000000"/>
                <w:sz w:val="16"/>
                <w:szCs w:val="16"/>
                <w:lang w:eastAsia="en-US"/>
              </w:rPr>
              <w:t>na DDS, životné poistenie a účelové sporenie (</w:t>
            </w:r>
            <w:r>
              <w:rPr>
                <w:rFonts w:ascii="Arial Narrow" w:hAnsi="Arial Narrow" w:cs="Arial Narrow"/>
                <w:color w:val="000000"/>
                <w:sz w:val="16"/>
                <w:szCs w:val="16"/>
                <w:lang w:eastAsia="en-US"/>
              </w:rPr>
              <w:t>398,33</w:t>
            </w:r>
            <w:r w:rsidRPr="007C11CA">
              <w:rPr>
                <w:rFonts w:ascii="Arial Narrow" w:hAnsi="Arial Narrow" w:cs="Arial Narrow"/>
                <w:color w:val="000000"/>
                <w:sz w:val="16"/>
                <w:szCs w:val="16"/>
                <w:lang w:eastAsia="en-US"/>
              </w:rPr>
              <w:t xml:space="preserve"> </w:t>
            </w:r>
            <w:r>
              <w:rPr>
                <w:rFonts w:ascii="Arial Narrow" w:hAnsi="Arial Narrow" w:cs="Arial Narrow"/>
                <w:color w:val="000000"/>
                <w:sz w:val="16"/>
                <w:szCs w:val="16"/>
                <w:lang w:eastAsia="en-US"/>
              </w:rPr>
              <w:t>eur</w:t>
            </w:r>
            <w:r w:rsidRPr="007C11CA">
              <w:rPr>
                <w:rFonts w:ascii="Arial Narrow" w:hAnsi="Arial Narrow" w:cs="Arial Narrow"/>
                <w:color w:val="000000"/>
                <w:sz w:val="16"/>
                <w:szCs w:val="16"/>
                <w:lang w:eastAsia="en-US"/>
              </w:rPr>
              <w:t>)</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14 324</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65 624</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66 496</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 xml:space="preserve">       - vplyv na DPFO závislá činnosť</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50 784</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51 114</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 xml:space="preserve">       - 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14 324</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14 840</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15 382</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color w:val="000000"/>
                <w:sz w:val="16"/>
                <w:szCs w:val="16"/>
                <w:lang w:eastAsia="en-US"/>
              </w:rPr>
            </w:pPr>
            <w:r>
              <w:rPr>
                <w:rFonts w:ascii="Arial Narrow" w:hAnsi="Arial Narrow" w:cs="Arial Narrow"/>
                <w:color w:val="000000"/>
                <w:sz w:val="16"/>
                <w:szCs w:val="16"/>
                <w:lang w:eastAsia="en-US"/>
              </w:rPr>
              <w:t>DPFO - Obmedzenie oslobodení</w:t>
            </w:r>
            <w:r w:rsidRPr="007C11CA">
              <w:rPr>
                <w:rFonts w:ascii="Arial Narrow" w:hAnsi="Arial Narrow" w:cs="Arial Narrow"/>
                <w:color w:val="000000"/>
                <w:sz w:val="16"/>
                <w:szCs w:val="16"/>
                <w:lang w:eastAsia="en-US"/>
              </w:rPr>
              <w:t xml:space="preserve"> od dane z príjmov z</w:t>
            </w:r>
            <w:r>
              <w:rPr>
                <w:rFonts w:ascii="Arial Narrow" w:hAnsi="Arial Narrow" w:cs="Arial Narrow"/>
                <w:color w:val="000000"/>
                <w:sz w:val="16"/>
                <w:szCs w:val="16"/>
                <w:lang w:eastAsia="en-US"/>
              </w:rPr>
              <w:t>o súčasnej úrovne</w:t>
            </w:r>
            <w:r w:rsidRPr="007C11CA">
              <w:rPr>
                <w:rFonts w:ascii="Arial Narrow" w:hAnsi="Arial Narrow" w:cs="Arial Narrow"/>
                <w:color w:val="000000"/>
                <w:sz w:val="16"/>
                <w:szCs w:val="16"/>
                <w:lang w:eastAsia="en-US"/>
              </w:rPr>
              <w:t xml:space="preserve"> 5-násobku sumy platného životného minima na sumu 500 eur</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2 718</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2 783</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2 861</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2 718</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2 783</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2 861</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jc w:val="both"/>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DPFO - </w:t>
            </w:r>
            <w:r>
              <w:rPr>
                <w:rFonts w:ascii="Arial Narrow" w:hAnsi="Arial Narrow" w:cs="Arial Narrow"/>
                <w:color w:val="000000"/>
                <w:sz w:val="16"/>
                <w:szCs w:val="16"/>
                <w:lang w:eastAsia="en-US"/>
              </w:rPr>
              <w:t>Uplatňovanie</w:t>
            </w:r>
            <w:r w:rsidRPr="007C11CA">
              <w:rPr>
                <w:rFonts w:ascii="Arial Narrow" w:hAnsi="Arial Narrow" w:cs="Arial Narrow"/>
                <w:color w:val="000000"/>
                <w:sz w:val="16"/>
                <w:szCs w:val="16"/>
                <w:lang w:eastAsia="en-US"/>
              </w:rPr>
              <w:t xml:space="preserve"> NČZD </w:t>
            </w:r>
            <w:r>
              <w:rPr>
                <w:rFonts w:ascii="Arial Narrow" w:hAnsi="Arial Narrow" w:cs="Arial Narrow"/>
                <w:color w:val="000000"/>
                <w:sz w:val="16"/>
                <w:szCs w:val="16"/>
                <w:lang w:eastAsia="en-US"/>
              </w:rPr>
              <w:t xml:space="preserve">len </w:t>
            </w:r>
            <w:r w:rsidRPr="007C11CA">
              <w:rPr>
                <w:rFonts w:ascii="Arial Narrow" w:hAnsi="Arial Narrow" w:cs="Arial Narrow"/>
                <w:color w:val="000000"/>
                <w:sz w:val="16"/>
                <w:szCs w:val="16"/>
                <w:lang w:eastAsia="en-US"/>
              </w:rPr>
              <w:t xml:space="preserve">na  príjmy </w:t>
            </w:r>
            <w:r>
              <w:rPr>
                <w:rFonts w:ascii="Arial Narrow" w:hAnsi="Arial Narrow" w:cs="Arial Narrow"/>
                <w:color w:val="000000"/>
                <w:sz w:val="16"/>
                <w:szCs w:val="16"/>
                <w:lang w:eastAsia="en-US"/>
              </w:rPr>
              <w:t xml:space="preserve">uvedené v § 5 a § 6 ods. 1 a 2 zákona č. 595/2003. </w:t>
            </w:r>
            <w:r w:rsidRPr="007C11CA">
              <w:rPr>
                <w:rFonts w:ascii="Arial Narrow" w:hAnsi="Arial Narrow" w:cs="Arial Narrow"/>
                <w:color w:val="000000"/>
                <w:sz w:val="16"/>
                <w:szCs w:val="16"/>
                <w:lang w:eastAsia="en-US"/>
              </w:rPr>
              <w:t>Zrážková daň zaplatením vysporiadaná s výnimkou podielových listov a dlhopisov (u DPFO)</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23 487</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24 209</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24 348</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vplyv </w:t>
            </w:r>
            <w:r w:rsidRPr="007C11CA">
              <w:rPr>
                <w:rFonts w:ascii="Arial Narrow" w:hAnsi="Arial Narrow" w:cs="Arial Narrow"/>
                <w:i/>
                <w:iCs/>
                <w:color w:val="000000"/>
                <w:sz w:val="16"/>
                <w:szCs w:val="16"/>
                <w:lang w:eastAsia="en-US"/>
              </w:rPr>
              <w:t>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23 487</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24 209</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24 348</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noWrap/>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DPFO - Zdaňovanie vreckového pri služobných cestách</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64</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67</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72</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 xml:space="preserve">       - vplyv na DPFO závislá činnosť</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64</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67</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72</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jc w:val="both"/>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DPFO - Zosúladenie podmienky pri oslobodení príjmov z predaja </w:t>
            </w:r>
            <w:r>
              <w:rPr>
                <w:rFonts w:ascii="Arial Narrow" w:hAnsi="Arial Narrow" w:cs="Arial Narrow"/>
                <w:color w:val="000000"/>
                <w:sz w:val="16"/>
                <w:szCs w:val="16"/>
                <w:lang w:eastAsia="en-US"/>
              </w:rPr>
              <w:t>hnuteľných a nehnuteľných vecí. Oslobodené budú príjmy z predaja hnuteľných vecí a nehnuteľností, pri ktorých bude splnená podmienka vlastníctva</w:t>
            </w:r>
            <w:r w:rsidRPr="007C11CA">
              <w:rPr>
                <w:rFonts w:ascii="Arial Narrow" w:hAnsi="Arial Narrow" w:cs="Arial Narrow"/>
                <w:color w:val="000000"/>
                <w:sz w:val="16"/>
                <w:szCs w:val="16"/>
                <w:lang w:eastAsia="en-US"/>
              </w:rPr>
              <w:t xml:space="preserve"> 5 rokov</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0</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0</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 xml:space="preserve">       - 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0</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0</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color w:val="000000"/>
                <w:sz w:val="16"/>
                <w:szCs w:val="16"/>
                <w:lang w:eastAsia="en-US"/>
              </w:rPr>
              <w:t>DPFO - Zníženie paušálnych výdavkov pre všetky skupiny živnostníkov na 40%</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4 563</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4 896</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5 295</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 xml:space="preserve">       </w:t>
            </w:r>
            <w:r>
              <w:rPr>
                <w:rFonts w:ascii="Arial Narrow" w:hAnsi="Arial Narrow" w:cs="Arial Narrow"/>
                <w:i/>
                <w:iCs/>
                <w:color w:val="000000"/>
                <w:sz w:val="16"/>
                <w:szCs w:val="16"/>
                <w:lang w:eastAsia="en-US"/>
              </w:rPr>
              <w:t xml:space="preserve">- </w:t>
            </w:r>
            <w:r w:rsidRPr="007C11CA">
              <w:rPr>
                <w:rFonts w:ascii="Arial Narrow" w:hAnsi="Arial Narrow" w:cs="Arial Narrow"/>
                <w:i/>
                <w:iCs/>
                <w:color w:val="000000"/>
                <w:sz w:val="16"/>
                <w:szCs w:val="16"/>
                <w:lang w:eastAsia="en-US"/>
              </w:rPr>
              <w:t>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4 563</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4 896</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5 295</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sidRPr="007C11CA">
              <w:rPr>
                <w:rFonts w:ascii="Arial Narrow" w:hAnsi="Arial Narrow" w:cs="Arial Narrow"/>
                <w:color w:val="000000"/>
                <w:sz w:val="16"/>
                <w:szCs w:val="16"/>
                <w:lang w:eastAsia="en-US"/>
              </w:rPr>
              <w:t>DPFO - Zmeny v zákone o sociálnom poistení</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-8 340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-10 658</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-10 969</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závislá činnosť</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-5 133</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-6 837</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-7 129</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-3 207</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-3 821</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-3 840</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DPFO - Zmeny v zákone o zdravotnom poistení</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-5 615</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-6 178</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-6 957</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závislá činnosť</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-1 800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-2 037</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-2 191</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textDirection w:val="lrTb"/>
            <w:vAlign w:val="center"/>
          </w:tcPr>
          <w:p w:rsidR="00A1281C" w:rsidRPr="007C11CA" w:rsidP="006740C3">
            <w:pPr>
              <w:bidi w:val="0"/>
              <w:rPr>
                <w:rFonts w:ascii="Arial Narrow" w:hAnsi="Arial Narrow" w:cs="Arial Narrow"/>
                <w:i/>
                <w:iCs/>
                <w:color w:val="000000"/>
                <w:sz w:val="16"/>
                <w:szCs w:val="16"/>
                <w:lang w:eastAsia="en-US"/>
              </w:rPr>
            </w:pPr>
            <w:r>
              <w:rPr>
                <w:rFonts w:ascii="Arial Narrow" w:hAnsi="Arial Narrow" w:cs="Arial Narrow"/>
                <w:i/>
                <w:iCs/>
                <w:color w:val="000000"/>
                <w:sz w:val="16"/>
                <w:szCs w:val="16"/>
                <w:lang w:eastAsia="en-US"/>
              </w:rPr>
              <w:t xml:space="preserve">       - </w:t>
            </w:r>
            <w:r w:rsidRPr="007C11CA">
              <w:rPr>
                <w:rFonts w:ascii="Arial Narrow" w:hAnsi="Arial Narrow" w:cs="Arial Narrow"/>
                <w:i/>
                <w:iCs/>
                <w:color w:val="000000"/>
                <w:sz w:val="16"/>
                <w:szCs w:val="16"/>
                <w:lang w:eastAsia="en-US"/>
              </w:rPr>
              <w:t>vplyv na DPFO podnikanie</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-3 815</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-4 141</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i/>
                <w:iCs/>
                <w:color w:val="000000"/>
                <w:sz w:val="16"/>
                <w:szCs w:val="16"/>
                <w:lang w:eastAsia="en-US"/>
              </w:rPr>
            </w:pPr>
            <w:r w:rsidRPr="007C11CA">
              <w:rPr>
                <w:rFonts w:ascii="Arial Narrow" w:hAnsi="Arial Narrow" w:cs="Arial Narrow"/>
                <w:i/>
                <w:iCs/>
                <w:color w:val="000000"/>
                <w:sz w:val="16"/>
                <w:szCs w:val="16"/>
                <w:lang w:eastAsia="en-US"/>
              </w:rPr>
              <w:t>-4 766</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noWrap/>
            <w:textDirection w:val="lrTb"/>
            <w:vAlign w:val="center"/>
          </w:tcPr>
          <w:p w:rsidR="00A1281C" w:rsidRPr="007C11CA" w:rsidP="006740C3">
            <w:pPr>
              <w:bidi w:val="0"/>
              <w:jc w:val="both"/>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DPPO - Zjednotenie odpisovania hmotného majetku obstaraného form</w:t>
            </w:r>
            <w:r>
              <w:rPr>
                <w:rFonts w:ascii="Arial Narrow" w:hAnsi="Arial Narrow" w:cs="Arial Narrow"/>
                <w:color w:val="000000"/>
                <w:sz w:val="16"/>
                <w:szCs w:val="16"/>
                <w:lang w:eastAsia="en-US"/>
              </w:rPr>
              <w:t>ou finančného prenájmu</w:t>
            </w:r>
            <w:r w:rsidRPr="007C11CA">
              <w:rPr>
                <w:rFonts w:ascii="Arial Narrow" w:hAnsi="Arial Narrow" w:cs="Arial Narrow"/>
                <w:color w:val="000000"/>
                <w:sz w:val="16"/>
                <w:szCs w:val="16"/>
                <w:lang w:eastAsia="en-US"/>
              </w:rPr>
              <w:t xml:space="preserve"> s odpisovaním pri ostatných formách obstarania hmotného majetku</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7 000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12 000</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19 000</w:t>
            </w:r>
          </w:p>
        </w:tc>
      </w:tr>
      <w:tr>
        <w:tblPrEx>
          <w:tblW w:w="9072" w:type="dxa"/>
          <w:jc w:val="center"/>
          <w:tblLook w:val="00A0"/>
        </w:tblPrEx>
        <w:trPr>
          <w:trHeight w:val="284"/>
          <w:jc w:val="center"/>
        </w:trPr>
        <w:tc>
          <w:tcPr>
            <w:tcW w:w="6457" w:type="dxa"/>
            <w:tcBorders>
              <w:top w:val="nil"/>
              <w:left w:val="single" w:sz="8" w:space="0" w:color="auto"/>
              <w:bottom w:val="single" w:sz="8" w:space="0" w:color="auto"/>
              <w:right w:val="single" w:sz="8" w:space="0" w:color="auto"/>
            </w:tcBorders>
            <w:noWrap/>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DPPO - Zdanenie príjmov obcí a VÚC z predaja a nájmu majetku</w:t>
            </w:r>
          </w:p>
        </w:tc>
        <w:tc>
          <w:tcPr>
            <w:tcW w:w="890"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18 400</w:t>
            </w:r>
          </w:p>
        </w:tc>
        <w:tc>
          <w:tcPr>
            <w:tcW w:w="862"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18 576</w:t>
            </w:r>
          </w:p>
        </w:tc>
        <w:tc>
          <w:tcPr>
            <w:tcW w:w="863" w:type="dxa"/>
            <w:tcBorders>
              <w:top w:val="nil"/>
              <w:left w:val="nil"/>
              <w:bottom w:val="single" w:sz="8"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18 744</w:t>
            </w:r>
          </w:p>
        </w:tc>
      </w:tr>
      <w:tr>
        <w:tblPrEx>
          <w:tblW w:w="9072" w:type="dxa"/>
          <w:jc w:val="center"/>
          <w:tblLook w:val="00A0"/>
        </w:tblPrEx>
        <w:trPr>
          <w:trHeight w:val="284"/>
          <w:jc w:val="center"/>
        </w:trPr>
        <w:tc>
          <w:tcPr>
            <w:tcW w:w="6457" w:type="dxa"/>
            <w:tcBorders>
              <w:top w:val="nil"/>
              <w:left w:val="single" w:sz="8" w:space="0" w:color="auto"/>
              <w:bottom w:val="single" w:sz="4" w:space="0" w:color="auto"/>
              <w:right w:val="single" w:sz="8" w:space="0" w:color="auto"/>
            </w:tcBorders>
            <w:noWrap/>
            <w:textDirection w:val="lrTb"/>
            <w:vAlign w:val="center"/>
          </w:tcPr>
          <w:p w:rsidR="00A1281C" w:rsidRPr="007C11CA" w:rsidP="006740C3">
            <w:pPr>
              <w:bidi w:val="0"/>
              <w:jc w:val="both"/>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DPPO </w:t>
            </w:r>
            <w:r>
              <w:rPr>
                <w:rFonts w:ascii="Arial Narrow" w:hAnsi="Arial Narrow" w:cs="Arial Narrow"/>
                <w:color w:val="000000"/>
                <w:sz w:val="16"/>
                <w:szCs w:val="16"/>
                <w:lang w:eastAsia="en-US"/>
              </w:rPr>
              <w:t>–</w:t>
            </w:r>
            <w:r w:rsidRPr="007C11CA">
              <w:rPr>
                <w:rFonts w:ascii="Arial Narrow" w:hAnsi="Arial Narrow" w:cs="Arial Narrow"/>
                <w:color w:val="000000"/>
                <w:sz w:val="16"/>
                <w:szCs w:val="16"/>
                <w:lang w:eastAsia="en-US"/>
              </w:rPr>
              <w:t xml:space="preserve"> </w:t>
            </w:r>
            <w:r>
              <w:rPr>
                <w:rFonts w:ascii="Arial Narrow" w:hAnsi="Arial Narrow" w:cs="Arial Narrow"/>
                <w:color w:val="000000"/>
                <w:sz w:val="16"/>
                <w:szCs w:val="16"/>
                <w:lang w:eastAsia="en-US"/>
              </w:rPr>
              <w:t>Zrážková daň bude vysporiadaná s výnimkou podielových listov a dlhopisov (tzn. že p</w:t>
            </w:r>
            <w:r w:rsidRPr="007C11CA">
              <w:rPr>
                <w:rFonts w:ascii="Arial Narrow" w:hAnsi="Arial Narrow" w:cs="Arial Narrow"/>
                <w:color w:val="000000"/>
                <w:sz w:val="16"/>
                <w:szCs w:val="16"/>
                <w:lang w:eastAsia="en-US"/>
              </w:rPr>
              <w:t xml:space="preserve">rávnické osoby si </w:t>
            </w:r>
            <w:r>
              <w:rPr>
                <w:rFonts w:ascii="Arial Narrow" w:hAnsi="Arial Narrow" w:cs="Arial Narrow"/>
                <w:color w:val="000000"/>
                <w:sz w:val="16"/>
                <w:szCs w:val="16"/>
                <w:lang w:eastAsia="en-US"/>
              </w:rPr>
              <w:t xml:space="preserve">už </w:t>
            </w:r>
            <w:r w:rsidRPr="007C11CA">
              <w:rPr>
                <w:rFonts w:ascii="Arial Narrow" w:hAnsi="Arial Narrow" w:cs="Arial Narrow"/>
                <w:color w:val="000000"/>
                <w:sz w:val="16"/>
                <w:szCs w:val="16"/>
                <w:lang w:eastAsia="en-US"/>
              </w:rPr>
              <w:t xml:space="preserve">nebudú </w:t>
            </w:r>
            <w:r>
              <w:rPr>
                <w:rFonts w:ascii="Arial Narrow" w:hAnsi="Arial Narrow" w:cs="Arial Narrow"/>
                <w:color w:val="000000"/>
                <w:sz w:val="16"/>
                <w:szCs w:val="16"/>
                <w:lang w:eastAsia="en-US"/>
              </w:rPr>
              <w:t xml:space="preserve">môcť </w:t>
            </w:r>
            <w:r w:rsidRPr="007C11CA">
              <w:rPr>
                <w:rFonts w:ascii="Arial Narrow" w:hAnsi="Arial Narrow" w:cs="Arial Narrow"/>
                <w:color w:val="000000"/>
                <w:sz w:val="16"/>
                <w:szCs w:val="16"/>
                <w:lang w:eastAsia="en-US"/>
              </w:rPr>
              <w:t>znižovať daňovú povinnosť o zaplatenú zrážkovú daň</w:t>
            </w:r>
            <w:r>
              <w:rPr>
                <w:rFonts w:ascii="Arial Narrow" w:hAnsi="Arial Narrow" w:cs="Arial Narrow"/>
                <w:color w:val="000000"/>
                <w:sz w:val="16"/>
                <w:szCs w:val="16"/>
                <w:lang w:eastAsia="en-US"/>
              </w:rPr>
              <w:t>)</w:t>
            </w:r>
            <w:r w:rsidRPr="007C11CA">
              <w:rPr>
                <w:rFonts w:ascii="Arial Narrow" w:hAnsi="Arial Narrow" w:cs="Arial Narrow"/>
                <w:color w:val="000000"/>
                <w:sz w:val="16"/>
                <w:szCs w:val="16"/>
                <w:lang w:eastAsia="en-US"/>
              </w:rPr>
              <w:t xml:space="preserve"> </w:t>
            </w:r>
          </w:p>
        </w:tc>
        <w:tc>
          <w:tcPr>
            <w:tcW w:w="890" w:type="dxa"/>
            <w:tcBorders>
              <w:top w:val="nil"/>
              <w:left w:val="nil"/>
              <w:bottom w:val="single" w:sz="4"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7 422</w:t>
            </w:r>
          </w:p>
        </w:tc>
        <w:tc>
          <w:tcPr>
            <w:tcW w:w="862" w:type="dxa"/>
            <w:tcBorders>
              <w:top w:val="nil"/>
              <w:left w:val="nil"/>
              <w:bottom w:val="single" w:sz="4"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9 754</w:t>
            </w:r>
          </w:p>
        </w:tc>
        <w:tc>
          <w:tcPr>
            <w:tcW w:w="863" w:type="dxa"/>
            <w:tcBorders>
              <w:top w:val="nil"/>
              <w:left w:val="nil"/>
              <w:bottom w:val="single" w:sz="4" w:space="0" w:color="auto"/>
              <w:right w:val="single" w:sz="8"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11 832</w:t>
            </w:r>
          </w:p>
        </w:tc>
      </w:tr>
      <w:tr>
        <w:tblPrEx>
          <w:tblW w:w="9072" w:type="dxa"/>
          <w:jc w:val="center"/>
          <w:tblLook w:val="00A0"/>
        </w:tblPrEx>
        <w:trPr>
          <w:trHeight w:val="284"/>
          <w:jc w:val="center"/>
        </w:trPr>
        <w:tc>
          <w:tcPr>
            <w:tcW w:w="645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SPOLU</w:t>
            </w:r>
          </w:p>
        </w:tc>
        <w:tc>
          <w:tcPr>
            <w:tcW w:w="89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64 385</w:t>
            </w:r>
          </w:p>
        </w:tc>
        <w:tc>
          <w:tcPr>
            <w:tcW w:w="862"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121 797</w:t>
            </w:r>
          </w:p>
        </w:tc>
        <w:tc>
          <w:tcPr>
            <w:tcW w:w="86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b/>
                <w:bCs/>
                <w:color w:val="000000"/>
                <w:sz w:val="16"/>
                <w:szCs w:val="16"/>
                <w:lang w:eastAsia="en-US"/>
              </w:rPr>
            </w:pPr>
            <w:r w:rsidRPr="007C11CA">
              <w:rPr>
                <w:rFonts w:ascii="Arial Narrow" w:hAnsi="Arial Narrow" w:cs="Arial Narrow"/>
                <w:b/>
                <w:bCs/>
                <w:color w:val="000000"/>
                <w:sz w:val="16"/>
                <w:szCs w:val="16"/>
                <w:lang w:eastAsia="en-US"/>
              </w:rPr>
              <w:t>131 446</w:t>
            </w:r>
          </w:p>
        </w:tc>
      </w:tr>
      <w:tr>
        <w:tblPrEx>
          <w:tblW w:w="9072" w:type="dxa"/>
          <w:jc w:val="center"/>
          <w:tblLook w:val="00A0"/>
        </w:tblPrEx>
        <w:trPr>
          <w:trHeight w:val="284"/>
          <w:jc w:val="center"/>
        </w:trPr>
        <w:tc>
          <w:tcPr>
            <w:tcW w:w="645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   z toho: DPFO</w:t>
            </w:r>
          </w:p>
        </w:tc>
        <w:tc>
          <w:tcPr>
            <w:tcW w:w="89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31 563</w:t>
            </w:r>
          </w:p>
        </w:tc>
        <w:tc>
          <w:tcPr>
            <w:tcW w:w="862"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81 467</w:t>
            </w:r>
          </w:p>
        </w:tc>
        <w:tc>
          <w:tcPr>
            <w:tcW w:w="86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81 871</w:t>
            </w:r>
          </w:p>
        </w:tc>
      </w:tr>
      <w:tr>
        <w:tblPrEx>
          <w:tblW w:w="9072" w:type="dxa"/>
          <w:jc w:val="center"/>
          <w:tblLook w:val="00A0"/>
        </w:tblPrEx>
        <w:trPr>
          <w:trHeight w:val="284"/>
          <w:jc w:val="center"/>
        </w:trPr>
        <w:tc>
          <w:tcPr>
            <w:tcW w:w="645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 xml:space="preserve">               DPPO</w:t>
            </w:r>
          </w:p>
        </w:tc>
        <w:tc>
          <w:tcPr>
            <w:tcW w:w="89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32 822</w:t>
            </w:r>
          </w:p>
        </w:tc>
        <w:tc>
          <w:tcPr>
            <w:tcW w:w="862"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40 330</w:t>
            </w:r>
          </w:p>
        </w:tc>
        <w:tc>
          <w:tcPr>
            <w:tcW w:w="86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7C11CA" w:rsidP="006740C3">
            <w:pPr>
              <w:bidi w:val="0"/>
              <w:jc w:val="center"/>
              <w:rPr>
                <w:rFonts w:ascii="Arial Narrow" w:hAnsi="Arial Narrow" w:cs="Arial Narrow"/>
                <w:color w:val="000000"/>
                <w:sz w:val="16"/>
                <w:szCs w:val="16"/>
                <w:lang w:eastAsia="en-US"/>
              </w:rPr>
            </w:pPr>
            <w:r w:rsidRPr="007C11CA">
              <w:rPr>
                <w:rFonts w:ascii="Arial Narrow" w:hAnsi="Arial Narrow" w:cs="Arial Narrow"/>
                <w:color w:val="000000"/>
                <w:sz w:val="16"/>
                <w:szCs w:val="16"/>
                <w:lang w:eastAsia="en-US"/>
              </w:rPr>
              <w:t>49 576</w:t>
            </w:r>
          </w:p>
        </w:tc>
      </w:tr>
    </w:tbl>
    <w:p w:rsidR="00A1281C" w:rsidP="00A1281C">
      <w:pPr>
        <w:bidi w:val="0"/>
        <w:jc w:val="both"/>
        <w:rPr>
          <w:rFonts w:ascii="Arial Narrow" w:hAnsi="Arial Narrow" w:cs="Arial Narrow"/>
          <w:sz w:val="22"/>
          <w:szCs w:val="22"/>
        </w:rPr>
      </w:pPr>
    </w:p>
    <w:p w:rsidR="00A1281C" w:rsidRPr="00117911" w:rsidP="00A1281C">
      <w:pPr>
        <w:bidi w:val="0"/>
        <w:ind w:firstLine="720"/>
        <w:jc w:val="both"/>
        <w:rPr>
          <w:rFonts w:ascii="Arial Narrow" w:hAnsi="Arial Narrow" w:cs="Arial Narrow"/>
          <w:sz w:val="22"/>
          <w:szCs w:val="22"/>
        </w:rPr>
      </w:pPr>
      <w:r w:rsidRPr="00A716A6">
        <w:rPr>
          <w:rFonts w:ascii="Arial Narrow" w:hAnsi="Arial Narrow" w:cs="Arial Narrow"/>
          <w:sz w:val="22"/>
          <w:szCs w:val="22"/>
        </w:rPr>
        <w:t>Z hľadiska výnosu daní je podstatné, že najväčší vplyv na celkový výnos dane z príjmov fyzických osôb bude mať zmrazenie nezdaniteľnej časti základu dane pre fyzické osoby v roku 2010, zrušenie nezdaniteľnej časti základu dane na DDS, životné poistenie a účelové sporenie a zrušenie uplatňovania nezdaniteľných častí na tzv. neaktívne príjmy spolu so skutočnosťou, že zrážková daň sa bude považovať za vysporiadanú v rokoch 2011</w:t>
      </w:r>
      <w:r>
        <w:rPr>
          <w:rFonts w:ascii="Arial Narrow" w:hAnsi="Arial Narrow" w:cs="Arial Narrow"/>
          <w:sz w:val="22"/>
          <w:szCs w:val="22"/>
        </w:rPr>
        <w:t xml:space="preserve"> až</w:t>
      </w:r>
      <w:r w:rsidRPr="00A716A6">
        <w:rPr>
          <w:rFonts w:ascii="Arial Narrow" w:hAnsi="Arial Narrow" w:cs="Arial Narrow"/>
          <w:sz w:val="22"/>
          <w:szCs w:val="22"/>
        </w:rPr>
        <w:t xml:space="preserve"> 2013.</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9A1E17">
        <w:rPr>
          <w:rFonts w:ascii="Arial Narrow" w:hAnsi="Arial Narrow" w:cs="Arial Narrow"/>
          <w:sz w:val="22"/>
          <w:szCs w:val="22"/>
        </w:rPr>
        <w:t>V nadväznosti na</w:t>
      </w:r>
      <w:r>
        <w:rPr>
          <w:rFonts w:ascii="Arial Narrow" w:hAnsi="Arial Narrow" w:cs="Arial Narrow"/>
          <w:sz w:val="22"/>
          <w:szCs w:val="22"/>
        </w:rPr>
        <w:t xml:space="preserve"> nadobudnutie účinnosti smernice Rady č. 2007/46/ES</w:t>
      </w:r>
      <w:r w:rsidRPr="002C751E">
        <w:rPr>
          <w:rFonts w:ascii="Arial Narrow" w:hAnsi="Arial Narrow" w:cs="Arial Narrow"/>
          <w:sz w:val="22"/>
          <w:szCs w:val="22"/>
        </w:rPr>
        <w:t xml:space="preserve"> </w:t>
      </w:r>
      <w:r>
        <w:rPr>
          <w:rFonts w:ascii="Arial Narrow" w:hAnsi="Arial Narrow" w:cs="Arial Narrow"/>
          <w:sz w:val="22"/>
          <w:szCs w:val="22"/>
        </w:rPr>
        <w:t xml:space="preserve">od 29. apríla 2009, ktorá rieši globálnu homologizáciu automobilov kategórie N1, sa s účinnosťou od 1. januára 2010 pri </w:t>
      </w:r>
      <w:r w:rsidRPr="00A24303">
        <w:rPr>
          <w:rFonts w:ascii="Arial Narrow" w:hAnsi="Arial Narrow" w:cs="Arial Narrow"/>
          <w:b/>
          <w:bCs/>
          <w:sz w:val="22"/>
          <w:szCs w:val="22"/>
        </w:rPr>
        <w:t>dani z pridanej hodnoty</w:t>
      </w:r>
      <w:r>
        <w:rPr>
          <w:rFonts w:ascii="Arial Narrow" w:hAnsi="Arial Narrow" w:cs="Arial Narrow"/>
          <w:sz w:val="22"/>
          <w:szCs w:val="22"/>
        </w:rPr>
        <w:t xml:space="preserve"> zrušil zákaz odpočítania dane pri kúpe a nájme osobného automobilu registrovaného v kategórii M1. Táto legislatívna zmena bude mať negatívny vplyv na výnos DPH vo výške 10,5 mil. eur v roku 2010 a v ďalších rokoch vo výške 3,0 až 4,5 mil. eur.</w:t>
      </w:r>
    </w:p>
    <w:p w:rsidR="00A1281C" w:rsidP="00A1281C">
      <w:pPr>
        <w:bidi w:val="0"/>
        <w:ind w:firstLine="708"/>
        <w:jc w:val="both"/>
        <w:rPr>
          <w:rFonts w:ascii="Arial Narrow" w:hAnsi="Arial Narrow" w:cs="Arial Narrow"/>
          <w:sz w:val="22"/>
          <w:szCs w:val="22"/>
        </w:rPr>
      </w:pPr>
    </w:p>
    <w:p w:rsidR="00A1281C" w:rsidP="00A1281C">
      <w:pPr>
        <w:bidi w:val="0"/>
        <w:jc w:val="both"/>
        <w:rPr>
          <w:rFonts w:ascii="Arial Narrow" w:hAnsi="Arial Narrow" w:cs="Arial Narrow"/>
          <w:sz w:val="22"/>
          <w:szCs w:val="22"/>
        </w:rPr>
      </w:pPr>
      <w:r>
        <w:rPr>
          <w:rFonts w:ascii="Arial Narrow" w:hAnsi="Arial Narrow" w:cs="Arial Narrow"/>
          <w:sz w:val="22"/>
          <w:szCs w:val="22"/>
        </w:rPr>
        <w:tab/>
        <w:t>Vláda SR navrhla s účinnosťou od 1. januára 2011 dočasne zvýšiť základnú sadzbu DPH z 19 % na    20 % pri súčasnom ponechaní zníženej sadzby 10 % na lieky, vybrané zdravotnícke pomôcky a knihy. Toto opatrenie bude mať pozitívny vplyv na výnos dane v roku 2011 vo výške 183,1 mil. eur. Zároveň sa k 1. 1. 2011 predpokladá zrušenie zníženej sadzby dane vo výške 6 %, ktorá sa zaviedla od 1. mája 2010 na tovary „predaja z dvora“. Zrušenie 6% sadzby prinesie do rozpočtu v roku 2011 dodatočných 2,4 mil. eur.</w:t>
      </w:r>
    </w:p>
    <w:p w:rsidR="00A1281C" w:rsidP="00A1281C">
      <w:pPr>
        <w:bidi w:val="0"/>
        <w:jc w:val="both"/>
        <w:rPr>
          <w:rFonts w:ascii="Arial Narrow" w:hAnsi="Arial Narrow" w:cs="Arial Narrow"/>
          <w:sz w:val="22"/>
          <w:szCs w:val="22"/>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500"/>
        <w:gridCol w:w="1538"/>
        <w:gridCol w:w="1538"/>
        <w:gridCol w:w="1496"/>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5"/>
          <w:jc w:val="center"/>
        </w:trPr>
        <w:tc>
          <w:tcPr>
            <w:tcW w:w="7727" w:type="dxa"/>
            <w:gridSpan w:val="4"/>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1281C" w:rsidRPr="00C46035" w:rsidP="006740C3">
            <w:pPr>
              <w:bidi w:val="0"/>
              <w:rPr>
                <w:rFonts w:ascii="Arial Narrow" w:hAnsi="Arial Narrow" w:cs="Arial Narrow"/>
                <w:b/>
                <w:bCs/>
                <w:sz w:val="16"/>
                <w:szCs w:val="16"/>
              </w:rPr>
            </w:pPr>
            <w:r w:rsidRPr="00C46035">
              <w:rPr>
                <w:rFonts w:ascii="Arial Narrow" w:hAnsi="Arial Narrow" w:cs="Arial Narrow"/>
                <w:b/>
                <w:bCs/>
                <w:sz w:val="16"/>
                <w:szCs w:val="16"/>
              </w:rPr>
              <w:t>Vplyv legislatívnych zmien účinných od roku 2011 na výnos DPH (ESA 95, tis. eur)</w:t>
            </w:r>
          </w:p>
        </w:tc>
      </w:tr>
      <w:tr>
        <w:tblPrEx>
          <w:tblW w:w="9072" w:type="dxa"/>
          <w:jc w:val="center"/>
          <w:tblCellMar>
            <w:left w:w="70" w:type="dxa"/>
            <w:right w:w="70" w:type="dxa"/>
          </w:tblCellMar>
        </w:tblPrEx>
        <w:trPr>
          <w:trHeight w:val="270"/>
          <w:jc w:val="center"/>
        </w:trPr>
        <w:tc>
          <w:tcPr>
            <w:tcW w:w="3833"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C46035" w:rsidP="006740C3">
            <w:pPr>
              <w:bidi w:val="0"/>
              <w:rPr>
                <w:rFonts w:ascii="Arial Narrow" w:hAnsi="Arial Narrow" w:cs="Arial Narrow"/>
                <w:sz w:val="16"/>
                <w:szCs w:val="16"/>
              </w:rPr>
            </w:pPr>
            <w:r w:rsidRPr="00C46035">
              <w:rPr>
                <w:rFonts w:ascii="Arial Narrow" w:hAnsi="Arial Narrow" w:cs="Arial Narrow"/>
                <w:sz w:val="16"/>
                <w:szCs w:val="16"/>
              </w:rPr>
              <w:t> </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2011</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2012</w:t>
            </w:r>
          </w:p>
        </w:tc>
        <w:tc>
          <w:tcPr>
            <w:tcW w:w="127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2013</w:t>
            </w:r>
          </w:p>
        </w:tc>
      </w:tr>
      <w:tr>
        <w:tblPrEx>
          <w:tblW w:w="9072" w:type="dxa"/>
          <w:jc w:val="center"/>
          <w:tblCellMar>
            <w:left w:w="70" w:type="dxa"/>
            <w:right w:w="70" w:type="dxa"/>
          </w:tblCellMar>
        </w:tblPrEx>
        <w:trPr>
          <w:trHeight w:val="285"/>
          <w:jc w:val="center"/>
        </w:trPr>
        <w:tc>
          <w:tcPr>
            <w:tcW w:w="383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sz w:val="16"/>
                <w:szCs w:val="16"/>
              </w:rPr>
            </w:pPr>
            <w:r w:rsidRPr="00C46035">
              <w:rPr>
                <w:rFonts w:ascii="Arial Narrow" w:hAnsi="Arial Narrow" w:cs="Arial Narrow"/>
                <w:sz w:val="16"/>
                <w:szCs w:val="16"/>
              </w:rPr>
              <w:t>Zvýšenie základnej sadzby DPH z</w:t>
            </w:r>
            <w:r>
              <w:rPr>
                <w:rFonts w:ascii="Arial Narrow" w:hAnsi="Arial Narrow" w:cs="Arial Narrow"/>
                <w:sz w:val="16"/>
                <w:szCs w:val="16"/>
              </w:rPr>
              <w:t> </w:t>
            </w:r>
            <w:r w:rsidRPr="00C46035">
              <w:rPr>
                <w:rFonts w:ascii="Arial Narrow" w:hAnsi="Arial Narrow" w:cs="Arial Narrow"/>
                <w:sz w:val="16"/>
                <w:szCs w:val="16"/>
              </w:rPr>
              <w:t>19</w:t>
            </w:r>
            <w:r>
              <w:rPr>
                <w:rFonts w:ascii="Arial Narrow" w:hAnsi="Arial Narrow" w:cs="Arial Narrow"/>
                <w:sz w:val="16"/>
                <w:szCs w:val="16"/>
              </w:rPr>
              <w:t xml:space="preserve"> </w:t>
            </w:r>
            <w:r w:rsidRPr="00C46035">
              <w:rPr>
                <w:rFonts w:ascii="Arial Narrow" w:hAnsi="Arial Narrow" w:cs="Arial Narrow"/>
                <w:sz w:val="16"/>
                <w:szCs w:val="16"/>
              </w:rPr>
              <w:t>% na 20</w:t>
            </w:r>
            <w:r>
              <w:rPr>
                <w:rFonts w:ascii="Arial Narrow" w:hAnsi="Arial Narrow" w:cs="Arial Narrow"/>
                <w:sz w:val="16"/>
                <w:szCs w:val="16"/>
              </w:rPr>
              <w:t xml:space="preserve"> </w:t>
            </w:r>
            <w:r w:rsidRPr="00C46035">
              <w:rPr>
                <w:rFonts w:ascii="Arial Narrow" w:hAnsi="Arial Narrow" w:cs="Arial Narrow"/>
                <w:sz w:val="16"/>
                <w:szCs w:val="16"/>
              </w:rPr>
              <w:t>%</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183 101</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193 924</w:t>
            </w:r>
          </w:p>
        </w:tc>
        <w:tc>
          <w:tcPr>
            <w:tcW w:w="127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206 935</w:t>
            </w:r>
          </w:p>
        </w:tc>
      </w:tr>
      <w:tr>
        <w:tblPrEx>
          <w:tblW w:w="9072" w:type="dxa"/>
          <w:jc w:val="center"/>
          <w:tblCellMar>
            <w:left w:w="70" w:type="dxa"/>
            <w:right w:w="70" w:type="dxa"/>
          </w:tblCellMar>
        </w:tblPrEx>
        <w:trPr>
          <w:trHeight w:val="285"/>
          <w:jc w:val="center"/>
        </w:trPr>
        <w:tc>
          <w:tcPr>
            <w:tcW w:w="383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sz w:val="16"/>
                <w:szCs w:val="16"/>
              </w:rPr>
            </w:pPr>
            <w:r w:rsidRPr="00C46035">
              <w:rPr>
                <w:rFonts w:ascii="Arial Narrow" w:hAnsi="Arial Narrow" w:cs="Arial Narrow"/>
                <w:sz w:val="16"/>
                <w:szCs w:val="16"/>
              </w:rPr>
              <w:t>Zrušenie 6% sadzby na „predaj z dvora“</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2 366</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2 344</w:t>
            </w:r>
          </w:p>
        </w:tc>
        <w:tc>
          <w:tcPr>
            <w:tcW w:w="127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sz w:val="16"/>
                <w:szCs w:val="16"/>
              </w:rPr>
            </w:pPr>
            <w:r w:rsidRPr="00C46035">
              <w:rPr>
                <w:rFonts w:ascii="Arial Narrow" w:hAnsi="Arial Narrow" w:cs="Arial Narrow"/>
                <w:sz w:val="16"/>
                <w:szCs w:val="16"/>
              </w:rPr>
              <w:t>2 322</w:t>
            </w:r>
          </w:p>
        </w:tc>
      </w:tr>
      <w:tr>
        <w:tblPrEx>
          <w:tblW w:w="9072" w:type="dxa"/>
          <w:jc w:val="center"/>
          <w:tblCellMar>
            <w:left w:w="70" w:type="dxa"/>
            <w:right w:w="70" w:type="dxa"/>
          </w:tblCellMar>
        </w:tblPrEx>
        <w:trPr>
          <w:trHeight w:val="285"/>
          <w:jc w:val="center"/>
        </w:trPr>
        <w:tc>
          <w:tcPr>
            <w:tcW w:w="3833"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b/>
                <w:bCs/>
                <w:sz w:val="16"/>
                <w:szCs w:val="16"/>
              </w:rPr>
            </w:pPr>
            <w:r w:rsidRPr="00C46035">
              <w:rPr>
                <w:rFonts w:ascii="Arial Narrow" w:hAnsi="Arial Narrow" w:cs="Arial Narrow"/>
                <w:b/>
                <w:bCs/>
                <w:sz w:val="16"/>
                <w:szCs w:val="16"/>
              </w:rPr>
              <w:t>SPOLU</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185 467</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196 268</w:t>
            </w:r>
          </w:p>
        </w:tc>
        <w:tc>
          <w:tcPr>
            <w:tcW w:w="127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right"/>
              <w:rPr>
                <w:rFonts w:ascii="Arial Narrow" w:hAnsi="Arial Narrow" w:cs="Arial Narrow"/>
                <w:b/>
                <w:bCs/>
                <w:sz w:val="16"/>
                <w:szCs w:val="16"/>
              </w:rPr>
            </w:pPr>
            <w:r w:rsidRPr="00C46035">
              <w:rPr>
                <w:rFonts w:ascii="Arial Narrow" w:hAnsi="Arial Narrow" w:cs="Arial Narrow"/>
                <w:b/>
                <w:bCs/>
                <w:sz w:val="16"/>
                <w:szCs w:val="16"/>
              </w:rPr>
              <w:t>209 257</w:t>
            </w:r>
          </w:p>
        </w:tc>
      </w:tr>
    </w:tbl>
    <w:p w:rsidR="00A1281C" w:rsidP="00A1281C">
      <w:pPr>
        <w:bidi w:val="0"/>
        <w:jc w:val="both"/>
        <w:rPr>
          <w:rFonts w:ascii="Arial Narrow" w:hAnsi="Arial Narrow" w:cs="Arial Narrow"/>
          <w:sz w:val="22"/>
          <w:szCs w:val="22"/>
        </w:rPr>
      </w:pPr>
    </w:p>
    <w:p w:rsidR="00A1281C" w:rsidRPr="000A1B77"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Od 1. 3. 2011 sa predpokladá </w:t>
      </w:r>
      <w:r w:rsidRPr="000A1B77">
        <w:rPr>
          <w:rFonts w:ascii="Arial Narrow" w:hAnsi="Arial Narrow" w:cs="Arial Narrow"/>
          <w:sz w:val="22"/>
          <w:szCs w:val="22"/>
        </w:rPr>
        <w:t>zvýšeni</w:t>
      </w:r>
      <w:r>
        <w:rPr>
          <w:rFonts w:ascii="Arial Narrow" w:hAnsi="Arial Narrow" w:cs="Arial Narrow"/>
          <w:sz w:val="22"/>
          <w:szCs w:val="22"/>
        </w:rPr>
        <w:t>e</w:t>
      </w:r>
      <w:r w:rsidRPr="000A1B77">
        <w:rPr>
          <w:rFonts w:ascii="Arial Narrow" w:hAnsi="Arial Narrow" w:cs="Arial Narrow"/>
          <w:sz w:val="22"/>
          <w:szCs w:val="22"/>
        </w:rPr>
        <w:t xml:space="preserve"> sadzby </w:t>
      </w:r>
      <w:r w:rsidRPr="000A1B77">
        <w:rPr>
          <w:rFonts w:ascii="Arial Narrow" w:hAnsi="Arial Narrow" w:cs="Arial Narrow"/>
          <w:b/>
          <w:bCs/>
          <w:sz w:val="22"/>
          <w:szCs w:val="22"/>
        </w:rPr>
        <w:t>spotrebnej dane na pivo</w:t>
      </w:r>
      <w:r w:rsidRPr="000A1B77">
        <w:rPr>
          <w:rFonts w:ascii="Arial Narrow" w:hAnsi="Arial Narrow" w:cs="Arial Narrow"/>
          <w:sz w:val="22"/>
          <w:szCs w:val="22"/>
        </w:rPr>
        <w:t xml:space="preserve"> z 1,65 na 2,45 </w:t>
      </w:r>
      <w:r>
        <w:rPr>
          <w:rFonts w:ascii="Arial Narrow" w:hAnsi="Arial Narrow" w:cs="Arial Narrow"/>
          <w:sz w:val="22"/>
          <w:szCs w:val="22"/>
        </w:rPr>
        <w:t>eur</w:t>
      </w:r>
      <w:r w:rsidRPr="000A1B77">
        <w:rPr>
          <w:rFonts w:ascii="Arial Narrow" w:hAnsi="Arial Narrow" w:cs="Arial Narrow"/>
          <w:sz w:val="22"/>
          <w:szCs w:val="22"/>
        </w:rPr>
        <w:t>/plató/hl. Pozitívny vplyv na výnos dane v rok</w:t>
      </w:r>
      <w:r>
        <w:rPr>
          <w:rFonts w:ascii="Arial Narrow" w:hAnsi="Arial Narrow" w:cs="Arial Narrow"/>
          <w:sz w:val="22"/>
          <w:szCs w:val="22"/>
        </w:rPr>
        <w:t>u</w:t>
      </w:r>
      <w:r w:rsidRPr="000A1B77">
        <w:rPr>
          <w:rFonts w:ascii="Arial Narrow" w:hAnsi="Arial Narrow" w:cs="Arial Narrow"/>
          <w:sz w:val="22"/>
          <w:szCs w:val="22"/>
        </w:rPr>
        <w:t xml:space="preserve"> 2011</w:t>
      </w:r>
      <w:r>
        <w:rPr>
          <w:rFonts w:ascii="Arial Narrow" w:hAnsi="Arial Narrow" w:cs="Arial Narrow"/>
          <w:sz w:val="22"/>
          <w:szCs w:val="22"/>
        </w:rPr>
        <w:t xml:space="preserve"> </w:t>
      </w:r>
      <w:r w:rsidRPr="000A1B77">
        <w:rPr>
          <w:rFonts w:ascii="Arial Narrow" w:hAnsi="Arial Narrow" w:cs="Arial Narrow"/>
          <w:sz w:val="22"/>
          <w:szCs w:val="22"/>
        </w:rPr>
        <w:t>sa odhaduje na 14,9</w:t>
      </w:r>
      <w:r>
        <w:rPr>
          <w:rFonts w:ascii="Arial Narrow" w:hAnsi="Arial Narrow" w:cs="Arial Narrow"/>
          <w:sz w:val="22"/>
          <w:szCs w:val="22"/>
        </w:rPr>
        <w:t xml:space="preserve"> </w:t>
      </w:r>
      <w:r w:rsidRPr="000A1B77">
        <w:rPr>
          <w:rFonts w:ascii="Arial Narrow" w:hAnsi="Arial Narrow" w:cs="Arial Narrow"/>
          <w:sz w:val="22"/>
          <w:szCs w:val="22"/>
        </w:rPr>
        <w:t>mil. eur.</w:t>
      </w:r>
    </w:p>
    <w:p w:rsidR="00A1281C" w:rsidRPr="000A1B77"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0A1B77">
        <w:rPr>
          <w:rFonts w:ascii="Arial Narrow" w:hAnsi="Arial Narrow" w:cs="Arial Narrow"/>
          <w:sz w:val="22"/>
          <w:szCs w:val="22"/>
        </w:rPr>
        <w:t xml:space="preserve"> </w:t>
      </w:r>
      <w:r w:rsidRPr="000A1B77">
        <w:rPr>
          <w:rFonts w:ascii="Arial Narrow" w:hAnsi="Arial Narrow" w:cs="Arial Narrow"/>
          <w:b/>
          <w:bCs/>
          <w:sz w:val="22"/>
          <w:szCs w:val="22"/>
        </w:rPr>
        <w:t>Spotrebná daň z tabakových výrobkov</w:t>
      </w:r>
      <w:r w:rsidRPr="000A1B77">
        <w:rPr>
          <w:rFonts w:ascii="Arial Narrow" w:hAnsi="Arial Narrow" w:cs="Arial Narrow"/>
          <w:sz w:val="22"/>
          <w:szCs w:val="22"/>
        </w:rPr>
        <w:t xml:space="preserve"> sa zvýši v dvoch krokoch: k 1.</w:t>
      </w:r>
      <w:r>
        <w:rPr>
          <w:rFonts w:ascii="Arial Narrow" w:hAnsi="Arial Narrow" w:cs="Arial Narrow"/>
          <w:sz w:val="22"/>
          <w:szCs w:val="22"/>
        </w:rPr>
        <w:t xml:space="preserve"> </w:t>
      </w:r>
      <w:r w:rsidRPr="000A1B77">
        <w:rPr>
          <w:rFonts w:ascii="Arial Narrow" w:hAnsi="Arial Narrow" w:cs="Arial Narrow"/>
          <w:sz w:val="22"/>
          <w:szCs w:val="22"/>
        </w:rPr>
        <w:t>2.</w:t>
      </w:r>
      <w:r>
        <w:rPr>
          <w:rFonts w:ascii="Arial Narrow" w:hAnsi="Arial Narrow" w:cs="Arial Narrow"/>
          <w:sz w:val="22"/>
          <w:szCs w:val="22"/>
        </w:rPr>
        <w:t xml:space="preserve"> </w:t>
      </w:r>
      <w:r w:rsidRPr="000A1B77">
        <w:rPr>
          <w:rFonts w:ascii="Arial Narrow" w:hAnsi="Arial Narrow" w:cs="Arial Narrow"/>
          <w:sz w:val="22"/>
          <w:szCs w:val="22"/>
        </w:rPr>
        <w:t>2011 a 1.</w:t>
      </w:r>
      <w:r>
        <w:rPr>
          <w:rFonts w:ascii="Arial Narrow" w:hAnsi="Arial Narrow" w:cs="Arial Narrow"/>
          <w:sz w:val="22"/>
          <w:szCs w:val="22"/>
        </w:rPr>
        <w:t xml:space="preserve"> 3</w:t>
      </w:r>
      <w:r w:rsidRPr="000A1B77">
        <w:rPr>
          <w:rFonts w:ascii="Arial Narrow" w:hAnsi="Arial Narrow" w:cs="Arial Narrow"/>
          <w:sz w:val="22"/>
          <w:szCs w:val="22"/>
        </w:rPr>
        <w:t>.</w:t>
      </w:r>
      <w:r>
        <w:rPr>
          <w:rFonts w:ascii="Arial Narrow" w:hAnsi="Arial Narrow" w:cs="Arial Narrow"/>
          <w:sz w:val="22"/>
          <w:szCs w:val="22"/>
        </w:rPr>
        <w:t xml:space="preserve"> </w:t>
      </w:r>
      <w:r w:rsidRPr="000A1B77">
        <w:rPr>
          <w:rFonts w:ascii="Arial Narrow" w:hAnsi="Arial Narrow" w:cs="Arial Narrow"/>
          <w:sz w:val="22"/>
          <w:szCs w:val="22"/>
        </w:rPr>
        <w:t>2013 tak, aby Slovensko spĺňalo požiadavky príslušnej európskej legislatívy (min. sadzba spotrebnej dane</w:t>
      </w:r>
      <w:r>
        <w:rPr>
          <w:rFonts w:ascii="Arial Narrow" w:hAnsi="Arial Narrow" w:cs="Arial Narrow"/>
          <w:sz w:val="22"/>
          <w:szCs w:val="22"/>
        </w:rPr>
        <w:t xml:space="preserve"> na cigarety</w:t>
      </w:r>
      <w:r w:rsidRPr="000A1B77">
        <w:rPr>
          <w:rFonts w:ascii="Arial Narrow" w:hAnsi="Arial Narrow" w:cs="Arial Narrow"/>
          <w:sz w:val="22"/>
          <w:szCs w:val="22"/>
        </w:rPr>
        <w:t xml:space="preserve"> na úrovni 90 </w:t>
      </w:r>
      <w:r>
        <w:rPr>
          <w:rFonts w:ascii="Arial Narrow" w:hAnsi="Arial Narrow" w:cs="Arial Narrow"/>
          <w:sz w:val="22"/>
          <w:szCs w:val="22"/>
        </w:rPr>
        <w:t>eur</w:t>
      </w:r>
      <w:r w:rsidRPr="000A1B77">
        <w:rPr>
          <w:rFonts w:ascii="Arial Narrow" w:hAnsi="Arial Narrow" w:cs="Arial Narrow"/>
          <w:sz w:val="22"/>
          <w:szCs w:val="22"/>
        </w:rPr>
        <w:t xml:space="preserve">/1000 ks, celková výška spotrebnej dane </w:t>
      </w:r>
      <w:r>
        <w:rPr>
          <w:rFonts w:ascii="Arial Narrow" w:hAnsi="Arial Narrow" w:cs="Arial Narrow"/>
          <w:sz w:val="22"/>
          <w:szCs w:val="22"/>
        </w:rPr>
        <w:t xml:space="preserve">na cigarety </w:t>
      </w:r>
      <w:r w:rsidRPr="000A1B77">
        <w:rPr>
          <w:rFonts w:ascii="Arial Narrow" w:hAnsi="Arial Narrow" w:cs="Arial Narrow"/>
          <w:sz w:val="22"/>
          <w:szCs w:val="22"/>
        </w:rPr>
        <w:t>na úrovni min. 60</w:t>
      </w:r>
      <w:r>
        <w:rPr>
          <w:rFonts w:ascii="Arial Narrow" w:hAnsi="Arial Narrow" w:cs="Arial Narrow"/>
          <w:sz w:val="22"/>
          <w:szCs w:val="22"/>
        </w:rPr>
        <w:t xml:space="preserve"> </w:t>
      </w:r>
      <w:r w:rsidRPr="00D5612A">
        <w:rPr>
          <w:rFonts w:ascii="Arial Narrow" w:hAnsi="Arial Narrow" w:cs="Arial Narrow"/>
          <w:sz w:val="22"/>
          <w:szCs w:val="22"/>
        </w:rPr>
        <w:t>%</w:t>
      </w:r>
      <w:r w:rsidRPr="000A1B77">
        <w:rPr>
          <w:rFonts w:ascii="Arial Narrow" w:hAnsi="Arial Narrow" w:cs="Arial Narrow"/>
          <w:sz w:val="22"/>
          <w:szCs w:val="22"/>
        </w:rPr>
        <w:t xml:space="preserve"> váženej priemernej maloobchodnej ceny). Percentuálna časť spotrebnej dane sa zníži z 24 na 23</w:t>
      </w:r>
      <w:r>
        <w:rPr>
          <w:rFonts w:ascii="Arial Narrow" w:hAnsi="Arial Narrow" w:cs="Arial Narrow"/>
          <w:sz w:val="22"/>
          <w:szCs w:val="22"/>
        </w:rPr>
        <w:t xml:space="preserve"> </w:t>
      </w:r>
      <w:r w:rsidRPr="00D5612A">
        <w:rPr>
          <w:rFonts w:ascii="Arial Narrow" w:hAnsi="Arial Narrow" w:cs="Arial Narrow"/>
          <w:sz w:val="22"/>
          <w:szCs w:val="22"/>
        </w:rPr>
        <w:t>%</w:t>
      </w:r>
      <w:r w:rsidRPr="000A1B77">
        <w:rPr>
          <w:rFonts w:ascii="Arial Narrow" w:hAnsi="Arial Narrow" w:cs="Arial Narrow"/>
          <w:sz w:val="22"/>
          <w:szCs w:val="22"/>
        </w:rPr>
        <w:t xml:space="preserve"> konečnej maloobchodnej ceny, pričom špecifická časť sa zvýši na 55,70 eur/1000 ks v r</w:t>
      </w:r>
      <w:r>
        <w:rPr>
          <w:rFonts w:ascii="Arial Narrow" w:hAnsi="Arial Narrow" w:cs="Arial Narrow"/>
          <w:sz w:val="22"/>
          <w:szCs w:val="22"/>
        </w:rPr>
        <w:t>oku</w:t>
      </w:r>
      <w:r w:rsidRPr="000A1B77">
        <w:rPr>
          <w:rFonts w:ascii="Arial Narrow" w:hAnsi="Arial Narrow" w:cs="Arial Narrow"/>
          <w:sz w:val="22"/>
          <w:szCs w:val="22"/>
        </w:rPr>
        <w:t xml:space="preserve"> 2011 a 59 eur/1000 ks v r</w:t>
      </w:r>
      <w:r>
        <w:rPr>
          <w:rFonts w:ascii="Arial Narrow" w:hAnsi="Arial Narrow" w:cs="Arial Narrow"/>
          <w:sz w:val="22"/>
          <w:szCs w:val="22"/>
        </w:rPr>
        <w:t>oku</w:t>
      </w:r>
      <w:r w:rsidRPr="000A1B77">
        <w:rPr>
          <w:rFonts w:ascii="Arial Narrow" w:hAnsi="Arial Narrow" w:cs="Arial Narrow"/>
          <w:sz w:val="22"/>
          <w:szCs w:val="22"/>
        </w:rPr>
        <w:t xml:space="preserve"> 2013. </w:t>
      </w:r>
      <w:r>
        <w:rPr>
          <w:rFonts w:ascii="Arial Narrow" w:hAnsi="Arial Narrow" w:cs="Arial Narrow"/>
          <w:sz w:val="22"/>
          <w:szCs w:val="22"/>
        </w:rPr>
        <w:t xml:space="preserve">Minimálna sadzba dane na cigarety sa predpokladá vo výške 85 eur/1000 ks v roku 2011 a 90 eur/1000 ks v roku 2013. </w:t>
      </w:r>
      <w:r w:rsidRPr="000A1B77">
        <w:rPr>
          <w:rFonts w:ascii="Arial Narrow" w:hAnsi="Arial Narrow" w:cs="Arial Narrow"/>
          <w:sz w:val="22"/>
          <w:szCs w:val="22"/>
        </w:rPr>
        <w:t>Sadzba spotrebnej dane na tabak, cigary a cigarky sa bude zvyšovať tempom rastu minimálnej sadzby dane na cigarety.</w:t>
      </w:r>
      <w:r>
        <w:rPr>
          <w:rFonts w:ascii="Arial Narrow" w:hAnsi="Arial Narrow" w:cs="Arial Narrow"/>
          <w:sz w:val="22"/>
          <w:szCs w:val="22"/>
        </w:rPr>
        <w:t xml:space="preserve"> </w:t>
      </w:r>
      <w:r w:rsidRPr="000A1B77">
        <w:rPr>
          <w:rFonts w:ascii="Arial Narrow" w:hAnsi="Arial Narrow" w:cs="Arial Narrow"/>
          <w:sz w:val="22"/>
          <w:szCs w:val="22"/>
        </w:rPr>
        <w:t xml:space="preserve">Na výnos dane bude mať vplyv </w:t>
      </w:r>
      <w:r>
        <w:rPr>
          <w:rFonts w:ascii="Arial Narrow" w:hAnsi="Arial Narrow" w:cs="Arial Narrow"/>
          <w:sz w:val="22"/>
          <w:szCs w:val="22"/>
        </w:rPr>
        <w:t xml:space="preserve">aj </w:t>
      </w:r>
      <w:r w:rsidRPr="000A1B77">
        <w:rPr>
          <w:rFonts w:ascii="Arial Narrow" w:hAnsi="Arial Narrow" w:cs="Arial Narrow"/>
          <w:sz w:val="22"/>
          <w:szCs w:val="22"/>
        </w:rPr>
        <w:t>predzásobeni</w:t>
      </w:r>
      <w:r>
        <w:rPr>
          <w:rFonts w:ascii="Arial Narrow" w:hAnsi="Arial Narrow" w:cs="Arial Narrow"/>
          <w:sz w:val="22"/>
          <w:szCs w:val="22"/>
        </w:rPr>
        <w:t>e</w:t>
      </w:r>
      <w:r w:rsidRPr="000A1B77">
        <w:rPr>
          <w:rFonts w:ascii="Arial Narrow" w:hAnsi="Arial Narrow" w:cs="Arial Narrow"/>
          <w:sz w:val="22"/>
          <w:szCs w:val="22"/>
        </w:rPr>
        <w:t>, ktor</w:t>
      </w:r>
      <w:r>
        <w:rPr>
          <w:rFonts w:ascii="Arial Narrow" w:hAnsi="Arial Narrow" w:cs="Arial Narrow"/>
          <w:sz w:val="22"/>
          <w:szCs w:val="22"/>
        </w:rPr>
        <w:t>é</w:t>
      </w:r>
      <w:r w:rsidRPr="000A1B77">
        <w:rPr>
          <w:rFonts w:ascii="Arial Narrow" w:hAnsi="Arial Narrow" w:cs="Arial Narrow"/>
          <w:sz w:val="22"/>
          <w:szCs w:val="22"/>
        </w:rPr>
        <w:t xml:space="preserve"> je legislatívne upraven</w:t>
      </w:r>
      <w:r>
        <w:rPr>
          <w:rFonts w:ascii="Arial Narrow" w:hAnsi="Arial Narrow" w:cs="Arial Narrow"/>
          <w:sz w:val="22"/>
          <w:szCs w:val="22"/>
        </w:rPr>
        <w:t>é</w:t>
      </w:r>
      <w:r w:rsidRPr="000A1B77">
        <w:rPr>
          <w:rFonts w:ascii="Arial Narrow" w:hAnsi="Arial Narrow" w:cs="Arial Narrow"/>
          <w:sz w:val="22"/>
          <w:szCs w:val="22"/>
        </w:rPr>
        <w:t xml:space="preserve"> na dobu dvoch mesiacov. Uvedené opatrenia</w:t>
      </w:r>
      <w:r>
        <w:rPr>
          <w:rFonts w:ascii="Arial Narrow" w:hAnsi="Arial Narrow" w:cs="Arial Narrow"/>
          <w:sz w:val="22"/>
          <w:szCs w:val="22"/>
        </w:rPr>
        <w:t xml:space="preserve"> budú</w:t>
      </w:r>
      <w:r w:rsidRPr="000A1B77">
        <w:rPr>
          <w:rFonts w:ascii="Arial Narrow" w:hAnsi="Arial Narrow" w:cs="Arial Narrow"/>
          <w:sz w:val="22"/>
          <w:szCs w:val="22"/>
        </w:rPr>
        <w:t xml:space="preserve"> ma</w:t>
      </w:r>
      <w:r>
        <w:rPr>
          <w:rFonts w:ascii="Arial Narrow" w:hAnsi="Arial Narrow" w:cs="Arial Narrow"/>
          <w:sz w:val="22"/>
          <w:szCs w:val="22"/>
        </w:rPr>
        <w:t xml:space="preserve">ť pozitívny vplyv na výnos dane </w:t>
      </w:r>
      <w:r w:rsidRPr="000A1B77">
        <w:rPr>
          <w:rFonts w:ascii="Arial Narrow" w:hAnsi="Arial Narrow" w:cs="Arial Narrow"/>
          <w:sz w:val="22"/>
          <w:szCs w:val="22"/>
        </w:rPr>
        <w:t>vo výške 15,9</w:t>
      </w:r>
      <w:r>
        <w:rPr>
          <w:rFonts w:ascii="Arial Narrow" w:hAnsi="Arial Narrow" w:cs="Arial Narrow"/>
          <w:sz w:val="22"/>
          <w:szCs w:val="22"/>
        </w:rPr>
        <w:t xml:space="preserve"> </w:t>
      </w:r>
      <w:r w:rsidRPr="000A1B77">
        <w:rPr>
          <w:rFonts w:ascii="Arial Narrow" w:hAnsi="Arial Narrow" w:cs="Arial Narrow"/>
          <w:sz w:val="22"/>
          <w:szCs w:val="22"/>
        </w:rPr>
        <w:t xml:space="preserve">mil. </w:t>
      </w:r>
      <w:r>
        <w:rPr>
          <w:rFonts w:ascii="Arial Narrow" w:hAnsi="Arial Narrow" w:cs="Arial Narrow"/>
          <w:sz w:val="22"/>
          <w:szCs w:val="22"/>
        </w:rPr>
        <w:t>eur</w:t>
      </w:r>
      <w:r w:rsidRPr="000A1B77">
        <w:rPr>
          <w:rFonts w:ascii="Arial Narrow" w:hAnsi="Arial Narrow" w:cs="Arial Narrow"/>
          <w:sz w:val="22"/>
          <w:szCs w:val="22"/>
        </w:rPr>
        <w:t xml:space="preserve"> v rok</w:t>
      </w:r>
      <w:r>
        <w:rPr>
          <w:rFonts w:ascii="Arial Narrow" w:hAnsi="Arial Narrow" w:cs="Arial Narrow"/>
          <w:sz w:val="22"/>
          <w:szCs w:val="22"/>
        </w:rPr>
        <w:t>u 2011.</w:t>
      </w:r>
    </w:p>
    <w:p w:rsidR="00A1281C" w:rsidRPr="000A1B77"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0A1B77">
        <w:rPr>
          <w:rFonts w:ascii="Arial Narrow" w:hAnsi="Arial Narrow" w:cs="Arial Narrow"/>
          <w:sz w:val="22"/>
          <w:szCs w:val="22"/>
        </w:rPr>
        <w:t xml:space="preserve">Pri </w:t>
      </w:r>
      <w:r w:rsidRPr="000A1B77">
        <w:rPr>
          <w:rFonts w:ascii="Arial Narrow" w:hAnsi="Arial Narrow" w:cs="Arial Narrow"/>
          <w:b/>
          <w:bCs/>
          <w:sz w:val="22"/>
          <w:szCs w:val="22"/>
        </w:rPr>
        <w:t xml:space="preserve">spotrebnej </w:t>
      </w:r>
      <w:r w:rsidRPr="00304534">
        <w:rPr>
          <w:rFonts w:ascii="Arial Narrow" w:hAnsi="Arial Narrow" w:cs="Arial Narrow"/>
          <w:b/>
          <w:bCs/>
          <w:sz w:val="22"/>
          <w:szCs w:val="22"/>
        </w:rPr>
        <w:t>dani z minerálnych olejov</w:t>
      </w:r>
      <w:r w:rsidRPr="00304534">
        <w:rPr>
          <w:rFonts w:ascii="Arial Narrow" w:hAnsi="Arial Narrow" w:cs="Arial Narrow"/>
          <w:sz w:val="22"/>
          <w:szCs w:val="22"/>
        </w:rPr>
        <w:t xml:space="preserve"> došlo k 1.</w:t>
      </w:r>
      <w:r>
        <w:rPr>
          <w:rFonts w:ascii="Arial Narrow" w:hAnsi="Arial Narrow" w:cs="Arial Narrow"/>
          <w:sz w:val="22"/>
          <w:szCs w:val="22"/>
        </w:rPr>
        <w:t xml:space="preserve"> </w:t>
      </w:r>
      <w:r w:rsidRPr="00304534">
        <w:rPr>
          <w:rFonts w:ascii="Arial Narrow" w:hAnsi="Arial Narrow" w:cs="Arial Narrow"/>
          <w:sz w:val="22"/>
          <w:szCs w:val="22"/>
        </w:rPr>
        <w:t>2.</w:t>
      </w:r>
      <w:r>
        <w:rPr>
          <w:rFonts w:ascii="Arial Narrow" w:hAnsi="Arial Narrow" w:cs="Arial Narrow"/>
          <w:sz w:val="22"/>
          <w:szCs w:val="22"/>
        </w:rPr>
        <w:t xml:space="preserve"> </w:t>
      </w:r>
      <w:r w:rsidRPr="00304534">
        <w:rPr>
          <w:rFonts w:ascii="Arial Narrow" w:hAnsi="Arial Narrow" w:cs="Arial Narrow"/>
          <w:sz w:val="22"/>
          <w:szCs w:val="22"/>
        </w:rPr>
        <w:t xml:space="preserve">2010 k zníženiu sadzby na naftu zo 481,31 eur/1000 l na 368 eur/1000 l. Zníženie spotrebnej dane na naftu </w:t>
      </w:r>
      <w:r>
        <w:rPr>
          <w:rFonts w:ascii="Arial Narrow" w:hAnsi="Arial Narrow" w:cs="Arial Narrow"/>
          <w:sz w:val="22"/>
          <w:szCs w:val="22"/>
        </w:rPr>
        <w:t xml:space="preserve">o 23,5 % </w:t>
      </w:r>
      <w:r w:rsidRPr="00304534">
        <w:rPr>
          <w:rFonts w:ascii="Arial Narrow" w:hAnsi="Arial Narrow" w:cs="Arial Narrow"/>
          <w:sz w:val="22"/>
          <w:szCs w:val="22"/>
        </w:rPr>
        <w:t>prispelo k nárastu jej spotreby vo výške približne 11</w:t>
      </w:r>
      <w:r>
        <w:rPr>
          <w:rFonts w:ascii="Arial Narrow" w:hAnsi="Arial Narrow" w:cs="Arial Narrow"/>
          <w:sz w:val="22"/>
          <w:szCs w:val="22"/>
        </w:rPr>
        <w:t xml:space="preserve"> </w:t>
      </w:r>
      <w:r w:rsidRPr="00304534">
        <w:rPr>
          <w:rFonts w:ascii="Arial Narrow" w:hAnsi="Arial Narrow" w:cs="Arial Narrow"/>
          <w:sz w:val="22"/>
          <w:szCs w:val="22"/>
        </w:rPr>
        <w:t>%</w:t>
      </w:r>
      <w:r w:rsidRPr="00C94A21">
        <w:rPr>
          <w:rFonts w:ascii="Arial Narrow" w:hAnsi="Arial Narrow" w:cs="Arial Narrow"/>
          <w:sz w:val="22"/>
          <w:szCs w:val="22"/>
        </w:rPr>
        <w:t>,</w:t>
      </w:r>
      <w:r w:rsidRPr="00304534">
        <w:rPr>
          <w:rFonts w:ascii="Arial Narrow" w:hAnsi="Arial Narrow" w:cs="Arial Narrow"/>
          <w:sz w:val="22"/>
          <w:szCs w:val="22"/>
        </w:rPr>
        <w:t xml:space="preserve"> čo kompenz</w:t>
      </w:r>
      <w:r>
        <w:rPr>
          <w:rFonts w:ascii="Arial Narrow" w:hAnsi="Arial Narrow" w:cs="Arial Narrow"/>
          <w:sz w:val="22"/>
          <w:szCs w:val="22"/>
        </w:rPr>
        <w:t>uje</w:t>
      </w:r>
      <w:r w:rsidRPr="00304534">
        <w:rPr>
          <w:rFonts w:ascii="Arial Narrow" w:hAnsi="Arial Narrow" w:cs="Arial Narrow"/>
          <w:sz w:val="22"/>
          <w:szCs w:val="22"/>
        </w:rPr>
        <w:t xml:space="preserve"> výpad</w:t>
      </w:r>
      <w:r>
        <w:rPr>
          <w:rFonts w:ascii="Arial Narrow" w:hAnsi="Arial Narrow" w:cs="Arial Narrow"/>
          <w:sz w:val="22"/>
          <w:szCs w:val="22"/>
        </w:rPr>
        <w:t>ok</w:t>
      </w:r>
      <w:r w:rsidRPr="00304534">
        <w:rPr>
          <w:rFonts w:ascii="Arial Narrow" w:hAnsi="Arial Narrow" w:cs="Arial Narrow"/>
          <w:sz w:val="22"/>
          <w:szCs w:val="22"/>
        </w:rPr>
        <w:t xml:space="preserve"> výnosu dane spôsobeného zavedením nižšej sadzby</w:t>
      </w:r>
      <w:r>
        <w:rPr>
          <w:rFonts w:ascii="Arial Narrow" w:hAnsi="Arial Narrow" w:cs="Arial Narrow"/>
          <w:sz w:val="22"/>
          <w:szCs w:val="22"/>
        </w:rPr>
        <w:t xml:space="preserve"> mierne pod úrovňou 50 %</w:t>
      </w:r>
      <w:r w:rsidRPr="00304534">
        <w:rPr>
          <w:rFonts w:ascii="Arial Narrow" w:hAnsi="Arial Narrow" w:cs="Arial Narrow"/>
          <w:sz w:val="22"/>
          <w:szCs w:val="22"/>
        </w:rPr>
        <w:t>. Z uvedeného dôvodu sa aj napriek zvýšenej spotrebe odhaduje negatívny vplyv na výnos dane</w:t>
      </w:r>
      <w:r>
        <w:rPr>
          <w:rFonts w:ascii="Arial Narrow" w:hAnsi="Arial Narrow" w:cs="Arial Narrow"/>
          <w:sz w:val="22"/>
          <w:szCs w:val="22"/>
        </w:rPr>
        <w:t xml:space="preserve"> v roku 2010</w:t>
      </w:r>
      <w:r w:rsidRPr="000A1B77">
        <w:rPr>
          <w:rFonts w:ascii="Arial Narrow" w:hAnsi="Arial Narrow" w:cs="Arial Narrow"/>
          <w:sz w:val="22"/>
          <w:szCs w:val="22"/>
        </w:rPr>
        <w:t xml:space="preserve"> na úrovni 81,0 mil. eur, v roku 2011 na úrovni 89,8 mil. eur, v roku 2012 na úrovni 92,9 mil. eur a v roku 2013 na úrovni 96,7 mil. eur. </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V roku 2011 sa predpokladá prijatie týchto legislatívnych zmien:</w:t>
      </w:r>
    </w:p>
    <w:p w:rsidR="00A1281C" w:rsidP="00BE7180">
      <w:pPr>
        <w:numPr>
          <w:numId w:val="7"/>
        </w:numPr>
        <w:bidi w:val="0"/>
        <w:jc w:val="both"/>
        <w:rPr>
          <w:rFonts w:ascii="Arial Narrow" w:hAnsi="Arial Narrow" w:cs="Arial Narrow"/>
          <w:sz w:val="22"/>
          <w:szCs w:val="22"/>
        </w:rPr>
      </w:pPr>
      <w:r w:rsidRPr="0071685E">
        <w:rPr>
          <w:rFonts w:ascii="Arial Narrow" w:hAnsi="Arial Narrow" w:cs="Arial Narrow"/>
          <w:sz w:val="22"/>
          <w:szCs w:val="22"/>
        </w:rPr>
        <w:t>Od 1.</w:t>
      </w:r>
      <w:r>
        <w:rPr>
          <w:rFonts w:ascii="Arial Narrow" w:hAnsi="Arial Narrow" w:cs="Arial Narrow"/>
          <w:sz w:val="22"/>
          <w:szCs w:val="22"/>
        </w:rPr>
        <w:t xml:space="preserve"> </w:t>
      </w:r>
      <w:r w:rsidRPr="0071685E">
        <w:rPr>
          <w:rFonts w:ascii="Arial Narrow" w:hAnsi="Arial Narrow" w:cs="Arial Narrow"/>
          <w:sz w:val="22"/>
          <w:szCs w:val="22"/>
        </w:rPr>
        <w:t>1.</w:t>
      </w:r>
      <w:r>
        <w:rPr>
          <w:rFonts w:ascii="Arial Narrow" w:hAnsi="Arial Narrow" w:cs="Arial Narrow"/>
          <w:sz w:val="22"/>
          <w:szCs w:val="22"/>
        </w:rPr>
        <w:t xml:space="preserve"> </w:t>
      </w:r>
      <w:r w:rsidRPr="0071685E">
        <w:rPr>
          <w:rFonts w:ascii="Arial Narrow" w:hAnsi="Arial Narrow" w:cs="Arial Narrow"/>
          <w:sz w:val="22"/>
          <w:szCs w:val="22"/>
        </w:rPr>
        <w:t>2011 dôjde k zrušeniu zníženej sadzby dane na červenú naftu (palivo využívané predovšetkým v</w:t>
      </w:r>
      <w:r>
        <w:rPr>
          <w:rFonts w:ascii="Arial Narrow" w:hAnsi="Arial Narrow" w:cs="Arial Narrow"/>
          <w:sz w:val="22"/>
          <w:szCs w:val="22"/>
        </w:rPr>
        <w:t> </w:t>
      </w:r>
      <w:r w:rsidRPr="0071685E">
        <w:rPr>
          <w:rFonts w:ascii="Arial Narrow" w:hAnsi="Arial Narrow" w:cs="Arial Narrow"/>
          <w:sz w:val="22"/>
          <w:szCs w:val="22"/>
        </w:rPr>
        <w:t>poľnohospodárstve</w:t>
      </w:r>
      <w:r>
        <w:rPr>
          <w:rFonts w:ascii="Arial Narrow" w:hAnsi="Arial Narrow" w:cs="Arial Narrow"/>
          <w:sz w:val="22"/>
          <w:szCs w:val="22"/>
        </w:rPr>
        <w:t xml:space="preserve"> a na železniciach</w:t>
      </w:r>
      <w:r w:rsidRPr="0071685E">
        <w:rPr>
          <w:rFonts w:ascii="Arial Narrow" w:hAnsi="Arial Narrow" w:cs="Arial Narrow"/>
          <w:sz w:val="22"/>
          <w:szCs w:val="22"/>
        </w:rPr>
        <w:t>)</w:t>
      </w:r>
      <w:r>
        <w:rPr>
          <w:rFonts w:ascii="Arial Narrow" w:hAnsi="Arial Narrow" w:cs="Arial Narrow"/>
          <w:sz w:val="22"/>
          <w:szCs w:val="22"/>
        </w:rPr>
        <w:t xml:space="preserve"> z 225,71 na 368 eur/1000 l</w:t>
      </w:r>
      <w:r w:rsidRPr="0071685E">
        <w:rPr>
          <w:rFonts w:ascii="Arial Narrow" w:hAnsi="Arial Narrow" w:cs="Arial Narrow"/>
          <w:sz w:val="22"/>
          <w:szCs w:val="22"/>
        </w:rPr>
        <w:t>. Dodatočný výnos dane sa očakáva na úrovni 44 mil. eur každý rok v období 2011 až 2013.</w:t>
      </w:r>
    </w:p>
    <w:p w:rsidR="00A1281C" w:rsidP="00BE7180">
      <w:pPr>
        <w:numPr>
          <w:numId w:val="7"/>
        </w:numPr>
        <w:bidi w:val="0"/>
        <w:jc w:val="both"/>
        <w:rPr>
          <w:rFonts w:ascii="Arial Narrow" w:hAnsi="Arial Narrow" w:cs="Arial Narrow"/>
          <w:sz w:val="22"/>
          <w:szCs w:val="22"/>
        </w:rPr>
      </w:pPr>
      <w:r>
        <w:rPr>
          <w:rFonts w:ascii="Arial Narrow" w:hAnsi="Arial Narrow" w:cs="Arial Narrow"/>
          <w:sz w:val="22"/>
          <w:szCs w:val="22"/>
        </w:rPr>
        <w:t>Znovuzavedenie</w:t>
      </w:r>
      <w:r w:rsidRPr="0071685E">
        <w:rPr>
          <w:rFonts w:ascii="Arial Narrow" w:hAnsi="Arial Narrow" w:cs="Arial Narrow"/>
          <w:sz w:val="22"/>
          <w:szCs w:val="22"/>
        </w:rPr>
        <w:t xml:space="preserve"> sadzby spotrebnej dane na „skvapalnený ropný plyn“ (LPG) vo výške 182 eur/1000 kg. Výnos dane sa odhaduje každoročne na 5,1 mil. eur.</w:t>
      </w:r>
    </w:p>
    <w:p w:rsidR="00A1281C" w:rsidP="00BE7180">
      <w:pPr>
        <w:numPr>
          <w:numId w:val="7"/>
        </w:numPr>
        <w:bidi w:val="0"/>
        <w:jc w:val="both"/>
        <w:rPr>
          <w:rFonts w:ascii="Arial Narrow" w:hAnsi="Arial Narrow" w:cs="Arial Narrow"/>
          <w:sz w:val="22"/>
          <w:szCs w:val="22"/>
        </w:rPr>
      </w:pPr>
      <w:r w:rsidRPr="000A1B77">
        <w:rPr>
          <w:rFonts w:ascii="Arial Narrow" w:hAnsi="Arial Narrow" w:cs="Arial Narrow"/>
          <w:sz w:val="22"/>
          <w:szCs w:val="22"/>
        </w:rPr>
        <w:t xml:space="preserve">Od roku 2011 sa nebude </w:t>
      </w:r>
      <w:r w:rsidRPr="00AC6294">
        <w:rPr>
          <w:rFonts w:ascii="Arial Narrow" w:hAnsi="Arial Narrow" w:cs="Arial Narrow"/>
          <w:sz w:val="22"/>
          <w:szCs w:val="22"/>
        </w:rPr>
        <w:t>uplatňovať daňové zvýhodnenie pre biopalivá v zmesi s fosílnym palivom, pričom dôjde k zvýšeniu základnej sadzby o</w:t>
      </w:r>
      <w:r>
        <w:rPr>
          <w:rFonts w:ascii="Arial Narrow" w:hAnsi="Arial Narrow" w:cs="Arial Narrow"/>
          <w:sz w:val="22"/>
          <w:szCs w:val="22"/>
        </w:rPr>
        <w:t> </w:t>
      </w:r>
      <w:r w:rsidRPr="00AC6294">
        <w:rPr>
          <w:rFonts w:ascii="Arial Narrow" w:hAnsi="Arial Narrow" w:cs="Arial Narrow"/>
          <w:sz w:val="22"/>
          <w:szCs w:val="22"/>
        </w:rPr>
        <w:t>5</w:t>
      </w:r>
      <w:r>
        <w:rPr>
          <w:rFonts w:ascii="Arial Narrow" w:hAnsi="Arial Narrow" w:cs="Arial Narrow"/>
          <w:sz w:val="22"/>
          <w:szCs w:val="22"/>
        </w:rPr>
        <w:t xml:space="preserve"> </w:t>
      </w:r>
      <w:r w:rsidRPr="00AC6294">
        <w:rPr>
          <w:rFonts w:ascii="Arial Narrow" w:hAnsi="Arial Narrow" w:cs="Arial Narrow"/>
          <w:sz w:val="22"/>
          <w:szCs w:val="22"/>
        </w:rPr>
        <w:t>% pre naftu a o</w:t>
      </w:r>
      <w:r>
        <w:rPr>
          <w:rFonts w:ascii="Arial Narrow" w:hAnsi="Arial Narrow" w:cs="Arial Narrow"/>
          <w:sz w:val="22"/>
          <w:szCs w:val="22"/>
        </w:rPr>
        <w:t> </w:t>
      </w:r>
      <w:r w:rsidRPr="00AC6294">
        <w:rPr>
          <w:rFonts w:ascii="Arial Narrow" w:hAnsi="Arial Narrow" w:cs="Arial Narrow"/>
          <w:sz w:val="22"/>
          <w:szCs w:val="22"/>
        </w:rPr>
        <w:t>7</w:t>
      </w:r>
      <w:r>
        <w:rPr>
          <w:rFonts w:ascii="Arial Narrow" w:hAnsi="Arial Narrow" w:cs="Arial Narrow"/>
          <w:sz w:val="22"/>
          <w:szCs w:val="22"/>
        </w:rPr>
        <w:t xml:space="preserve"> </w:t>
      </w:r>
      <w:r w:rsidRPr="00AC6294">
        <w:rPr>
          <w:rFonts w:ascii="Arial Narrow" w:hAnsi="Arial Narrow" w:cs="Arial Narrow"/>
          <w:sz w:val="22"/>
          <w:szCs w:val="22"/>
        </w:rPr>
        <w:t>% pre benzíny pri</w:t>
      </w:r>
      <w:r>
        <w:rPr>
          <w:rFonts w:ascii="Arial Narrow" w:hAnsi="Arial Narrow" w:cs="Arial Narrow"/>
          <w:sz w:val="22"/>
          <w:szCs w:val="22"/>
        </w:rPr>
        <w:t xml:space="preserve"> nesplnení stanoveného podielu biopalív (nafta = 5 % biogénnej zložky; benzín = 3,1 % bioetanolovej zložky). </w:t>
      </w:r>
      <w:r w:rsidRPr="00D5612A">
        <w:rPr>
          <w:rFonts w:ascii="Arial Narrow" w:hAnsi="Arial Narrow" w:cs="Arial Narrow"/>
          <w:sz w:val="22"/>
          <w:szCs w:val="22"/>
          <w:lang w:val="pt-BR"/>
        </w:rPr>
        <w:t>Celkový vplyv na výnos dane s</w:t>
      </w:r>
      <w:r w:rsidRPr="000A1B77">
        <w:rPr>
          <w:rFonts w:ascii="Arial Narrow" w:hAnsi="Arial Narrow" w:cs="Arial Narrow"/>
          <w:sz w:val="22"/>
          <w:szCs w:val="22"/>
        </w:rPr>
        <w:t>a očakáva na úrovni 43</w:t>
      </w:r>
      <w:r>
        <w:rPr>
          <w:rFonts w:ascii="Arial Narrow" w:hAnsi="Arial Narrow" w:cs="Arial Narrow"/>
          <w:sz w:val="22"/>
          <w:szCs w:val="22"/>
        </w:rPr>
        <w:t>,</w:t>
      </w:r>
      <w:r w:rsidRPr="000A1B77">
        <w:rPr>
          <w:rFonts w:ascii="Arial Narrow" w:hAnsi="Arial Narrow" w:cs="Arial Narrow"/>
          <w:sz w:val="22"/>
          <w:szCs w:val="22"/>
        </w:rPr>
        <w:t>6</w:t>
      </w:r>
      <w:r>
        <w:rPr>
          <w:rFonts w:ascii="Arial Narrow" w:hAnsi="Arial Narrow" w:cs="Arial Narrow"/>
          <w:sz w:val="22"/>
          <w:szCs w:val="22"/>
        </w:rPr>
        <w:t xml:space="preserve"> </w:t>
      </w:r>
      <w:r w:rsidRPr="000A1B77">
        <w:rPr>
          <w:rFonts w:ascii="Arial Narrow" w:hAnsi="Arial Narrow" w:cs="Arial Narrow"/>
          <w:sz w:val="22"/>
          <w:szCs w:val="22"/>
        </w:rPr>
        <w:t>mil. eur v rok</w:t>
      </w:r>
      <w:r>
        <w:rPr>
          <w:rFonts w:ascii="Arial Narrow" w:hAnsi="Arial Narrow" w:cs="Arial Narrow"/>
          <w:sz w:val="22"/>
          <w:szCs w:val="22"/>
        </w:rPr>
        <w:t>u</w:t>
      </w:r>
      <w:r w:rsidRPr="000A1B77">
        <w:rPr>
          <w:rFonts w:ascii="Arial Narrow" w:hAnsi="Arial Narrow" w:cs="Arial Narrow"/>
          <w:sz w:val="22"/>
          <w:szCs w:val="22"/>
        </w:rPr>
        <w:t xml:space="preserve"> 2011</w:t>
      </w:r>
      <w:r>
        <w:rPr>
          <w:rFonts w:ascii="Arial Narrow" w:hAnsi="Arial Narrow" w:cs="Arial Narrow"/>
          <w:sz w:val="22"/>
          <w:szCs w:val="22"/>
        </w:rPr>
        <w:t>.</w:t>
      </w:r>
    </w:p>
    <w:p w:rsidR="00A1281C" w:rsidRPr="000A1B77" w:rsidP="00BE7180">
      <w:pPr>
        <w:numPr>
          <w:numId w:val="7"/>
        </w:numPr>
        <w:bidi w:val="0"/>
        <w:jc w:val="both"/>
        <w:rPr>
          <w:rFonts w:ascii="Arial Narrow" w:hAnsi="Arial Narrow" w:cs="Arial Narrow"/>
          <w:sz w:val="22"/>
          <w:szCs w:val="22"/>
        </w:rPr>
      </w:pPr>
      <w:r>
        <w:rPr>
          <w:rFonts w:ascii="Arial Narrow" w:hAnsi="Arial Narrow" w:cs="Arial Narrow"/>
          <w:sz w:val="22"/>
          <w:szCs w:val="22"/>
        </w:rPr>
        <w:t>Z</w:t>
      </w:r>
      <w:r w:rsidRPr="000A1B77">
        <w:rPr>
          <w:rFonts w:ascii="Arial Narrow" w:hAnsi="Arial Narrow" w:cs="Arial Narrow"/>
          <w:sz w:val="22"/>
          <w:szCs w:val="22"/>
        </w:rPr>
        <w:t>rušeni</w:t>
      </w:r>
      <w:r>
        <w:rPr>
          <w:rFonts w:ascii="Arial Narrow" w:hAnsi="Arial Narrow" w:cs="Arial Narrow"/>
          <w:sz w:val="22"/>
          <w:szCs w:val="22"/>
        </w:rPr>
        <w:t>e</w:t>
      </w:r>
      <w:r w:rsidRPr="000A1B77">
        <w:rPr>
          <w:rFonts w:ascii="Arial Narrow" w:hAnsi="Arial Narrow" w:cs="Arial Narrow"/>
          <w:sz w:val="22"/>
          <w:szCs w:val="22"/>
        </w:rPr>
        <w:t xml:space="preserve"> výnimky pre lode prepravujúce tovar na rieke Dunaj</w:t>
      </w:r>
      <w:r>
        <w:rPr>
          <w:rFonts w:ascii="Arial Narrow" w:hAnsi="Arial Narrow" w:cs="Arial Narrow"/>
          <w:sz w:val="22"/>
          <w:szCs w:val="22"/>
        </w:rPr>
        <w:t xml:space="preserve"> bude mať pozitívny vplyv na výnos dane </w:t>
      </w:r>
      <w:r w:rsidRPr="000A1B77">
        <w:rPr>
          <w:rFonts w:ascii="Arial Narrow" w:hAnsi="Arial Narrow" w:cs="Arial Narrow"/>
          <w:sz w:val="22"/>
          <w:szCs w:val="22"/>
        </w:rPr>
        <w:t>vo výške 3,1 mil. eur</w:t>
      </w:r>
      <w:r>
        <w:rPr>
          <w:rFonts w:ascii="Arial Narrow" w:hAnsi="Arial Narrow" w:cs="Arial Narrow"/>
          <w:sz w:val="22"/>
          <w:szCs w:val="22"/>
        </w:rPr>
        <w:t xml:space="preserve"> každoročne.</w:t>
      </w:r>
    </w:p>
    <w:p w:rsidR="00A1281C" w:rsidRPr="000A1B77" w:rsidP="00A1281C">
      <w:pPr>
        <w:bidi w:val="0"/>
        <w:ind w:firstLine="708"/>
        <w:jc w:val="both"/>
        <w:rPr>
          <w:rFonts w:ascii="Arial Narrow" w:hAnsi="Arial Narrow" w:cs="Arial Narrow"/>
          <w:sz w:val="22"/>
          <w:szCs w:val="22"/>
        </w:rPr>
      </w:pPr>
    </w:p>
    <w:p w:rsidR="00A1281C" w:rsidRPr="000A1B77" w:rsidP="00A1281C">
      <w:pPr>
        <w:bidi w:val="0"/>
        <w:ind w:firstLine="708"/>
        <w:jc w:val="both"/>
        <w:rPr>
          <w:rFonts w:ascii="Arial Narrow" w:hAnsi="Arial Narrow" w:cs="Arial Narrow"/>
          <w:sz w:val="22"/>
          <w:szCs w:val="22"/>
        </w:rPr>
      </w:pPr>
      <w:r w:rsidRPr="000A1B77">
        <w:rPr>
          <w:rFonts w:ascii="Arial Narrow" w:hAnsi="Arial Narrow" w:cs="Arial Narrow"/>
          <w:sz w:val="22"/>
          <w:szCs w:val="22"/>
        </w:rPr>
        <w:t>Od 1.</w:t>
      </w:r>
      <w:r>
        <w:rPr>
          <w:rFonts w:ascii="Arial Narrow" w:hAnsi="Arial Narrow" w:cs="Arial Narrow"/>
          <w:sz w:val="22"/>
          <w:szCs w:val="22"/>
        </w:rPr>
        <w:t xml:space="preserve"> </w:t>
      </w:r>
      <w:r w:rsidRPr="000A1B77">
        <w:rPr>
          <w:rFonts w:ascii="Arial Narrow" w:hAnsi="Arial Narrow" w:cs="Arial Narrow"/>
          <w:sz w:val="22"/>
          <w:szCs w:val="22"/>
        </w:rPr>
        <w:t>1.</w:t>
      </w:r>
      <w:r>
        <w:rPr>
          <w:rFonts w:ascii="Arial Narrow" w:hAnsi="Arial Narrow" w:cs="Arial Narrow"/>
          <w:sz w:val="22"/>
          <w:szCs w:val="22"/>
        </w:rPr>
        <w:t xml:space="preserve"> </w:t>
      </w:r>
      <w:r w:rsidRPr="000A1B77">
        <w:rPr>
          <w:rFonts w:ascii="Arial Narrow" w:hAnsi="Arial Narrow" w:cs="Arial Narrow"/>
          <w:sz w:val="22"/>
          <w:szCs w:val="22"/>
        </w:rPr>
        <w:t xml:space="preserve">2011 dôjde taktiež k zrušeniu oslobodenia od dane na </w:t>
      </w:r>
      <w:r w:rsidRPr="000A1B77">
        <w:rPr>
          <w:rFonts w:ascii="Arial Narrow" w:hAnsi="Arial Narrow" w:cs="Arial Narrow"/>
          <w:b/>
          <w:bCs/>
          <w:sz w:val="22"/>
          <w:szCs w:val="22"/>
        </w:rPr>
        <w:t>stlačený zemný plyn (CNG)</w:t>
      </w:r>
      <w:r w:rsidRPr="000A1B77">
        <w:rPr>
          <w:rFonts w:ascii="Arial Narrow" w:hAnsi="Arial Narrow" w:cs="Arial Narrow"/>
          <w:sz w:val="22"/>
          <w:szCs w:val="22"/>
        </w:rPr>
        <w:t xml:space="preserve"> a zavedeniu sadzby na úrovni 13,27 eur/1 MWh. Každoročný výnos v rokoch 2011 </w:t>
      </w:r>
      <w:r>
        <w:rPr>
          <w:rFonts w:ascii="Arial Narrow" w:hAnsi="Arial Narrow" w:cs="Arial Narrow"/>
          <w:sz w:val="22"/>
          <w:szCs w:val="22"/>
        </w:rPr>
        <w:t>až</w:t>
      </w:r>
      <w:r w:rsidRPr="000A1B77">
        <w:rPr>
          <w:rFonts w:ascii="Arial Narrow" w:hAnsi="Arial Narrow" w:cs="Arial Narrow"/>
          <w:sz w:val="22"/>
          <w:szCs w:val="22"/>
        </w:rPr>
        <w:t xml:space="preserve"> 2013 sa odhaduje vo výške 2,6 mil. eur. Od 1.</w:t>
      </w:r>
      <w:r>
        <w:rPr>
          <w:rFonts w:ascii="Arial Narrow" w:hAnsi="Arial Narrow" w:cs="Arial Narrow"/>
          <w:sz w:val="22"/>
          <w:szCs w:val="22"/>
        </w:rPr>
        <w:t xml:space="preserve"> </w:t>
      </w:r>
      <w:r w:rsidRPr="000A1B77">
        <w:rPr>
          <w:rFonts w:ascii="Arial Narrow" w:hAnsi="Arial Narrow" w:cs="Arial Narrow"/>
          <w:sz w:val="22"/>
          <w:szCs w:val="22"/>
        </w:rPr>
        <w:t>6.</w:t>
      </w:r>
      <w:r>
        <w:rPr>
          <w:rFonts w:ascii="Arial Narrow" w:hAnsi="Arial Narrow" w:cs="Arial Narrow"/>
          <w:sz w:val="22"/>
          <w:szCs w:val="22"/>
        </w:rPr>
        <w:t xml:space="preserve"> </w:t>
      </w:r>
      <w:r w:rsidRPr="000A1B77">
        <w:rPr>
          <w:rFonts w:ascii="Arial Narrow" w:hAnsi="Arial Narrow" w:cs="Arial Narrow"/>
          <w:sz w:val="22"/>
          <w:szCs w:val="22"/>
        </w:rPr>
        <w:t>2011 dôjde k zrušeniu oslobodenia zo spotrebnej dane na zemný plyn využívaný teplárňami a výhrevňami na výrobu tepla pre domácnosti. Uvedené opatrenie by malo mať pozitívny vplyv na výnos dane vo výške 4,2 mil.</w:t>
      </w:r>
      <w:r>
        <w:rPr>
          <w:rFonts w:ascii="Arial Narrow" w:hAnsi="Arial Narrow" w:cs="Arial Narrow"/>
          <w:sz w:val="22"/>
          <w:szCs w:val="22"/>
        </w:rPr>
        <w:t> eur v roku 2011</w:t>
      </w:r>
      <w:r w:rsidRPr="000A1B77">
        <w:rPr>
          <w:rFonts w:ascii="Arial Narrow" w:hAnsi="Arial Narrow" w:cs="Arial Narrow"/>
          <w:sz w:val="22"/>
          <w:szCs w:val="22"/>
        </w:rPr>
        <w:t xml:space="preserve"> a 8,5 mil. eur v rokoch 2012 a 2013.</w:t>
      </w:r>
    </w:p>
    <w:p w:rsidR="00A1281C" w:rsidRPr="000A1B77" w:rsidP="00A1281C">
      <w:pPr>
        <w:bidi w:val="0"/>
        <w:ind w:firstLine="708"/>
        <w:jc w:val="both"/>
        <w:rPr>
          <w:rFonts w:ascii="Arial Narrow" w:hAnsi="Arial Narrow" w:cs="Arial Narrow"/>
          <w:sz w:val="22"/>
          <w:szCs w:val="22"/>
        </w:rPr>
      </w:pPr>
    </w:p>
    <w:p w:rsidR="00A1281C" w:rsidRPr="000A1B77"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Od 1. 6. 2011 dôjde </w:t>
      </w:r>
      <w:r w:rsidRPr="000A1B77">
        <w:rPr>
          <w:rFonts w:ascii="Arial Narrow" w:hAnsi="Arial Narrow" w:cs="Arial Narrow"/>
          <w:sz w:val="22"/>
          <w:szCs w:val="22"/>
        </w:rPr>
        <w:t xml:space="preserve">k zrušeniu oslobodenia zo </w:t>
      </w:r>
      <w:r w:rsidRPr="000A1B77">
        <w:rPr>
          <w:rFonts w:ascii="Arial Narrow" w:hAnsi="Arial Narrow" w:cs="Arial Narrow"/>
          <w:b/>
          <w:bCs/>
          <w:sz w:val="22"/>
          <w:szCs w:val="22"/>
        </w:rPr>
        <w:t>spotrebnej dane na uhlie</w:t>
      </w:r>
      <w:r w:rsidRPr="000A1B77">
        <w:rPr>
          <w:rFonts w:ascii="Arial Narrow" w:hAnsi="Arial Narrow" w:cs="Arial Narrow"/>
          <w:sz w:val="22"/>
          <w:szCs w:val="22"/>
        </w:rPr>
        <w:t xml:space="preserve"> využívaného na výrobu tepla pre domácnosti</w:t>
      </w:r>
      <w:r>
        <w:rPr>
          <w:rFonts w:ascii="Arial Narrow" w:hAnsi="Arial Narrow" w:cs="Arial Narrow"/>
          <w:sz w:val="22"/>
          <w:szCs w:val="22"/>
        </w:rPr>
        <w:t xml:space="preserve"> (</w:t>
      </w:r>
      <w:r w:rsidRPr="000A1B77">
        <w:rPr>
          <w:rFonts w:ascii="Arial Narrow" w:hAnsi="Arial Narrow" w:cs="Arial Narrow"/>
          <w:sz w:val="22"/>
          <w:szCs w:val="22"/>
        </w:rPr>
        <w:t>pričom sa očakáva výnos dane vo výške 1,8 mil. eur v roku 2011 a 3,1 mil. eur v rokoch 2012 a</w:t>
      </w:r>
      <w:r>
        <w:rPr>
          <w:rFonts w:ascii="Arial Narrow" w:hAnsi="Arial Narrow" w:cs="Arial Narrow"/>
          <w:sz w:val="22"/>
          <w:szCs w:val="22"/>
        </w:rPr>
        <w:t> </w:t>
      </w:r>
      <w:r w:rsidRPr="000A1B77">
        <w:rPr>
          <w:rFonts w:ascii="Arial Narrow" w:hAnsi="Arial Narrow" w:cs="Arial Narrow"/>
          <w:sz w:val="22"/>
          <w:szCs w:val="22"/>
        </w:rPr>
        <w:t>2013</w:t>
      </w:r>
      <w:r>
        <w:rPr>
          <w:rFonts w:ascii="Arial Narrow" w:hAnsi="Arial Narrow" w:cs="Arial Narrow"/>
          <w:sz w:val="22"/>
          <w:szCs w:val="22"/>
        </w:rPr>
        <w:t>, rovnako ako v prípade zemného plynu)</w:t>
      </w:r>
      <w:r w:rsidRPr="000A1B77">
        <w:rPr>
          <w:rFonts w:ascii="Arial Narrow" w:hAnsi="Arial Narrow" w:cs="Arial Narrow"/>
          <w:sz w:val="22"/>
          <w:szCs w:val="22"/>
        </w:rPr>
        <w:t>.</w:t>
      </w:r>
    </w:p>
    <w:p w:rsidR="00A1281C" w:rsidP="00A1281C">
      <w:pPr>
        <w:bidi w:val="0"/>
        <w:ind w:firstLine="708"/>
        <w:jc w:val="both"/>
        <w:rPr>
          <w:rFonts w:ascii="Arial Narrow" w:hAnsi="Arial Narrow" w:cs="Arial Narrow"/>
          <w:sz w:val="22"/>
          <w:szCs w:val="22"/>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308"/>
        <w:gridCol w:w="1254"/>
        <w:gridCol w:w="1255"/>
        <w:gridCol w:w="133"/>
        <w:gridCol w:w="1122"/>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340"/>
          <w:jc w:val="center"/>
        </w:trPr>
        <w:tc>
          <w:tcPr>
            <w:tcW w:w="7950" w:type="dxa"/>
            <w:gridSpan w:val="4"/>
            <w:tcBorders>
              <w:top w:val="single" w:sz="4" w:space="0" w:color="auto"/>
              <w:left w:val="single" w:sz="8" w:space="0" w:color="auto"/>
              <w:bottom w:val="single" w:sz="8" w:space="0" w:color="auto"/>
              <w:right w:val="nil"/>
            </w:tcBorders>
            <w:shd w:val="clear" w:color="auto" w:fill="C0C0C0"/>
            <w:noWrap/>
            <w:textDirection w:val="lrTb"/>
            <w:vAlign w:val="center"/>
          </w:tcPr>
          <w:p w:rsidR="00A1281C" w:rsidRPr="00C46035" w:rsidP="006740C3">
            <w:pPr>
              <w:bidi w:val="0"/>
              <w:rPr>
                <w:rFonts w:ascii="Arial Narrow" w:hAnsi="Arial Narrow" w:cs="Arial Narrow"/>
                <w:b/>
                <w:bCs/>
                <w:sz w:val="16"/>
                <w:szCs w:val="16"/>
              </w:rPr>
            </w:pPr>
            <w:r w:rsidRPr="00C46035">
              <w:rPr>
                <w:rFonts w:ascii="Arial Narrow" w:hAnsi="Arial Narrow" w:cs="Arial Narrow"/>
                <w:b/>
                <w:bCs/>
                <w:sz w:val="16"/>
                <w:szCs w:val="16"/>
              </w:rPr>
              <w:t>Vplyv legislatívnych zmien účinných od roku 2011 na výnos spotrebných daní (ESA 95, mil. eur)</w:t>
            </w:r>
          </w:p>
        </w:tc>
        <w:tc>
          <w:tcPr>
            <w:tcW w:w="1122" w:type="dxa"/>
            <w:tcBorders>
              <w:top w:val="single" w:sz="4" w:space="0" w:color="auto"/>
              <w:left w:val="nil"/>
              <w:bottom w:val="single" w:sz="8" w:space="0" w:color="auto"/>
              <w:right w:val="single" w:sz="4" w:space="0" w:color="auto"/>
            </w:tcBorders>
            <w:shd w:val="clear" w:color="auto" w:fill="C0C0C0"/>
            <w:noWrap/>
            <w:textDirection w:val="lrTb"/>
            <w:vAlign w:val="center"/>
          </w:tcPr>
          <w:p w:rsidR="00A1281C" w:rsidRPr="00C46035" w:rsidP="006740C3">
            <w:pPr>
              <w:bidi w:val="0"/>
              <w:jc w:val="center"/>
              <w:rPr>
                <w:rFonts w:ascii="Arial Narrow" w:hAnsi="Arial Narrow" w:cs="Arial Narrow"/>
                <w:b/>
                <w:bCs/>
                <w:sz w:val="16"/>
                <w:szCs w:val="16"/>
              </w:rPr>
            </w:pPr>
          </w:p>
        </w:tc>
      </w:tr>
      <w:tr>
        <w:tblPrEx>
          <w:tblW w:w="9072" w:type="dxa"/>
          <w:jc w:val="center"/>
          <w:tblCellMar>
            <w:left w:w="70" w:type="dxa"/>
            <w:right w:w="70" w:type="dxa"/>
          </w:tblCellMar>
          <w:tblLook w:val="00A0"/>
        </w:tblPrEx>
        <w:trPr>
          <w:trHeight w:val="284"/>
          <w:jc w:val="center"/>
        </w:trPr>
        <w:tc>
          <w:tcPr>
            <w:tcW w:w="5308" w:type="dxa"/>
            <w:tcBorders>
              <w:top w:val="single" w:sz="8"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b/>
                <w:bCs/>
                <w:sz w:val="16"/>
                <w:szCs w:val="16"/>
              </w:rPr>
            </w:pPr>
            <w:r w:rsidRPr="00C46035">
              <w:rPr>
                <w:rFonts w:ascii="Arial Narrow" w:hAnsi="Arial Narrow" w:cs="Arial Narrow"/>
                <w:b/>
                <w:bCs/>
                <w:sz w:val="16"/>
                <w:szCs w:val="16"/>
              </w:rPr>
              <w:t>Spotrebná daň</w:t>
            </w:r>
          </w:p>
        </w:tc>
        <w:tc>
          <w:tcPr>
            <w:tcW w:w="1254" w:type="dxa"/>
            <w:tcBorders>
              <w:top w:val="single" w:sz="8"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sz w:val="16"/>
                <w:szCs w:val="16"/>
              </w:rPr>
            </w:pPr>
            <w:r w:rsidRPr="00C46035">
              <w:rPr>
                <w:rFonts w:ascii="Arial Narrow" w:hAnsi="Arial Narrow" w:cs="Arial Narrow"/>
                <w:b/>
                <w:bCs/>
                <w:sz w:val="16"/>
                <w:szCs w:val="16"/>
              </w:rPr>
              <w:t>2011</w:t>
            </w:r>
          </w:p>
        </w:tc>
        <w:tc>
          <w:tcPr>
            <w:tcW w:w="1255" w:type="dxa"/>
            <w:tcBorders>
              <w:top w:val="single" w:sz="8"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sz w:val="16"/>
                <w:szCs w:val="16"/>
              </w:rPr>
            </w:pPr>
            <w:r w:rsidRPr="00C46035">
              <w:rPr>
                <w:rFonts w:ascii="Arial Narrow" w:hAnsi="Arial Narrow" w:cs="Arial Narrow"/>
                <w:b/>
                <w:bCs/>
                <w:sz w:val="16"/>
                <w:szCs w:val="16"/>
              </w:rPr>
              <w:t>2012</w:t>
            </w:r>
          </w:p>
        </w:tc>
        <w:tc>
          <w:tcPr>
            <w:tcW w:w="1255" w:type="dxa"/>
            <w:gridSpan w:val="2"/>
            <w:tcBorders>
              <w:top w:val="single" w:sz="8"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sz w:val="16"/>
                <w:szCs w:val="16"/>
              </w:rPr>
            </w:pPr>
            <w:r w:rsidRPr="00C46035">
              <w:rPr>
                <w:rFonts w:ascii="Arial Narrow" w:hAnsi="Arial Narrow" w:cs="Arial Narrow"/>
                <w:b/>
                <w:bCs/>
                <w:sz w:val="16"/>
                <w:szCs w:val="16"/>
              </w:rPr>
              <w:t>2013</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color w:val="000000"/>
                <w:sz w:val="16"/>
                <w:szCs w:val="16"/>
              </w:rPr>
            </w:pPr>
            <w:r w:rsidRPr="00C46035">
              <w:rPr>
                <w:rFonts w:ascii="Arial Narrow" w:hAnsi="Arial Narrow" w:cs="Arial Narrow"/>
                <w:color w:val="000000"/>
                <w:sz w:val="16"/>
                <w:szCs w:val="16"/>
              </w:rPr>
              <w:t>z minerálneho oleja</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95,8</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97,9</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100,2</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color w:val="000000"/>
                <w:sz w:val="16"/>
                <w:szCs w:val="16"/>
              </w:rPr>
            </w:pPr>
            <w:r w:rsidRPr="00C46035">
              <w:rPr>
                <w:rFonts w:ascii="Arial Narrow" w:hAnsi="Arial Narrow" w:cs="Arial Narrow"/>
                <w:color w:val="000000"/>
                <w:sz w:val="16"/>
                <w:szCs w:val="16"/>
              </w:rPr>
              <w:t>z piva</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14,9</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25,5</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26</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color w:val="000000"/>
                <w:sz w:val="16"/>
                <w:szCs w:val="16"/>
              </w:rPr>
            </w:pPr>
            <w:r w:rsidRPr="00C46035">
              <w:rPr>
                <w:rFonts w:ascii="Arial Narrow" w:hAnsi="Arial Narrow" w:cs="Arial Narrow"/>
                <w:color w:val="000000"/>
                <w:sz w:val="16"/>
                <w:szCs w:val="16"/>
              </w:rPr>
              <w:t>z tabakových výrobkov</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15,9</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21,2</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42,1</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color w:val="000000"/>
                <w:sz w:val="16"/>
                <w:szCs w:val="16"/>
              </w:rPr>
            </w:pPr>
            <w:r w:rsidRPr="00C46035">
              <w:rPr>
                <w:rFonts w:ascii="Arial Narrow" w:hAnsi="Arial Narrow" w:cs="Arial Narrow"/>
                <w:color w:val="000000"/>
                <w:sz w:val="16"/>
                <w:szCs w:val="16"/>
              </w:rPr>
              <w:t>zo zemného plynu</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6,8</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11,1</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11,1</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color w:val="000000"/>
                <w:sz w:val="16"/>
                <w:szCs w:val="16"/>
              </w:rPr>
            </w:pPr>
            <w:r w:rsidRPr="00C46035">
              <w:rPr>
                <w:rFonts w:ascii="Arial Narrow" w:hAnsi="Arial Narrow" w:cs="Arial Narrow"/>
                <w:color w:val="000000"/>
                <w:sz w:val="16"/>
                <w:szCs w:val="16"/>
              </w:rPr>
              <w:t>z uhlia</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1,8</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3,1</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color w:val="000000"/>
                <w:sz w:val="16"/>
                <w:szCs w:val="16"/>
              </w:rPr>
            </w:pPr>
            <w:r w:rsidRPr="00C46035">
              <w:rPr>
                <w:rFonts w:ascii="Arial Narrow" w:hAnsi="Arial Narrow" w:cs="Arial Narrow"/>
                <w:color w:val="000000"/>
                <w:sz w:val="16"/>
                <w:szCs w:val="16"/>
              </w:rPr>
              <w:t>3,1</w:t>
            </w:r>
          </w:p>
        </w:tc>
      </w:tr>
      <w:tr>
        <w:tblPrEx>
          <w:tblW w:w="9072" w:type="dxa"/>
          <w:jc w:val="center"/>
          <w:tblCellMar>
            <w:left w:w="70" w:type="dxa"/>
            <w:right w:w="70" w:type="dxa"/>
          </w:tblCellMar>
          <w:tblLook w:val="00A0"/>
        </w:tblPrEx>
        <w:trPr>
          <w:trHeight w:val="284"/>
          <w:jc w:val="center"/>
        </w:trPr>
        <w:tc>
          <w:tcPr>
            <w:tcW w:w="5308"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rPr>
                <w:rFonts w:ascii="Arial Narrow" w:hAnsi="Arial Narrow" w:cs="Arial Narrow"/>
                <w:b/>
                <w:bCs/>
                <w:color w:val="000000"/>
                <w:sz w:val="16"/>
                <w:szCs w:val="16"/>
              </w:rPr>
            </w:pPr>
            <w:r w:rsidRPr="00C46035">
              <w:rPr>
                <w:rFonts w:ascii="Arial Narrow" w:hAnsi="Arial Narrow" w:cs="Arial Narrow"/>
                <w:b/>
                <w:bCs/>
                <w:color w:val="000000"/>
                <w:sz w:val="16"/>
                <w:szCs w:val="16"/>
              </w:rPr>
              <w:t>SPOLU</w:t>
            </w:r>
          </w:p>
        </w:tc>
        <w:tc>
          <w:tcPr>
            <w:tcW w:w="12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color w:val="000000"/>
                <w:sz w:val="16"/>
                <w:szCs w:val="16"/>
              </w:rPr>
            </w:pPr>
            <w:r w:rsidRPr="00C46035">
              <w:rPr>
                <w:rFonts w:ascii="Arial Narrow" w:hAnsi="Arial Narrow" w:cs="Arial Narrow"/>
                <w:b/>
                <w:bCs/>
                <w:color w:val="000000"/>
                <w:sz w:val="16"/>
                <w:szCs w:val="16"/>
              </w:rPr>
              <w:t>135,2</w:t>
            </w:r>
          </w:p>
        </w:tc>
        <w:tc>
          <w:tcPr>
            <w:tcW w:w="1255"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color w:val="000000"/>
                <w:sz w:val="16"/>
                <w:szCs w:val="16"/>
              </w:rPr>
            </w:pPr>
            <w:r w:rsidRPr="00C46035">
              <w:rPr>
                <w:rFonts w:ascii="Arial Narrow" w:hAnsi="Arial Narrow" w:cs="Arial Narrow"/>
                <w:b/>
                <w:bCs/>
                <w:color w:val="000000"/>
                <w:sz w:val="16"/>
                <w:szCs w:val="16"/>
              </w:rPr>
              <w:t>158,8</w:t>
            </w:r>
          </w:p>
        </w:tc>
        <w:tc>
          <w:tcPr>
            <w:tcW w:w="1255"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A1281C" w:rsidRPr="00C46035" w:rsidP="006740C3">
            <w:pPr>
              <w:bidi w:val="0"/>
              <w:jc w:val="center"/>
              <w:rPr>
                <w:rFonts w:ascii="Arial Narrow" w:hAnsi="Arial Narrow" w:cs="Arial Narrow"/>
                <w:b/>
                <w:bCs/>
                <w:color w:val="000000"/>
                <w:sz w:val="16"/>
                <w:szCs w:val="16"/>
              </w:rPr>
            </w:pPr>
            <w:r w:rsidRPr="00C46035">
              <w:rPr>
                <w:rFonts w:ascii="Arial Narrow" w:hAnsi="Arial Narrow" w:cs="Arial Narrow"/>
                <w:b/>
                <w:bCs/>
                <w:color w:val="000000"/>
                <w:sz w:val="16"/>
                <w:szCs w:val="16"/>
              </w:rPr>
              <w:t>182,5</w:t>
            </w:r>
          </w:p>
        </w:tc>
      </w:tr>
    </w:tbl>
    <w:p w:rsidR="00A1281C" w:rsidP="00A1281C">
      <w:pPr>
        <w:bidi w:val="0"/>
        <w:jc w:val="both"/>
        <w:rPr>
          <w:rFonts w:ascii="Arial Narrow" w:hAnsi="Arial Narrow" w:cs="Arial Narrow"/>
          <w:sz w:val="22"/>
          <w:szCs w:val="22"/>
        </w:rPr>
      </w:pPr>
    </w:p>
    <w:p w:rsidR="00A1281C" w:rsidP="00A1281C">
      <w:pPr>
        <w:bidi w:val="0"/>
        <w:jc w:val="both"/>
        <w:rPr>
          <w:rFonts w:ascii="Arial Narrow" w:hAnsi="Arial Narrow" w:cs="Arial Narrow"/>
          <w:sz w:val="22"/>
          <w:szCs w:val="22"/>
        </w:rPr>
      </w:pPr>
      <w:r>
        <w:rPr>
          <w:rFonts w:ascii="Arial Narrow" w:hAnsi="Arial Narrow" w:cs="Arial Narrow"/>
          <w:sz w:val="22"/>
          <w:szCs w:val="22"/>
        </w:rPr>
        <w:tab/>
        <w:t xml:space="preserve">V súlade s Programovým vyhlásením vlády SR sa od roku 2012 predpokladá zrušenie koncesionárskych poplatkov a financovanie štátnych médií bude vykonávané priamo zo štátneho rozpočtu. </w:t>
      </w:r>
      <w:r w:rsidRPr="00CC023F">
        <w:rPr>
          <w:rFonts w:ascii="Arial Narrow" w:hAnsi="Arial Narrow" w:cs="Arial Narrow"/>
          <w:b/>
          <w:bCs/>
          <w:sz w:val="22"/>
          <w:szCs w:val="22"/>
        </w:rPr>
        <w:t>Úhrada za služby verejnosti poskytované Slovenskou televíziou a Slovenským rozhlasom</w:t>
      </w:r>
      <w:r>
        <w:rPr>
          <w:rFonts w:ascii="Arial Narrow" w:hAnsi="Arial Narrow" w:cs="Arial Narrow"/>
          <w:sz w:val="22"/>
          <w:szCs w:val="22"/>
        </w:rPr>
        <w:t xml:space="preserve"> sa preto od roku 2012 nerozpočtuje.</w:t>
      </w:r>
    </w:p>
    <w:p w:rsidR="00A1281C" w:rsidRPr="00832B61" w:rsidP="00A1281C">
      <w:pPr>
        <w:bidi w:val="0"/>
        <w:jc w:val="both"/>
        <w:rPr>
          <w:rFonts w:ascii="Arial Narrow" w:hAnsi="Arial Narrow" w:cs="Arial Narrow"/>
          <w:sz w:val="22"/>
          <w:szCs w:val="22"/>
        </w:rPr>
      </w:pPr>
    </w:p>
    <w:p w:rsidR="00A1281C" w:rsidRPr="00DF45EC" w:rsidP="00A1281C">
      <w:pPr>
        <w:bidi w:val="0"/>
        <w:jc w:val="both"/>
      </w:pPr>
      <w:r w:rsidRPr="00832B61">
        <w:rPr>
          <w:rFonts w:ascii="Arial Narrow" w:hAnsi="Arial Narrow" w:cs="Arial Narrow"/>
          <w:sz w:val="22"/>
          <w:szCs w:val="22"/>
        </w:rPr>
        <w:tab/>
        <w:t>Aktuálna prognóza na roky 2010 a</w:t>
      </w:r>
      <w:r>
        <w:rPr>
          <w:rFonts w:ascii="Arial Narrow" w:hAnsi="Arial Narrow" w:cs="Arial Narrow"/>
          <w:sz w:val="22"/>
          <w:szCs w:val="22"/>
        </w:rPr>
        <w:t xml:space="preserve">ž </w:t>
      </w:r>
      <w:r w:rsidRPr="00DF45EC">
        <w:rPr>
          <w:rFonts w:ascii="Arial Narrow" w:hAnsi="Arial Narrow" w:cs="Arial Narrow"/>
          <w:sz w:val="22"/>
          <w:szCs w:val="22"/>
        </w:rPr>
        <w:t>20</w:t>
      </w:r>
      <w:r>
        <w:rPr>
          <w:rFonts w:ascii="Arial Narrow" w:hAnsi="Arial Narrow" w:cs="Arial Narrow"/>
          <w:sz w:val="22"/>
          <w:szCs w:val="22"/>
        </w:rPr>
        <w:t>13</w:t>
      </w:r>
      <w:r w:rsidRPr="00DF45EC">
        <w:rPr>
          <w:rFonts w:ascii="Arial Narrow" w:hAnsi="Arial Narrow" w:cs="Arial Narrow"/>
          <w:sz w:val="22"/>
          <w:szCs w:val="22"/>
        </w:rPr>
        <w:t xml:space="preserve"> zohľadňuje okrem makroekonomického rámca a platnej legislatívy aj </w:t>
      </w:r>
      <w:r>
        <w:rPr>
          <w:rFonts w:ascii="Arial Narrow" w:hAnsi="Arial Narrow" w:cs="Arial Narrow"/>
          <w:sz w:val="22"/>
          <w:szCs w:val="22"/>
        </w:rPr>
        <w:t xml:space="preserve">skutočné výnosy daní za rok 2009 podľa metodiky ESA 95 (okrem DPFO z podnikania a DPPO, ktoré sú odhadmi) a </w:t>
      </w:r>
      <w:r w:rsidRPr="00DF45EC">
        <w:rPr>
          <w:rFonts w:ascii="Arial Narrow" w:hAnsi="Arial Narrow" w:cs="Arial Narrow"/>
          <w:sz w:val="22"/>
          <w:szCs w:val="22"/>
        </w:rPr>
        <w:t>aktuálne hotovostné plnenie</w:t>
      </w:r>
      <w:r>
        <w:rPr>
          <w:rFonts w:ascii="Arial Narrow" w:hAnsi="Arial Narrow" w:cs="Arial Narrow"/>
          <w:sz w:val="22"/>
          <w:szCs w:val="22"/>
        </w:rPr>
        <w:t xml:space="preserve"> daní</w:t>
      </w:r>
      <w:r w:rsidRPr="00DF45EC">
        <w:rPr>
          <w:rFonts w:ascii="Arial Narrow" w:hAnsi="Arial Narrow" w:cs="Arial Narrow"/>
          <w:sz w:val="22"/>
          <w:szCs w:val="22"/>
        </w:rPr>
        <w:t xml:space="preserve"> za </w:t>
      </w:r>
      <w:r>
        <w:rPr>
          <w:rFonts w:ascii="Arial Narrow" w:hAnsi="Arial Narrow" w:cs="Arial Narrow"/>
          <w:sz w:val="22"/>
          <w:szCs w:val="22"/>
        </w:rPr>
        <w:t xml:space="preserve">január až august </w:t>
      </w:r>
      <w:r w:rsidRPr="00DF45EC">
        <w:rPr>
          <w:rFonts w:ascii="Arial Narrow" w:hAnsi="Arial Narrow" w:cs="Arial Narrow"/>
          <w:sz w:val="22"/>
          <w:szCs w:val="22"/>
        </w:rPr>
        <w:t>20</w:t>
      </w:r>
      <w:r>
        <w:rPr>
          <w:rFonts w:ascii="Arial Narrow" w:hAnsi="Arial Narrow" w:cs="Arial Narrow"/>
          <w:sz w:val="22"/>
          <w:szCs w:val="22"/>
        </w:rPr>
        <w:t>10</w:t>
      </w:r>
      <w:r w:rsidRPr="00DF45EC">
        <w:rPr>
          <w:rFonts w:ascii="Arial Narrow" w:hAnsi="Arial Narrow" w:cs="Arial Narrow"/>
          <w:sz w:val="22"/>
          <w:szCs w:val="22"/>
        </w:rPr>
        <w:t>.</w:t>
      </w:r>
    </w:p>
    <w:p w:rsidR="00A1281C" w:rsidRPr="00DF45EC" w:rsidP="00A1281C">
      <w:pPr>
        <w:bidi w:val="0"/>
        <w:jc w:val="both"/>
        <w:rPr>
          <w:rFonts w:ascii="Arial Narrow" w:hAnsi="Arial Narrow" w:cs="Arial Narrow"/>
          <w:sz w:val="22"/>
          <w:szCs w:val="22"/>
          <w:highlight w:val="yellow"/>
        </w:rPr>
      </w:pPr>
    </w:p>
    <w:p w:rsidR="00A1281C" w:rsidP="00A1281C">
      <w:pPr>
        <w:bidi w:val="0"/>
        <w:rPr>
          <w:rFonts w:ascii="Arial Narrow" w:hAnsi="Arial Narrow" w:cs="Arial Narrow"/>
          <w:b/>
          <w:bCs/>
        </w:rPr>
      </w:pPr>
      <w:r w:rsidRPr="00C31B30">
        <w:rPr>
          <w:rFonts w:ascii="Arial Narrow" w:hAnsi="Arial Narrow" w:cs="Arial Narrow"/>
          <w:b/>
          <w:bCs/>
        </w:rPr>
        <w:t>Odhad jednotlivých daní</w:t>
      </w:r>
    </w:p>
    <w:p w:rsidR="00A1281C" w:rsidRPr="00C31B30" w:rsidP="00A1281C">
      <w:pPr>
        <w:bidi w:val="0"/>
        <w:rPr>
          <w:rFonts w:ascii="Arial Narrow" w:hAnsi="Arial Narrow" w:cs="Arial Narrow"/>
          <w:b/>
          <w:bCs/>
        </w:rPr>
      </w:pPr>
    </w:p>
    <w:p w:rsidR="00A1281C" w:rsidRPr="00A07506" w:rsidP="00A1281C">
      <w:pPr>
        <w:bidi w:val="0"/>
        <w:ind w:firstLine="720"/>
        <w:jc w:val="both"/>
        <w:rPr>
          <w:rFonts w:ascii="Arial Narrow" w:hAnsi="Arial Narrow" w:cs="Arial Narrow"/>
          <w:sz w:val="22"/>
          <w:szCs w:val="22"/>
        </w:rPr>
      </w:pPr>
      <w:r w:rsidRPr="00670754">
        <w:rPr>
          <w:rFonts w:ascii="Arial Narrow" w:hAnsi="Arial Narrow" w:cs="Arial Narrow"/>
          <w:sz w:val="22"/>
          <w:szCs w:val="22"/>
        </w:rPr>
        <w:t xml:space="preserve">Výnos </w:t>
      </w:r>
      <w:r w:rsidRPr="00670754">
        <w:rPr>
          <w:rFonts w:ascii="Arial Narrow" w:hAnsi="Arial Narrow" w:cs="Arial Narrow"/>
          <w:b/>
          <w:bCs/>
          <w:sz w:val="22"/>
          <w:szCs w:val="22"/>
        </w:rPr>
        <w:t>dane z príjmu fyzických osôb zo závislej činnosti</w:t>
      </w:r>
      <w:r w:rsidRPr="00670754">
        <w:rPr>
          <w:rFonts w:ascii="Arial Narrow" w:hAnsi="Arial Narrow" w:cs="Arial Narrow"/>
          <w:sz w:val="22"/>
          <w:szCs w:val="22"/>
        </w:rPr>
        <w:t xml:space="preserve"> je v porovnaní s </w:t>
      </w:r>
      <w:r>
        <w:rPr>
          <w:rFonts w:ascii="Arial Narrow" w:hAnsi="Arial Narrow" w:cs="Arial Narrow"/>
          <w:sz w:val="22"/>
          <w:szCs w:val="22"/>
        </w:rPr>
        <w:t>r</w:t>
      </w:r>
      <w:r w:rsidRPr="00670754">
        <w:rPr>
          <w:rFonts w:ascii="Arial Narrow" w:hAnsi="Arial Narrow" w:cs="Arial Narrow"/>
          <w:sz w:val="22"/>
          <w:szCs w:val="22"/>
        </w:rPr>
        <w:t xml:space="preserve">ozpočtom </w:t>
      </w:r>
      <w:r>
        <w:rPr>
          <w:rFonts w:ascii="Arial Narrow" w:hAnsi="Arial Narrow" w:cs="Arial Narrow"/>
          <w:sz w:val="22"/>
          <w:szCs w:val="22"/>
        </w:rPr>
        <w:t>verejnej správy</w:t>
      </w:r>
      <w:r w:rsidRPr="00670754">
        <w:rPr>
          <w:rFonts w:ascii="Arial Narrow" w:hAnsi="Arial Narrow" w:cs="Arial Narrow"/>
          <w:sz w:val="22"/>
          <w:szCs w:val="22"/>
        </w:rPr>
        <w:t xml:space="preserve"> na roky 2010 </w:t>
      </w:r>
      <w:r>
        <w:rPr>
          <w:rFonts w:ascii="Arial Narrow" w:hAnsi="Arial Narrow" w:cs="Arial Narrow"/>
          <w:sz w:val="22"/>
          <w:szCs w:val="22"/>
        </w:rPr>
        <w:t>až</w:t>
      </w:r>
      <w:r w:rsidRPr="00670754">
        <w:rPr>
          <w:rFonts w:ascii="Arial Narrow" w:hAnsi="Arial Narrow" w:cs="Arial Narrow"/>
          <w:sz w:val="22"/>
          <w:szCs w:val="22"/>
        </w:rPr>
        <w:t xml:space="preserve"> 2012 ovplyvnený pomalším rastom zamestnanosti a miezd. </w:t>
      </w:r>
      <w:r>
        <w:rPr>
          <w:rFonts w:ascii="Arial Narrow" w:hAnsi="Arial Narrow" w:cs="Arial Narrow"/>
          <w:sz w:val="22"/>
          <w:szCs w:val="22"/>
        </w:rPr>
        <w:t xml:space="preserve">Oproti rokom 2009 a 2010 nastane v roku 2011 výrazný pokles nezdaniteľnej časti základu dane (NČZD) kvôli jej zníženiu z 22,5 na 19,2 násobok životného minima, čo bude mať priaznivý vplyv na výnos dane. </w:t>
      </w:r>
      <w:r w:rsidRPr="00670754">
        <w:rPr>
          <w:rFonts w:ascii="Arial Narrow" w:hAnsi="Arial Narrow" w:cs="Arial Narrow"/>
          <w:sz w:val="22"/>
          <w:szCs w:val="22"/>
        </w:rPr>
        <w:t>Vzhľadom na životné minimum platné k 1.</w:t>
      </w:r>
      <w:r w:rsidR="00D564D1">
        <w:rPr>
          <w:rFonts w:ascii="Arial Narrow" w:hAnsi="Arial Narrow" w:cs="Arial Narrow"/>
          <w:sz w:val="22"/>
          <w:szCs w:val="22"/>
        </w:rPr>
        <w:t xml:space="preserve"> </w:t>
      </w:r>
      <w:r w:rsidRPr="00670754">
        <w:rPr>
          <w:rFonts w:ascii="Arial Narrow" w:hAnsi="Arial Narrow" w:cs="Arial Narrow"/>
          <w:sz w:val="22"/>
          <w:szCs w:val="22"/>
        </w:rPr>
        <w:t>1.</w:t>
      </w:r>
      <w:r w:rsidR="00D564D1">
        <w:rPr>
          <w:rFonts w:ascii="Arial Narrow" w:hAnsi="Arial Narrow" w:cs="Arial Narrow"/>
          <w:sz w:val="22"/>
          <w:szCs w:val="22"/>
        </w:rPr>
        <w:t xml:space="preserve"> </w:t>
      </w:r>
      <w:r w:rsidRPr="00670754">
        <w:rPr>
          <w:rFonts w:ascii="Arial Narrow" w:hAnsi="Arial Narrow" w:cs="Arial Narrow"/>
          <w:sz w:val="22"/>
          <w:szCs w:val="22"/>
        </w:rPr>
        <w:t>2011 vo výške 185,38 eur sa NČZD na rok 2011 predpokla</w:t>
      </w:r>
      <w:r w:rsidRPr="00BD50C5">
        <w:rPr>
          <w:rFonts w:ascii="Arial Narrow" w:hAnsi="Arial Narrow" w:cs="Arial Narrow"/>
          <w:sz w:val="22"/>
          <w:szCs w:val="22"/>
        </w:rPr>
        <w:t xml:space="preserve">dá vo výške 3 559,30 eur. Od roku 2007 sa začala uplatňovať klesajúca NČZD, ktorá v roku 2011 začne klesať približne pri hrubej mesačnej mzde 1 773 eur, od mzdy približne vo výške 3 077 eur bude NČZD nulová. </w:t>
      </w:r>
      <w:r w:rsidRPr="00BD50C5">
        <w:rPr>
          <w:rFonts w:ascii="Arial Narrow" w:hAnsi="Arial Narrow" w:cs="Arial Narrow"/>
          <w:color w:val="000000"/>
          <w:sz w:val="22"/>
          <w:szCs w:val="22"/>
        </w:rPr>
        <w:t>N</w:t>
      </w:r>
      <w:r w:rsidRPr="00BD50C5">
        <w:rPr>
          <w:rFonts w:ascii="Arial Narrow" w:hAnsi="Arial Narrow" w:cs="Arial Narrow"/>
          <w:sz w:val="22"/>
          <w:szCs w:val="22"/>
        </w:rPr>
        <w:t>a rozdiel od NČZD na daňovníka, ktorá sa mení vždy k 1. januáru príslušného roka, výška daňového bonusu na dieťa sa mení vždy od 1. júla príslušného roka. V roku 2011 s</w:t>
      </w:r>
      <w:r w:rsidRPr="00B9130E">
        <w:rPr>
          <w:rFonts w:ascii="Arial Narrow" w:hAnsi="Arial Narrow" w:cs="Arial Narrow"/>
          <w:sz w:val="22"/>
          <w:szCs w:val="22"/>
        </w:rPr>
        <w:t>a predpokladá priemerná mesačná výška daňového bonusu na dieťa vo výške 20,34 eur. Od 1.</w:t>
      </w:r>
      <w:r w:rsidR="00D564D1">
        <w:rPr>
          <w:rFonts w:ascii="Arial Narrow" w:hAnsi="Arial Narrow" w:cs="Arial Narrow"/>
          <w:sz w:val="22"/>
          <w:szCs w:val="22"/>
        </w:rPr>
        <w:t xml:space="preserve"> </w:t>
      </w:r>
      <w:r w:rsidRPr="00B9130E">
        <w:rPr>
          <w:rFonts w:ascii="Arial Narrow" w:hAnsi="Arial Narrow" w:cs="Arial Narrow"/>
          <w:sz w:val="22"/>
          <w:szCs w:val="22"/>
        </w:rPr>
        <w:t>1.</w:t>
      </w:r>
      <w:r w:rsidR="00D564D1">
        <w:rPr>
          <w:rFonts w:ascii="Arial Narrow" w:hAnsi="Arial Narrow" w:cs="Arial Narrow"/>
          <w:sz w:val="22"/>
          <w:szCs w:val="22"/>
        </w:rPr>
        <w:t xml:space="preserve"> </w:t>
      </w:r>
      <w:r w:rsidRPr="00B9130E">
        <w:rPr>
          <w:rFonts w:ascii="Arial Narrow" w:hAnsi="Arial Narrow" w:cs="Arial Narrow"/>
          <w:sz w:val="22"/>
          <w:szCs w:val="22"/>
        </w:rPr>
        <w:t xml:space="preserve">2009 majú zamestnanci s najnižšími mzdami pri splnení zákonom stanovených podmienok nárok na zamestnaneckú prémiu. </w:t>
      </w:r>
      <w:r>
        <w:rPr>
          <w:rFonts w:ascii="Arial Narrow" w:hAnsi="Arial Narrow" w:cs="Arial Narrow"/>
          <w:sz w:val="22"/>
          <w:szCs w:val="22"/>
        </w:rPr>
        <w:t xml:space="preserve">Odhadovaná </w:t>
      </w:r>
      <w:r w:rsidRPr="00B9130E">
        <w:rPr>
          <w:rFonts w:ascii="Arial Narrow" w:hAnsi="Arial Narrow" w:cs="Arial Narrow"/>
          <w:sz w:val="22"/>
          <w:szCs w:val="22"/>
        </w:rPr>
        <w:t xml:space="preserve">výška </w:t>
      </w:r>
      <w:r>
        <w:rPr>
          <w:rFonts w:ascii="Arial Narrow" w:hAnsi="Arial Narrow" w:cs="Arial Narrow"/>
          <w:sz w:val="22"/>
          <w:szCs w:val="22"/>
        </w:rPr>
        <w:t xml:space="preserve">maximálnej </w:t>
      </w:r>
      <w:r w:rsidRPr="00B9130E">
        <w:rPr>
          <w:rFonts w:ascii="Arial Narrow" w:hAnsi="Arial Narrow" w:cs="Arial Narrow"/>
          <w:sz w:val="22"/>
          <w:szCs w:val="22"/>
        </w:rPr>
        <w:t>zamestnaneckej prémie za celé zdaňovacie obdobie roka 2011 dosiahne úroveň približne 4</w:t>
      </w:r>
      <w:r>
        <w:rPr>
          <w:rFonts w:ascii="Arial Narrow" w:hAnsi="Arial Narrow" w:cs="Arial Narrow"/>
          <w:sz w:val="22"/>
          <w:szCs w:val="22"/>
        </w:rPr>
        <w:t>9,91</w:t>
      </w:r>
      <w:r w:rsidRPr="00B9130E">
        <w:rPr>
          <w:rFonts w:ascii="Arial Narrow" w:hAnsi="Arial Narrow" w:cs="Arial Narrow"/>
          <w:sz w:val="22"/>
          <w:szCs w:val="22"/>
        </w:rPr>
        <w:t xml:space="preserve"> eur, pričom celá výška zamestnaneckej prémie im bude vyplatená v rámci ročného zúčtovania dane v marci 2012.</w:t>
      </w:r>
      <w:r>
        <w:rPr>
          <w:rFonts w:ascii="Arial Narrow" w:hAnsi="Arial Narrow" w:cs="Arial Narrow"/>
          <w:sz w:val="22"/>
          <w:szCs w:val="22"/>
        </w:rPr>
        <w:t xml:space="preserve"> </w:t>
      </w:r>
      <w:r w:rsidRPr="00B9130E">
        <w:rPr>
          <w:rFonts w:ascii="Arial Narrow" w:hAnsi="Arial Narrow" w:cs="Arial Narrow"/>
          <w:sz w:val="22"/>
          <w:szCs w:val="22"/>
        </w:rPr>
        <w:t>Nárok na maximálnu výšku zamestnaneckej prémie získajú zamestnanci s príjmom</w:t>
      </w:r>
      <w:r>
        <w:rPr>
          <w:rFonts w:ascii="Arial Narrow" w:hAnsi="Arial Narrow" w:cs="Arial Narrow"/>
          <w:sz w:val="22"/>
          <w:szCs w:val="22"/>
        </w:rPr>
        <w:t xml:space="preserve"> od polovice minimálnej mzdy </w:t>
      </w:r>
      <w:r w:rsidRPr="00B9130E">
        <w:rPr>
          <w:rFonts w:ascii="Arial Narrow" w:hAnsi="Arial Narrow" w:cs="Arial Narrow"/>
          <w:sz w:val="22"/>
          <w:szCs w:val="22"/>
        </w:rPr>
        <w:t>do úrovne minimálnej mzdy pri splnení ďalších zákonom stanovených podmienok</w:t>
      </w:r>
      <w:r>
        <w:rPr>
          <w:rFonts w:ascii="Arial Narrow" w:hAnsi="Arial Narrow" w:cs="Arial Narrow"/>
          <w:sz w:val="22"/>
          <w:szCs w:val="22"/>
        </w:rPr>
        <w:t>.</w:t>
      </w:r>
    </w:p>
    <w:p w:rsidR="00A1281C" w:rsidRPr="00A07506" w:rsidP="00A1281C">
      <w:pPr>
        <w:bidi w:val="0"/>
        <w:ind w:firstLine="708"/>
        <w:jc w:val="both"/>
        <w:rPr>
          <w:rFonts w:ascii="Arial Narrow" w:hAnsi="Arial Narrow" w:cs="Arial Narrow"/>
          <w:sz w:val="22"/>
          <w:szCs w:val="22"/>
        </w:rPr>
      </w:pPr>
    </w:p>
    <w:p w:rsidR="00A1281C" w:rsidRPr="00AE2DA8" w:rsidP="00A1281C">
      <w:pPr>
        <w:bidi w:val="0"/>
        <w:ind w:firstLine="708"/>
        <w:jc w:val="both"/>
        <w:rPr>
          <w:rFonts w:ascii="Arial Narrow" w:hAnsi="Arial Narrow" w:cs="Arial Narrow"/>
          <w:sz w:val="22"/>
          <w:szCs w:val="22"/>
        </w:rPr>
      </w:pPr>
      <w:r w:rsidRPr="00A07506">
        <w:rPr>
          <w:rFonts w:ascii="Arial Narrow" w:hAnsi="Arial Narrow" w:cs="Arial Narrow"/>
          <w:sz w:val="22"/>
          <w:szCs w:val="22"/>
        </w:rPr>
        <w:t xml:space="preserve">Na výnose </w:t>
      </w:r>
      <w:r w:rsidRPr="00A07506">
        <w:rPr>
          <w:rFonts w:ascii="Arial Narrow" w:hAnsi="Arial Narrow" w:cs="Arial Narrow"/>
          <w:b/>
          <w:bCs/>
          <w:sz w:val="22"/>
          <w:szCs w:val="22"/>
        </w:rPr>
        <w:t>dane z príjmov fyzických osôb z podnikania</w:t>
      </w:r>
      <w:r>
        <w:rPr>
          <w:rFonts w:ascii="Arial Narrow" w:hAnsi="Arial Narrow" w:cs="Arial Narrow"/>
          <w:sz w:val="22"/>
          <w:szCs w:val="22"/>
        </w:rPr>
        <w:t xml:space="preserve"> sa negatívne prejavil</w:t>
      </w:r>
      <w:r w:rsidRPr="00A07506">
        <w:rPr>
          <w:rFonts w:ascii="Arial Narrow" w:hAnsi="Arial Narrow" w:cs="Arial Narrow"/>
          <w:sz w:val="22"/>
          <w:szCs w:val="22"/>
        </w:rPr>
        <w:t xml:space="preserve"> </w:t>
      </w:r>
      <w:r>
        <w:rPr>
          <w:rFonts w:ascii="Arial Narrow" w:hAnsi="Arial Narrow" w:cs="Arial Narrow"/>
          <w:sz w:val="22"/>
          <w:szCs w:val="22"/>
        </w:rPr>
        <w:t xml:space="preserve">pokles ziskovosti v roku 2009 a </w:t>
      </w:r>
      <w:r w:rsidRPr="00A07506">
        <w:rPr>
          <w:rFonts w:ascii="Arial Narrow" w:hAnsi="Arial Narrow" w:cs="Arial Narrow"/>
          <w:sz w:val="22"/>
          <w:szCs w:val="22"/>
        </w:rPr>
        <w:t>nižší ekonomický rast</w:t>
      </w:r>
      <w:r>
        <w:rPr>
          <w:rFonts w:ascii="Arial Narrow" w:hAnsi="Arial Narrow" w:cs="Arial Narrow"/>
          <w:sz w:val="22"/>
          <w:szCs w:val="22"/>
        </w:rPr>
        <w:t xml:space="preserve"> v ďalších rokoch, pričom pozitívne bude na výnos dane vplývať zníženie NČZD v roku 2011 a prijatie legislatívnych zmien v rokoch 2012 a 2013.</w:t>
      </w:r>
    </w:p>
    <w:p w:rsidR="00A1281C" w:rsidP="00A1281C">
      <w:pPr>
        <w:bidi w:val="0"/>
        <w:ind w:firstLine="720"/>
        <w:jc w:val="both"/>
        <w:rPr>
          <w:rFonts w:ascii="Arial Narrow" w:hAnsi="Arial Narrow" w:cs="Arial Narrow"/>
          <w:sz w:val="22"/>
          <w:szCs w:val="22"/>
        </w:rPr>
      </w:pPr>
    </w:p>
    <w:p w:rsidR="00A1281C" w:rsidRPr="00811446" w:rsidP="00A1281C">
      <w:pPr>
        <w:autoSpaceDE w:val="0"/>
        <w:autoSpaceDN w:val="0"/>
        <w:bidi w:val="0"/>
        <w:adjustRightInd w:val="0"/>
        <w:ind w:firstLine="708"/>
        <w:jc w:val="both"/>
        <w:rPr>
          <w:rFonts w:ascii="Arial Narrow" w:hAnsi="Arial Narrow" w:cs="Arial Narrow"/>
          <w:color w:val="000000"/>
          <w:sz w:val="22"/>
          <w:szCs w:val="22"/>
        </w:rPr>
      </w:pPr>
      <w:r>
        <w:rPr>
          <w:rFonts w:ascii="Arial Narrow" w:hAnsi="Arial Narrow" w:cs="Arial Narrow"/>
          <w:color w:val="000000"/>
          <w:sz w:val="22"/>
          <w:szCs w:val="22"/>
        </w:rPr>
        <w:t>V porovnaní so schváleným r</w:t>
      </w:r>
      <w:r w:rsidRPr="00502F98">
        <w:rPr>
          <w:rFonts w:ascii="Arial Narrow" w:hAnsi="Arial Narrow" w:cs="Arial Narrow"/>
          <w:color w:val="000000"/>
          <w:sz w:val="22"/>
          <w:szCs w:val="22"/>
        </w:rPr>
        <w:t>ozpočt</w:t>
      </w:r>
      <w:r>
        <w:rPr>
          <w:rFonts w:ascii="Arial Narrow" w:hAnsi="Arial Narrow" w:cs="Arial Narrow"/>
          <w:color w:val="000000"/>
          <w:sz w:val="22"/>
          <w:szCs w:val="22"/>
        </w:rPr>
        <w:t xml:space="preserve">om verejnej správy na roky 2010 až </w:t>
      </w:r>
      <w:r w:rsidRPr="00502F98">
        <w:rPr>
          <w:rFonts w:ascii="Arial Narrow" w:hAnsi="Arial Narrow" w:cs="Arial Narrow"/>
          <w:color w:val="000000"/>
          <w:sz w:val="22"/>
          <w:szCs w:val="22"/>
        </w:rPr>
        <w:t xml:space="preserve">2012 dochádza k zníženiu prognózy </w:t>
      </w:r>
      <w:r w:rsidRPr="00502F98">
        <w:rPr>
          <w:rFonts w:ascii="Arial Narrow" w:hAnsi="Arial Narrow" w:cs="Arial Narrow"/>
          <w:b/>
          <w:bCs/>
          <w:color w:val="000000"/>
          <w:sz w:val="22"/>
          <w:szCs w:val="22"/>
        </w:rPr>
        <w:t>dane z príjmov právnických osôb</w:t>
      </w:r>
      <w:r w:rsidRPr="00502F98">
        <w:rPr>
          <w:rFonts w:ascii="Arial Narrow" w:hAnsi="Arial Narrow" w:cs="Arial Narrow"/>
          <w:color w:val="000000"/>
          <w:sz w:val="22"/>
          <w:szCs w:val="22"/>
        </w:rPr>
        <w:t xml:space="preserve"> (DPPO).</w:t>
      </w:r>
      <w:r w:rsidR="00D564D1">
        <w:rPr>
          <w:rFonts w:ascii="Arial Narrow" w:hAnsi="Arial Narrow" w:cs="Arial Narrow"/>
          <w:color w:val="000000"/>
          <w:sz w:val="22"/>
          <w:szCs w:val="22"/>
        </w:rPr>
        <w:t xml:space="preserve"> </w:t>
      </w:r>
      <w:r w:rsidRPr="00502F98">
        <w:rPr>
          <w:rFonts w:ascii="Arial Narrow" w:hAnsi="Arial Narrow" w:cs="Arial Narrow"/>
          <w:color w:val="000000"/>
          <w:sz w:val="22"/>
          <w:szCs w:val="22"/>
        </w:rPr>
        <w:t>Dôvodom je pokles výnosu v roku 2009 ako dôsledok prepadu ziskovosti a aktualizovaná makroekonomická prognóza, ktorá v rokoch 2010 až 2012 počíta s nižším rastom nominálneho HDP, čo sa premietne do zníženej ziskovosti korporácií. Zároveň je možné predpokladať zvýšenú úroveň umorovania straty za predchádzajúce roky. V nasledujúcich rokoch možno predpokladať zotavenie korporátneho sektora a postupný rast ziskovosti podnikov s pozitívnym vplyvom na výnos dane.</w:t>
      </w:r>
      <w:r w:rsidRPr="00502F98">
        <w:rPr>
          <w:rFonts w:ascii="Arial Narrow" w:hAnsi="Arial Narrow" w:cs="Arial Narrow"/>
          <w:sz w:val="20"/>
          <w:szCs w:val="20"/>
        </w:rPr>
        <w:t xml:space="preserve"> </w:t>
      </w:r>
      <w:r w:rsidRPr="00502F98">
        <w:rPr>
          <w:rFonts w:ascii="Arial Narrow" w:hAnsi="Arial Narrow" w:cs="Arial Narrow"/>
          <w:color w:val="000000"/>
          <w:sz w:val="22"/>
          <w:szCs w:val="22"/>
        </w:rPr>
        <w:t xml:space="preserve"> Riziko predstavuje možné čerpanie investičných stimulov formou daňových úľav u tých subjektov, ktoré v minulosti daň platili. Čerpaná úľava by tak predstavovala výpadok na DPPO. V rokoch 2011 až 2013 </w:t>
      </w:r>
      <w:r>
        <w:rPr>
          <w:rFonts w:ascii="Arial Narrow" w:hAnsi="Arial Narrow" w:cs="Arial Narrow"/>
          <w:color w:val="000000"/>
          <w:sz w:val="22"/>
          <w:szCs w:val="22"/>
        </w:rPr>
        <w:t xml:space="preserve">budú mať </w:t>
      </w:r>
      <w:r w:rsidRPr="00502F98">
        <w:rPr>
          <w:rFonts w:ascii="Arial Narrow" w:hAnsi="Arial Narrow" w:cs="Arial Narrow"/>
          <w:color w:val="000000"/>
          <w:sz w:val="22"/>
          <w:szCs w:val="22"/>
        </w:rPr>
        <w:t>pozitívny vplyv na výnos dane zmeny legislatívy účinné od 1.</w:t>
      </w:r>
      <w:r>
        <w:rPr>
          <w:rFonts w:ascii="Arial Narrow" w:hAnsi="Arial Narrow" w:cs="Arial Narrow"/>
          <w:color w:val="000000"/>
          <w:sz w:val="22"/>
          <w:szCs w:val="22"/>
        </w:rPr>
        <w:t xml:space="preserve"> </w:t>
      </w:r>
      <w:r w:rsidRPr="00502F98">
        <w:rPr>
          <w:rFonts w:ascii="Arial Narrow" w:hAnsi="Arial Narrow" w:cs="Arial Narrow"/>
          <w:color w:val="000000"/>
          <w:sz w:val="22"/>
          <w:szCs w:val="22"/>
        </w:rPr>
        <w:t>1.</w:t>
      </w:r>
      <w:r>
        <w:rPr>
          <w:rFonts w:ascii="Arial Narrow" w:hAnsi="Arial Narrow" w:cs="Arial Narrow"/>
          <w:color w:val="000000"/>
          <w:sz w:val="22"/>
          <w:szCs w:val="22"/>
        </w:rPr>
        <w:t xml:space="preserve"> </w:t>
      </w:r>
      <w:r w:rsidRPr="00502F98">
        <w:rPr>
          <w:rFonts w:ascii="Arial Narrow" w:hAnsi="Arial Narrow" w:cs="Arial Narrow"/>
          <w:color w:val="000000"/>
          <w:sz w:val="22"/>
          <w:szCs w:val="22"/>
        </w:rPr>
        <w:t>2011.</w:t>
      </w:r>
      <w:r>
        <w:rPr>
          <w:rFonts w:ascii="Arial Narrow" w:hAnsi="Arial Narrow" w:cs="Arial Narrow"/>
          <w:color w:val="000000"/>
          <w:sz w:val="22"/>
          <w:szCs w:val="22"/>
        </w:rPr>
        <w:t xml:space="preserve"> </w:t>
      </w:r>
    </w:p>
    <w:p w:rsidR="00A1281C" w:rsidRPr="005C1825" w:rsidP="00A1281C">
      <w:pPr>
        <w:bidi w:val="0"/>
        <w:ind w:firstLine="708"/>
        <w:jc w:val="both"/>
        <w:rPr>
          <w:rFonts w:ascii="Arial Narrow" w:hAnsi="Arial Narrow" w:cs="Arial Narrow"/>
          <w:sz w:val="22"/>
          <w:szCs w:val="22"/>
        </w:rPr>
      </w:pPr>
    </w:p>
    <w:p w:rsidR="00A1281C" w:rsidRPr="00007DFA" w:rsidP="00A1281C">
      <w:pPr>
        <w:bidi w:val="0"/>
        <w:ind w:firstLine="708"/>
        <w:jc w:val="both"/>
        <w:rPr>
          <w:rFonts w:ascii="Arial Narrow" w:hAnsi="Arial Narrow" w:cs="Arial Narrow"/>
          <w:color w:val="FF0000"/>
          <w:sz w:val="22"/>
          <w:szCs w:val="22"/>
        </w:rPr>
      </w:pPr>
      <w:r w:rsidRPr="00FD2A3C">
        <w:rPr>
          <w:rFonts w:ascii="Arial Narrow" w:hAnsi="Arial Narrow" w:cs="Arial Narrow"/>
          <w:color w:val="000000"/>
          <w:sz w:val="22"/>
          <w:szCs w:val="22"/>
        </w:rPr>
        <w:t>Neistotou pri prognóze daní z príjmov fyzických a právnických osôb je možnosť daňovníkov poukázať 2</w:t>
      </w:r>
      <w:r>
        <w:rPr>
          <w:rFonts w:ascii="Arial Narrow" w:hAnsi="Arial Narrow" w:cs="Arial Narrow"/>
          <w:color w:val="000000"/>
          <w:sz w:val="22"/>
          <w:szCs w:val="22"/>
        </w:rPr>
        <w:t> </w:t>
      </w:r>
      <w:r w:rsidRPr="00FD2A3C">
        <w:rPr>
          <w:rFonts w:ascii="Arial Narrow" w:hAnsi="Arial Narrow" w:cs="Arial Narrow"/>
          <w:color w:val="000000"/>
          <w:sz w:val="22"/>
          <w:szCs w:val="22"/>
        </w:rPr>
        <w:t>% zo zaplatenej dane na osobitné účely (verejnoprospešné aktivity mimovládnych neziskových organizácií). V roku 200</w:t>
      </w:r>
      <w:r>
        <w:rPr>
          <w:rFonts w:ascii="Arial Narrow" w:hAnsi="Arial Narrow" w:cs="Arial Narrow"/>
          <w:color w:val="000000"/>
          <w:sz w:val="22"/>
          <w:szCs w:val="22"/>
        </w:rPr>
        <w:t>9</w:t>
      </w:r>
      <w:r w:rsidRPr="00FD2A3C">
        <w:rPr>
          <w:rFonts w:ascii="Arial Narrow" w:hAnsi="Arial Narrow" w:cs="Arial Narrow"/>
          <w:color w:val="000000"/>
          <w:sz w:val="22"/>
          <w:szCs w:val="22"/>
        </w:rPr>
        <w:t xml:space="preserve"> dosiahla suma prostriedkov prevedených na verejnoprospešný účel </w:t>
      </w:r>
      <w:r>
        <w:rPr>
          <w:rFonts w:ascii="Arial Narrow" w:hAnsi="Arial Narrow" w:cs="Arial Narrow"/>
          <w:color w:val="000000"/>
          <w:sz w:val="22"/>
          <w:szCs w:val="22"/>
        </w:rPr>
        <w:t>55 180</w:t>
      </w:r>
      <w:r w:rsidRPr="00FD2A3C">
        <w:rPr>
          <w:rFonts w:ascii="Arial Narrow" w:hAnsi="Arial Narrow" w:cs="Arial Narrow"/>
          <w:color w:val="000000"/>
          <w:sz w:val="22"/>
          <w:szCs w:val="22"/>
        </w:rPr>
        <w:t xml:space="preserve"> tis. eur (z toho FO previedli 1</w:t>
      </w:r>
      <w:r>
        <w:rPr>
          <w:rFonts w:ascii="Arial Narrow" w:hAnsi="Arial Narrow" w:cs="Arial Narrow"/>
          <w:color w:val="000000"/>
          <w:sz w:val="22"/>
          <w:szCs w:val="22"/>
        </w:rPr>
        <w:t>7 684</w:t>
      </w:r>
      <w:r w:rsidRPr="00FD2A3C">
        <w:rPr>
          <w:rFonts w:ascii="Arial Narrow" w:hAnsi="Arial Narrow" w:cs="Arial Narrow"/>
          <w:color w:val="000000"/>
          <w:sz w:val="22"/>
          <w:szCs w:val="22"/>
        </w:rPr>
        <w:t xml:space="preserve"> tis. eur a PO previedli 3</w:t>
      </w:r>
      <w:r>
        <w:rPr>
          <w:rFonts w:ascii="Arial Narrow" w:hAnsi="Arial Narrow" w:cs="Arial Narrow"/>
          <w:color w:val="000000"/>
          <w:sz w:val="22"/>
          <w:szCs w:val="22"/>
        </w:rPr>
        <w:t>7 496</w:t>
      </w:r>
      <w:r w:rsidRPr="00FD2A3C">
        <w:rPr>
          <w:rFonts w:ascii="Arial Narrow" w:hAnsi="Arial Narrow" w:cs="Arial Narrow"/>
          <w:color w:val="000000"/>
          <w:sz w:val="22"/>
          <w:szCs w:val="22"/>
        </w:rPr>
        <w:t xml:space="preserve"> tis. eur). Predpokladá sa, že suma prostriedkov určených na osobitné účely dosiahne v roku 201</w:t>
      </w:r>
      <w:r>
        <w:rPr>
          <w:rFonts w:ascii="Arial Narrow" w:hAnsi="Arial Narrow" w:cs="Arial Narrow"/>
          <w:color w:val="000000"/>
          <w:sz w:val="22"/>
          <w:szCs w:val="22"/>
        </w:rPr>
        <w:t>1</w:t>
      </w:r>
      <w:r w:rsidRPr="00FD2A3C">
        <w:rPr>
          <w:rFonts w:ascii="Arial Narrow" w:hAnsi="Arial Narrow" w:cs="Arial Narrow"/>
          <w:color w:val="000000"/>
          <w:sz w:val="22"/>
          <w:szCs w:val="22"/>
        </w:rPr>
        <w:t xml:space="preserve"> </w:t>
      </w:r>
      <w:r w:rsidRPr="00007DFA">
        <w:rPr>
          <w:rFonts w:ascii="Arial Narrow" w:hAnsi="Arial Narrow" w:cs="Arial Narrow"/>
          <w:color w:val="000000"/>
          <w:sz w:val="22"/>
          <w:szCs w:val="22"/>
        </w:rPr>
        <w:t xml:space="preserve">úroveň </w:t>
      </w:r>
      <w:r>
        <w:rPr>
          <w:rFonts w:ascii="Arial Narrow" w:hAnsi="Arial Narrow" w:cs="Arial Narrow"/>
          <w:color w:val="000000"/>
          <w:sz w:val="22"/>
          <w:szCs w:val="22"/>
        </w:rPr>
        <w:t>32 419</w:t>
      </w:r>
      <w:r w:rsidRPr="00007DFA">
        <w:rPr>
          <w:rFonts w:ascii="Arial Narrow" w:hAnsi="Arial Narrow" w:cs="Arial Narrow"/>
          <w:color w:val="000000"/>
          <w:sz w:val="22"/>
          <w:szCs w:val="22"/>
        </w:rPr>
        <w:t xml:space="preserve"> tis. eur.</w:t>
      </w:r>
    </w:p>
    <w:p w:rsidR="00A1281C" w:rsidRPr="00007DFA" w:rsidP="00A1281C">
      <w:pPr>
        <w:bidi w:val="0"/>
        <w:jc w:val="both"/>
        <w:rPr>
          <w:rFonts w:ascii="Arial Narrow" w:hAnsi="Arial Narrow" w:cs="Arial Narrow"/>
          <w:color w:val="FF0000"/>
          <w:sz w:val="22"/>
          <w:szCs w:val="22"/>
        </w:rPr>
      </w:pPr>
    </w:p>
    <w:p w:rsidR="00A1281C" w:rsidRPr="00AE2DA8" w:rsidP="00A1281C">
      <w:pPr>
        <w:bidi w:val="0"/>
        <w:ind w:firstLine="708"/>
        <w:jc w:val="both"/>
        <w:rPr>
          <w:rFonts w:ascii="Arial Narrow" w:hAnsi="Arial Narrow" w:cs="Arial Narrow"/>
          <w:color w:val="000000"/>
          <w:sz w:val="22"/>
          <w:szCs w:val="22"/>
        </w:rPr>
      </w:pPr>
      <w:r w:rsidRPr="00E50EBD">
        <w:rPr>
          <w:rFonts w:ascii="Arial Narrow" w:hAnsi="Arial Narrow" w:cs="Arial Narrow"/>
          <w:color w:val="000000"/>
          <w:sz w:val="22"/>
          <w:szCs w:val="22"/>
        </w:rPr>
        <w:t xml:space="preserve">Prognóza </w:t>
      </w:r>
      <w:r w:rsidRPr="00E50EBD">
        <w:rPr>
          <w:rFonts w:ascii="Arial Narrow" w:hAnsi="Arial Narrow" w:cs="Arial Narrow"/>
          <w:b/>
          <w:bCs/>
          <w:color w:val="000000"/>
          <w:sz w:val="22"/>
          <w:szCs w:val="22"/>
        </w:rPr>
        <w:t>dane z príjmov vyberanej zrážkou</w:t>
      </w:r>
      <w:r w:rsidRPr="00E50EBD">
        <w:rPr>
          <w:rFonts w:ascii="Arial Narrow" w:hAnsi="Arial Narrow" w:cs="Arial Narrow"/>
          <w:color w:val="000000"/>
          <w:sz w:val="22"/>
          <w:szCs w:val="22"/>
        </w:rPr>
        <w:t xml:space="preserve"> na roky 2011 až 2013 vychádza z odhadovaného pomalšieho rastu makroekonomickej základne a očakávaného vývoja priemernej úrokovej m</w:t>
      </w:r>
      <w:r>
        <w:rPr>
          <w:rFonts w:ascii="Arial Narrow" w:hAnsi="Arial Narrow" w:cs="Arial Narrow"/>
          <w:color w:val="000000"/>
          <w:sz w:val="22"/>
          <w:szCs w:val="22"/>
        </w:rPr>
        <w:t xml:space="preserve">iery z celkového objemu vkladov (daň z úrokov na vklady tvorí až 70 % výnosu tejto dane). </w:t>
      </w:r>
      <w:r w:rsidRPr="00E50EBD">
        <w:rPr>
          <w:rFonts w:ascii="Arial Narrow" w:hAnsi="Arial Narrow" w:cs="Arial Narrow"/>
          <w:color w:val="000000"/>
          <w:sz w:val="22"/>
          <w:szCs w:val="22"/>
        </w:rPr>
        <w:t>Výnos dane z príjmov vyberanej zrážkou je v značnej miere ovplyvnený aj licenčnými poplatkami, ktorých výška priamo nesúvisí s makroekonomickým vývojom. Je pomerne časté, že dochádza k jednorazovým výkyvom v ich platbe, a to najmä z dôvodu, že časť licenčných poplatkov sa platí jednorazovo v stanovenej výške pri spustení výroby nového produktu. Na výnos dane z príjmov vyberanej zrážkou bude mať mierne negatívny vplyv aj pokles licenčných poplatkov u subjektov, ktoré ich platia v závislosti od veľkosti tržieb.</w:t>
      </w:r>
    </w:p>
    <w:p w:rsidR="00A1281C" w:rsidRPr="000F375B" w:rsidP="00A1281C">
      <w:pPr>
        <w:bidi w:val="0"/>
        <w:ind w:firstLine="708"/>
        <w:jc w:val="both"/>
        <w:rPr>
          <w:rFonts w:ascii="Arial Narrow" w:hAnsi="Arial Narrow" w:cs="Arial Narrow"/>
          <w:color w:val="000000"/>
          <w:sz w:val="22"/>
          <w:szCs w:val="22"/>
        </w:rPr>
      </w:pPr>
    </w:p>
    <w:p w:rsidR="00A1281C" w:rsidRPr="00DF45EC" w:rsidP="00A1281C">
      <w:pPr>
        <w:bidi w:val="0"/>
        <w:jc w:val="both"/>
        <w:rPr>
          <w:rFonts w:ascii="Arial Narrow" w:hAnsi="Arial Narrow" w:cs="Arial Narrow"/>
          <w:sz w:val="22"/>
          <w:szCs w:val="22"/>
        </w:rPr>
      </w:pPr>
      <w:r w:rsidRPr="00DF45EC">
        <w:rPr>
          <w:rFonts w:ascii="Arial Narrow" w:hAnsi="Arial Narrow" w:cs="Arial Narrow"/>
          <w:sz w:val="22"/>
          <w:szCs w:val="22"/>
        </w:rPr>
        <w:tab/>
      </w:r>
      <w:r>
        <w:rPr>
          <w:rFonts w:ascii="Arial Narrow" w:hAnsi="Arial Narrow" w:cs="Arial Narrow"/>
          <w:sz w:val="22"/>
          <w:szCs w:val="22"/>
        </w:rPr>
        <w:t xml:space="preserve">Výnos </w:t>
      </w:r>
      <w:r w:rsidRPr="00DF45EC">
        <w:rPr>
          <w:rFonts w:ascii="Arial Narrow" w:hAnsi="Arial Narrow" w:cs="Arial Narrow"/>
          <w:b/>
          <w:bCs/>
          <w:sz w:val="22"/>
          <w:szCs w:val="22"/>
        </w:rPr>
        <w:t>dan</w:t>
      </w:r>
      <w:r>
        <w:rPr>
          <w:rFonts w:ascii="Arial Narrow" w:hAnsi="Arial Narrow" w:cs="Arial Narrow"/>
          <w:b/>
          <w:bCs/>
          <w:sz w:val="22"/>
          <w:szCs w:val="22"/>
        </w:rPr>
        <w:t>e</w:t>
      </w:r>
      <w:r w:rsidRPr="00DF45EC">
        <w:rPr>
          <w:rFonts w:ascii="Arial Narrow" w:hAnsi="Arial Narrow" w:cs="Arial Narrow"/>
          <w:b/>
          <w:bCs/>
          <w:sz w:val="22"/>
          <w:szCs w:val="22"/>
        </w:rPr>
        <w:t xml:space="preserve"> z pridanej hodnoty</w:t>
      </w:r>
      <w:r w:rsidRPr="00DF45EC">
        <w:rPr>
          <w:rFonts w:ascii="Arial Narrow" w:hAnsi="Arial Narrow" w:cs="Arial Narrow"/>
          <w:sz w:val="22"/>
          <w:szCs w:val="22"/>
        </w:rPr>
        <w:t xml:space="preserve"> </w:t>
      </w:r>
      <w:r>
        <w:rPr>
          <w:rFonts w:ascii="Arial Narrow" w:hAnsi="Arial Narrow" w:cs="Arial Narrow"/>
          <w:sz w:val="22"/>
          <w:szCs w:val="22"/>
        </w:rPr>
        <w:t>bude v roku 2011 pozitívne ovplyvnený sumou 150 mil. eur, ktorú štát zaplatí za úseky cestných komunikácií, ktoré budú v roku 2011 odovzdané do predčasného užívania alebo ktoré dostanú kolaudačné rozhodnutie. Zmluvné strany sa dohodli, že faktúra na zaplatenie DPH bude vystavená a záväzok DPH zaplatený v rovnakom kalendárnom roku tak, aby celá operácia bola rozpočtovo neutrálna. V rokoch 2012 a 2013 bude celkový výnos DPH rásť pomalšie ako spotrebné výdavky</w:t>
      </w:r>
      <w:r w:rsidRPr="00DF45EC">
        <w:rPr>
          <w:rFonts w:ascii="Arial Narrow" w:hAnsi="Arial Narrow" w:cs="Arial Narrow"/>
          <w:sz w:val="22"/>
          <w:szCs w:val="22"/>
        </w:rPr>
        <w:t xml:space="preserve"> domácn</w:t>
      </w:r>
      <w:r>
        <w:rPr>
          <w:rFonts w:ascii="Arial Narrow" w:hAnsi="Arial Narrow" w:cs="Arial Narrow"/>
          <w:sz w:val="22"/>
          <w:szCs w:val="22"/>
        </w:rPr>
        <w:t>ostí</w:t>
      </w:r>
      <w:r w:rsidRPr="00DF45EC">
        <w:rPr>
          <w:rFonts w:ascii="Arial Narrow" w:hAnsi="Arial Narrow" w:cs="Arial Narrow"/>
          <w:sz w:val="22"/>
          <w:szCs w:val="22"/>
        </w:rPr>
        <w:t>.</w:t>
      </w:r>
      <w:r>
        <w:rPr>
          <w:rFonts w:ascii="Arial Narrow" w:hAnsi="Arial Narrow" w:cs="Arial Narrow"/>
          <w:sz w:val="22"/>
          <w:szCs w:val="22"/>
        </w:rPr>
        <w:t xml:space="preserve"> Negatívne bude ovplyvnený zrušením zákazu odpočítania dane pri kúpe a nájme osobného automobilu registrovaného v kategórii M1 a pozitívne zvýšením základnej sadzby dane z 19 % na 20 % a zrušením 6% sadzby dane na „predaj z dvora“.</w:t>
      </w:r>
    </w:p>
    <w:p w:rsidR="00A1281C" w:rsidRPr="00781A2C" w:rsidP="00A1281C">
      <w:pPr>
        <w:bidi w:val="0"/>
        <w:rPr>
          <w:rFonts w:ascii="Arial Narrow" w:hAnsi="Arial Narrow" w:cs="Arial Narrow"/>
          <w:sz w:val="22"/>
          <w:szCs w:val="22"/>
        </w:rPr>
      </w:pPr>
    </w:p>
    <w:p w:rsidR="00A1281C" w:rsidRPr="00746663"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Výnosy </w:t>
      </w:r>
      <w:r w:rsidRPr="004226BE">
        <w:rPr>
          <w:rFonts w:ascii="Arial Narrow" w:hAnsi="Arial Narrow" w:cs="Arial Narrow"/>
          <w:b/>
          <w:bCs/>
          <w:sz w:val="22"/>
          <w:szCs w:val="22"/>
        </w:rPr>
        <w:t>spotrebných daní</w:t>
      </w:r>
      <w:r>
        <w:rPr>
          <w:rFonts w:ascii="Arial Narrow" w:hAnsi="Arial Narrow" w:cs="Arial Narrow"/>
          <w:sz w:val="22"/>
          <w:szCs w:val="22"/>
        </w:rPr>
        <w:t xml:space="preserve"> v metodike ESA 95 budú rásť v súlade s tempom rastu spotreby domácností v stálych cenách, pričom významné sú predovšetkým tri efekty. Prvý efekt je daný skutočnosťou, že na výnose dane z tabakových výrobkov sa v roku 2010 už naplno prejavia nové sadzby účinné od 1. 2. 2009, pretože z dôvodu predzásobenia sa v priebehu roka 2009 ešte predávali cigarety s nižšou sadzbou dane. Druhý výrazný vplyv na výnosy spotrebných daní predstavuje zníženie sadzby na naftu s účinnosťou od 1.</w:t>
      </w:r>
      <w:r w:rsidR="00D564D1">
        <w:rPr>
          <w:rFonts w:ascii="Arial Narrow" w:hAnsi="Arial Narrow" w:cs="Arial Narrow"/>
          <w:sz w:val="22"/>
          <w:szCs w:val="22"/>
        </w:rPr>
        <w:t xml:space="preserve"> </w:t>
      </w:r>
      <w:r>
        <w:rPr>
          <w:rFonts w:ascii="Arial Narrow" w:hAnsi="Arial Narrow" w:cs="Arial Narrow"/>
          <w:sz w:val="22"/>
          <w:szCs w:val="22"/>
        </w:rPr>
        <w:t>2.</w:t>
      </w:r>
      <w:r w:rsidR="00D564D1">
        <w:rPr>
          <w:rFonts w:ascii="Arial Narrow" w:hAnsi="Arial Narrow" w:cs="Arial Narrow"/>
          <w:sz w:val="22"/>
          <w:szCs w:val="22"/>
        </w:rPr>
        <w:t xml:space="preserve"> </w:t>
      </w:r>
      <w:r>
        <w:rPr>
          <w:rFonts w:ascii="Arial Narrow" w:hAnsi="Arial Narrow" w:cs="Arial Narrow"/>
          <w:sz w:val="22"/>
          <w:szCs w:val="22"/>
        </w:rPr>
        <w:t xml:space="preserve">2010. V roku 2010 sa odhaduje negatívny vplyv na výnos spotrebnej dane z minerálneho oleja na úrovni 81 000 tis. eur, s postupným nárastom až na úroveň 96 729 tis. eur v roku </w:t>
      </w:r>
      <w:r w:rsidRPr="00746663">
        <w:rPr>
          <w:rFonts w:ascii="Arial Narrow" w:hAnsi="Arial Narrow" w:cs="Arial Narrow"/>
          <w:sz w:val="22"/>
          <w:szCs w:val="22"/>
        </w:rPr>
        <w:t>2013. Tretí</w:t>
      </w:r>
      <w:r>
        <w:rPr>
          <w:rFonts w:ascii="Arial Narrow" w:hAnsi="Arial Narrow" w:cs="Arial Narrow"/>
          <w:sz w:val="22"/>
          <w:szCs w:val="22"/>
        </w:rPr>
        <w:t>m</w:t>
      </w:r>
      <w:r w:rsidRPr="00746663">
        <w:rPr>
          <w:rFonts w:ascii="Arial Narrow" w:hAnsi="Arial Narrow" w:cs="Arial Narrow"/>
          <w:sz w:val="22"/>
          <w:szCs w:val="22"/>
        </w:rPr>
        <w:t xml:space="preserve"> efekt</w:t>
      </w:r>
      <w:r>
        <w:rPr>
          <w:rFonts w:ascii="Arial Narrow" w:hAnsi="Arial Narrow" w:cs="Arial Narrow"/>
          <w:sz w:val="22"/>
          <w:szCs w:val="22"/>
        </w:rPr>
        <w:t>om</w:t>
      </w:r>
      <w:r w:rsidRPr="00746663">
        <w:rPr>
          <w:rFonts w:ascii="Arial Narrow" w:hAnsi="Arial Narrow" w:cs="Arial Narrow"/>
          <w:sz w:val="22"/>
          <w:szCs w:val="22"/>
        </w:rPr>
        <w:t xml:space="preserve"> </w:t>
      </w:r>
      <w:r>
        <w:rPr>
          <w:rFonts w:ascii="Arial Narrow" w:hAnsi="Arial Narrow" w:cs="Arial Narrow"/>
          <w:sz w:val="22"/>
          <w:szCs w:val="22"/>
        </w:rPr>
        <w:t xml:space="preserve">sú nové legislatívne opatrenia, ktorých celkový pozitívny vplyv </w:t>
      </w:r>
      <w:r w:rsidRPr="00746663">
        <w:rPr>
          <w:rFonts w:ascii="Arial Narrow" w:hAnsi="Arial Narrow" w:cs="Arial Narrow"/>
          <w:sz w:val="22"/>
          <w:szCs w:val="22"/>
        </w:rPr>
        <w:t>sa odhaduje v prvom roku na 135,2 mil</w:t>
      </w:r>
      <w:r>
        <w:rPr>
          <w:rFonts w:ascii="Arial Narrow" w:hAnsi="Arial Narrow" w:cs="Arial Narrow"/>
          <w:sz w:val="22"/>
          <w:szCs w:val="22"/>
        </w:rPr>
        <w:t>. eur</w:t>
      </w:r>
      <w:r w:rsidRPr="00746663">
        <w:rPr>
          <w:rFonts w:ascii="Arial Narrow" w:hAnsi="Arial Narrow" w:cs="Arial Narrow"/>
          <w:sz w:val="22"/>
          <w:szCs w:val="22"/>
        </w:rPr>
        <w:t xml:space="preserve">, 158,8 mil. </w:t>
      </w:r>
      <w:r>
        <w:rPr>
          <w:rFonts w:ascii="Arial Narrow" w:hAnsi="Arial Narrow" w:cs="Arial Narrow"/>
          <w:sz w:val="22"/>
          <w:szCs w:val="22"/>
        </w:rPr>
        <w:t>eur</w:t>
      </w:r>
      <w:r w:rsidRPr="00746663">
        <w:rPr>
          <w:rFonts w:ascii="Arial Narrow" w:hAnsi="Arial Narrow" w:cs="Arial Narrow"/>
          <w:sz w:val="22"/>
          <w:szCs w:val="22"/>
        </w:rPr>
        <w:t xml:space="preserve"> v roku 2012 a 182,5 mil. </w:t>
      </w:r>
      <w:r>
        <w:rPr>
          <w:rFonts w:ascii="Arial Narrow" w:hAnsi="Arial Narrow" w:cs="Arial Narrow"/>
          <w:sz w:val="22"/>
          <w:szCs w:val="22"/>
        </w:rPr>
        <w:t>eur</w:t>
      </w:r>
      <w:r w:rsidRPr="00746663">
        <w:rPr>
          <w:rFonts w:ascii="Arial Narrow" w:hAnsi="Arial Narrow" w:cs="Arial Narrow"/>
          <w:sz w:val="22"/>
          <w:szCs w:val="22"/>
        </w:rPr>
        <w:t xml:space="preserve"> v roku 2013.</w:t>
      </w:r>
    </w:p>
    <w:p w:rsidR="00A1281C" w:rsidRPr="00746663" w:rsidP="00A1281C">
      <w:pPr>
        <w:bidi w:val="0"/>
        <w:jc w:val="both"/>
        <w:rPr>
          <w:rFonts w:ascii="Arial Narrow" w:hAnsi="Arial Narrow" w:cs="Arial Narrow"/>
          <w:sz w:val="22"/>
          <w:szCs w:val="22"/>
        </w:rPr>
      </w:pPr>
    </w:p>
    <w:p w:rsidR="00A1281C" w:rsidRPr="00DF45E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 xml:space="preserve">Podľa </w:t>
      </w:r>
      <w:r w:rsidRPr="00DF45EC">
        <w:rPr>
          <w:rFonts w:ascii="Arial Narrow" w:hAnsi="Arial Narrow" w:cs="Arial Narrow"/>
          <w:b/>
          <w:bCs/>
          <w:sz w:val="22"/>
          <w:szCs w:val="22"/>
        </w:rPr>
        <w:t>zákona o miestnych daniach</w:t>
      </w:r>
      <w:r w:rsidRPr="00DF45EC">
        <w:rPr>
          <w:rFonts w:ascii="Arial Narrow" w:hAnsi="Arial Narrow" w:cs="Arial Narrow"/>
          <w:sz w:val="22"/>
          <w:szCs w:val="22"/>
        </w:rPr>
        <w:t xml:space="preserve"> a miestnom poplatku za komunálne odpady a drobné stavebné odpady, ktorý upravuje daň z nehnuteľností, dane za špecifické služby a daň z motorových vozidiel, majú stanovenie výšky sadzieb daní v kompetencii jednotlivé obce (daň z nehnuteľností a dane za špecifické služby) a VÚC (daň z mot</w:t>
      </w:r>
      <w:r>
        <w:rPr>
          <w:rFonts w:ascii="Arial Narrow" w:hAnsi="Arial Narrow" w:cs="Arial Narrow"/>
          <w:sz w:val="22"/>
          <w:szCs w:val="22"/>
        </w:rPr>
        <w:t>orových vozidiel). Odhad MF SR pri týchto daniach</w:t>
      </w:r>
      <w:r w:rsidRPr="00DF45EC">
        <w:rPr>
          <w:rFonts w:ascii="Arial Narrow" w:hAnsi="Arial Narrow" w:cs="Arial Narrow"/>
          <w:sz w:val="22"/>
          <w:szCs w:val="22"/>
        </w:rPr>
        <w:t xml:space="preserve"> je preto len indikatívny, nakoľko subjekty samosprávy si zostavujú</w:t>
      </w:r>
      <w:r>
        <w:rPr>
          <w:rFonts w:ascii="Arial Narrow" w:hAnsi="Arial Narrow" w:cs="Arial Narrow"/>
          <w:sz w:val="22"/>
          <w:szCs w:val="22"/>
        </w:rPr>
        <w:t xml:space="preserve"> vlastné rozpočty.</w:t>
      </w:r>
    </w:p>
    <w:p w:rsidR="00A1281C" w:rsidRPr="00DF45EC" w:rsidP="00A1281C">
      <w:pPr>
        <w:bidi w:val="0"/>
        <w:jc w:val="both"/>
        <w:rPr>
          <w:color w:val="FF0000"/>
          <w:highlight w:val="yellow"/>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 xml:space="preserve">Odhad výnosu </w:t>
      </w:r>
      <w:r w:rsidRPr="00DF45EC">
        <w:rPr>
          <w:rFonts w:ascii="Arial Narrow" w:hAnsi="Arial Narrow" w:cs="Arial Narrow"/>
          <w:b/>
          <w:bCs/>
          <w:sz w:val="22"/>
          <w:szCs w:val="22"/>
        </w:rPr>
        <w:t>ostatných daní</w:t>
      </w:r>
      <w:r w:rsidRPr="00DF45EC">
        <w:rPr>
          <w:rFonts w:ascii="Arial Narrow" w:hAnsi="Arial Narrow" w:cs="Arial Narrow"/>
          <w:sz w:val="22"/>
          <w:szCs w:val="22"/>
        </w:rPr>
        <w:t xml:space="preserve"> je tvorený odhadom výnosov z podielu na vybratých finančných prostriedkoch</w:t>
      </w:r>
      <w:r>
        <w:rPr>
          <w:rFonts w:ascii="Arial Narrow" w:hAnsi="Arial Narrow" w:cs="Arial Narrow"/>
          <w:sz w:val="22"/>
          <w:szCs w:val="22"/>
        </w:rPr>
        <w:t xml:space="preserve"> EÚ</w:t>
      </w:r>
      <w:r w:rsidRPr="00DF45EC">
        <w:rPr>
          <w:rFonts w:ascii="Arial Narrow" w:hAnsi="Arial Narrow" w:cs="Arial Narrow"/>
          <w:sz w:val="22"/>
          <w:szCs w:val="22"/>
        </w:rPr>
        <w:t>, z úhrad za dobývací priestor</w:t>
      </w:r>
      <w:r>
        <w:rPr>
          <w:rFonts w:ascii="Arial Narrow" w:hAnsi="Arial Narrow" w:cs="Arial Narrow"/>
          <w:sz w:val="22"/>
          <w:szCs w:val="22"/>
        </w:rPr>
        <w:t xml:space="preserve">, </w:t>
      </w:r>
      <w:r w:rsidRPr="00DF45EC">
        <w:rPr>
          <w:rFonts w:ascii="Arial Narrow" w:hAnsi="Arial Narrow" w:cs="Arial Narrow"/>
          <w:sz w:val="22"/>
          <w:szCs w:val="22"/>
        </w:rPr>
        <w:t>z úhrad za uskladňovanie plynov alebo kvapalín</w:t>
      </w:r>
      <w:r>
        <w:rPr>
          <w:rFonts w:ascii="Arial Narrow" w:hAnsi="Arial Narrow" w:cs="Arial Narrow"/>
          <w:sz w:val="22"/>
          <w:szCs w:val="22"/>
        </w:rPr>
        <w:t xml:space="preserve"> a z úhrady za služby verejnosti poskytované STV a SRo</w:t>
      </w:r>
      <w:r w:rsidRPr="00DF45EC">
        <w:rPr>
          <w:rFonts w:ascii="Arial Narrow" w:hAnsi="Arial Narrow" w:cs="Arial Narrow"/>
          <w:sz w:val="22"/>
          <w:szCs w:val="22"/>
        </w:rPr>
        <w:t>. Výnos z podielu na vybratých finančných prostriedkoch</w:t>
      </w:r>
      <w:r>
        <w:rPr>
          <w:rFonts w:ascii="Arial Narrow" w:hAnsi="Arial Narrow" w:cs="Arial Narrow"/>
          <w:sz w:val="22"/>
          <w:szCs w:val="22"/>
        </w:rPr>
        <w:t xml:space="preserve"> EÚ</w:t>
      </w:r>
      <w:r w:rsidRPr="00DF45EC">
        <w:rPr>
          <w:rFonts w:ascii="Arial Narrow" w:hAnsi="Arial Narrow" w:cs="Arial Narrow"/>
          <w:sz w:val="22"/>
          <w:szCs w:val="22"/>
        </w:rPr>
        <w:t xml:space="preserve"> je tvorený 25</w:t>
      </w:r>
      <w:r>
        <w:rPr>
          <w:rFonts w:ascii="Arial Narrow" w:hAnsi="Arial Narrow" w:cs="Arial Narrow"/>
          <w:sz w:val="22"/>
          <w:szCs w:val="22"/>
        </w:rPr>
        <w:t xml:space="preserve"> </w:t>
      </w:r>
      <w:r w:rsidRPr="00DF45EC">
        <w:rPr>
          <w:rFonts w:ascii="Arial Narrow" w:hAnsi="Arial Narrow" w:cs="Arial Narrow"/>
          <w:sz w:val="22"/>
          <w:szCs w:val="22"/>
        </w:rPr>
        <w:t>% zo sumy vlastných tradičných zdrojov EÚ pripadajúcich na dovozné clo, ostávajúcich 75</w:t>
      </w:r>
      <w:r>
        <w:rPr>
          <w:rFonts w:ascii="Arial Narrow" w:hAnsi="Arial Narrow" w:cs="Arial Narrow"/>
          <w:sz w:val="22"/>
          <w:szCs w:val="22"/>
        </w:rPr>
        <w:t xml:space="preserve"> </w:t>
      </w:r>
      <w:r w:rsidRPr="00DF45EC">
        <w:rPr>
          <w:rFonts w:ascii="Arial Narrow" w:hAnsi="Arial Narrow" w:cs="Arial Narrow"/>
          <w:sz w:val="22"/>
          <w:szCs w:val="22"/>
        </w:rPr>
        <w:t xml:space="preserve">% plynie priamo do rozpočtu EÚ. </w:t>
      </w:r>
      <w:r>
        <w:rPr>
          <w:rFonts w:ascii="Arial Narrow" w:hAnsi="Arial Narrow" w:cs="Arial Narrow"/>
          <w:sz w:val="22"/>
          <w:szCs w:val="22"/>
        </w:rPr>
        <w:t>V</w:t>
      </w:r>
      <w:r w:rsidRPr="00DF45EC">
        <w:rPr>
          <w:rFonts w:ascii="Arial Narrow" w:hAnsi="Arial Narrow" w:cs="Arial Narrow"/>
          <w:sz w:val="22"/>
          <w:szCs w:val="22"/>
        </w:rPr>
        <w:t xml:space="preserve">ýnos dane z úhrad za uskladňovanie plynov alebo kvapalín, ktorý je príjmom Environmentálneho fondu, sa očakáva v rokoch </w:t>
      </w:r>
      <w:r>
        <w:rPr>
          <w:rFonts w:ascii="Arial Narrow" w:hAnsi="Arial Narrow" w:cs="Arial Narrow"/>
          <w:sz w:val="22"/>
          <w:szCs w:val="22"/>
        </w:rPr>
        <w:t>2011 až 2013 v rozmedzí 870 tis. eur až 875 tis. eur. Prognóza</w:t>
      </w:r>
      <w:r w:rsidRPr="0080765E">
        <w:rPr>
          <w:rFonts w:ascii="Arial Narrow" w:hAnsi="Arial Narrow" w:cs="Arial Narrow"/>
          <w:sz w:val="22"/>
          <w:szCs w:val="22"/>
        </w:rPr>
        <w:t xml:space="preserve"> </w:t>
      </w:r>
      <w:r>
        <w:rPr>
          <w:rFonts w:ascii="Arial Narrow" w:hAnsi="Arial Narrow" w:cs="Arial Narrow"/>
          <w:sz w:val="22"/>
          <w:szCs w:val="22"/>
        </w:rPr>
        <w:t>úhrady za služby verejnosti poskytované STV a SRo predpokladá, že v roku 2011 dosiahne výšku 75 821 tis. eur. V rokoch 2012 a 2013 sa s výnosom z tejto dane neuvažuje, nakoľko by mala byť zrušená.</w:t>
      </w:r>
    </w:p>
    <w:p w:rsidR="00A1281C" w:rsidP="00A1281C">
      <w:pPr>
        <w:bidi w:val="0"/>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Súčasťou ostatných daní sú aj zrušené majetkové dane, z ktorých naďalej plynú dobiehajúce platby d</w:t>
      </w:r>
      <w:r>
        <w:rPr>
          <w:rFonts w:ascii="Arial Narrow" w:hAnsi="Arial Narrow" w:cs="Arial Narrow"/>
          <w:sz w:val="22"/>
          <w:szCs w:val="22"/>
        </w:rPr>
        <w:t>o štátneho rozpočtu. V roku 2009</w:t>
      </w:r>
      <w:r w:rsidRPr="00DF45EC">
        <w:rPr>
          <w:rFonts w:ascii="Arial Narrow" w:hAnsi="Arial Narrow" w:cs="Arial Narrow"/>
          <w:sz w:val="22"/>
          <w:szCs w:val="22"/>
        </w:rPr>
        <w:t xml:space="preserve"> </w:t>
      </w:r>
      <w:r>
        <w:rPr>
          <w:rFonts w:ascii="Arial Narrow" w:hAnsi="Arial Narrow" w:cs="Arial Narrow"/>
          <w:sz w:val="22"/>
          <w:szCs w:val="22"/>
        </w:rPr>
        <w:t xml:space="preserve">dosiahol výnos </w:t>
      </w:r>
      <w:r w:rsidRPr="00DF45EC">
        <w:rPr>
          <w:rFonts w:ascii="Arial Narrow" w:hAnsi="Arial Narrow" w:cs="Arial Narrow"/>
          <w:sz w:val="22"/>
          <w:szCs w:val="22"/>
        </w:rPr>
        <w:t xml:space="preserve">z týchto daní </w:t>
      </w:r>
      <w:r>
        <w:rPr>
          <w:rFonts w:ascii="Arial Narrow" w:hAnsi="Arial Narrow" w:cs="Arial Narrow"/>
          <w:sz w:val="22"/>
          <w:szCs w:val="22"/>
        </w:rPr>
        <w:t>454 tis. eur a ku koncu augusta 2010 dosiahol</w:t>
      </w:r>
      <w:r w:rsidRPr="0024598E">
        <w:rPr>
          <w:rFonts w:ascii="Arial Narrow" w:hAnsi="Arial Narrow" w:cs="Arial Narrow"/>
          <w:sz w:val="22"/>
          <w:szCs w:val="22"/>
        </w:rPr>
        <w:t xml:space="preserve"> </w:t>
      </w:r>
      <w:r>
        <w:rPr>
          <w:rFonts w:ascii="Arial Narrow" w:hAnsi="Arial Narrow" w:cs="Arial Narrow"/>
          <w:sz w:val="22"/>
          <w:szCs w:val="22"/>
        </w:rPr>
        <w:t>454</w:t>
      </w:r>
      <w:r w:rsidRPr="0024598E">
        <w:rPr>
          <w:rFonts w:ascii="Arial Narrow" w:hAnsi="Arial Narrow" w:cs="Arial Narrow"/>
          <w:sz w:val="22"/>
          <w:szCs w:val="22"/>
        </w:rPr>
        <w:t xml:space="preserve"> tis</w:t>
      </w:r>
      <w:r>
        <w:rPr>
          <w:rFonts w:ascii="Arial Narrow" w:hAnsi="Arial Narrow" w:cs="Arial Narrow"/>
          <w:sz w:val="22"/>
          <w:szCs w:val="22"/>
        </w:rPr>
        <w:t xml:space="preserve">. eur. Pre </w:t>
      </w:r>
      <w:r w:rsidRPr="00DF45EC">
        <w:rPr>
          <w:rFonts w:ascii="Arial Narrow" w:hAnsi="Arial Narrow" w:cs="Arial Narrow"/>
          <w:sz w:val="22"/>
          <w:szCs w:val="22"/>
        </w:rPr>
        <w:t>nasledujúc</w:t>
      </w:r>
      <w:r>
        <w:rPr>
          <w:rFonts w:ascii="Arial Narrow" w:hAnsi="Arial Narrow" w:cs="Arial Narrow"/>
          <w:sz w:val="22"/>
          <w:szCs w:val="22"/>
        </w:rPr>
        <w:t>e</w:t>
      </w:r>
      <w:r w:rsidRPr="00DF45EC">
        <w:rPr>
          <w:rFonts w:ascii="Arial Narrow" w:hAnsi="Arial Narrow" w:cs="Arial Narrow"/>
          <w:sz w:val="22"/>
          <w:szCs w:val="22"/>
        </w:rPr>
        <w:t xml:space="preserve"> rok</w:t>
      </w:r>
      <w:r>
        <w:rPr>
          <w:rFonts w:ascii="Arial Narrow" w:hAnsi="Arial Narrow" w:cs="Arial Narrow"/>
          <w:sz w:val="22"/>
          <w:szCs w:val="22"/>
        </w:rPr>
        <w:t>y</w:t>
      </w:r>
      <w:r w:rsidRPr="00DF45EC">
        <w:rPr>
          <w:rFonts w:ascii="Arial Narrow" w:hAnsi="Arial Narrow" w:cs="Arial Narrow"/>
          <w:sz w:val="22"/>
          <w:szCs w:val="22"/>
        </w:rPr>
        <w:t xml:space="preserve"> sa už </w:t>
      </w:r>
      <w:r>
        <w:rPr>
          <w:rFonts w:ascii="Arial Narrow" w:hAnsi="Arial Narrow" w:cs="Arial Narrow"/>
          <w:sz w:val="22"/>
          <w:szCs w:val="22"/>
        </w:rPr>
        <w:t xml:space="preserve">tieto </w:t>
      </w:r>
      <w:r w:rsidRPr="00DF45EC">
        <w:rPr>
          <w:rFonts w:ascii="Arial Narrow" w:hAnsi="Arial Narrow" w:cs="Arial Narrow"/>
          <w:sz w:val="22"/>
          <w:szCs w:val="22"/>
        </w:rPr>
        <w:t>dan</w:t>
      </w:r>
      <w:r>
        <w:rPr>
          <w:rFonts w:ascii="Arial Narrow" w:hAnsi="Arial Narrow" w:cs="Arial Narrow"/>
          <w:sz w:val="22"/>
          <w:szCs w:val="22"/>
        </w:rPr>
        <w:t>e nerozpočtujú</w:t>
      </w:r>
      <w:r w:rsidRPr="00DF45EC">
        <w:rPr>
          <w:rFonts w:ascii="Arial Narrow" w:hAnsi="Arial Narrow" w:cs="Arial Narrow"/>
          <w:sz w:val="22"/>
          <w:szCs w:val="22"/>
        </w:rPr>
        <w:t>.</w:t>
      </w:r>
    </w:p>
    <w:p w:rsidR="00A1281C" w:rsidP="00A1281C">
      <w:pPr>
        <w:bidi w:val="0"/>
        <w:ind w:firstLine="708"/>
        <w:jc w:val="both"/>
        <w:rPr>
          <w:rFonts w:ascii="Arial Narrow" w:hAnsi="Arial Narrow" w:cs="Arial Narrow"/>
          <w:sz w:val="22"/>
          <w:szCs w:val="22"/>
        </w:rPr>
      </w:pPr>
    </w:p>
    <w:p w:rsidR="00783727" w:rsidP="00A1281C">
      <w:pPr>
        <w:bidi w:val="0"/>
        <w:rPr>
          <w:rFonts w:ascii="Arial Narrow" w:hAnsi="Arial Narrow" w:cs="Arial Narrow"/>
          <w:b/>
          <w:bCs/>
        </w:rPr>
      </w:pPr>
    </w:p>
    <w:p w:rsidR="00783727" w:rsidP="00A1281C">
      <w:pPr>
        <w:bidi w:val="0"/>
        <w:rPr>
          <w:rFonts w:ascii="Arial Narrow" w:hAnsi="Arial Narrow" w:cs="Arial Narrow"/>
          <w:b/>
          <w:bCs/>
        </w:rPr>
      </w:pPr>
    </w:p>
    <w:p w:rsidR="00783727" w:rsidP="00A1281C">
      <w:pPr>
        <w:bidi w:val="0"/>
        <w:rPr>
          <w:rFonts w:ascii="Arial Narrow" w:hAnsi="Arial Narrow" w:cs="Arial Narrow"/>
          <w:b/>
          <w:bCs/>
        </w:rPr>
      </w:pPr>
    </w:p>
    <w:p w:rsidR="00783727" w:rsidP="00A1281C">
      <w:pPr>
        <w:bidi w:val="0"/>
        <w:rPr>
          <w:rFonts w:ascii="Arial Narrow" w:hAnsi="Arial Narrow" w:cs="Arial Narrow"/>
          <w:b/>
          <w:bCs/>
        </w:rPr>
      </w:pPr>
    </w:p>
    <w:p w:rsidR="00A1281C" w:rsidP="00A1281C">
      <w:pPr>
        <w:bidi w:val="0"/>
        <w:rPr>
          <w:rFonts w:ascii="Arial Narrow" w:hAnsi="Arial Narrow" w:cs="Arial Narrow"/>
          <w:b/>
          <w:bCs/>
        </w:rPr>
      </w:pPr>
      <w:r w:rsidRPr="00DF45EC">
        <w:rPr>
          <w:rFonts w:ascii="Arial Narrow" w:hAnsi="Arial Narrow" w:cs="Arial Narrow"/>
          <w:b/>
          <w:bCs/>
        </w:rPr>
        <w:t>Kvantifikácia daňových príjmov</w:t>
      </w:r>
    </w:p>
    <w:p w:rsidR="00A1281C" w:rsidRPr="00ED2A90" w:rsidP="00A1281C">
      <w:pPr>
        <w:bidi w:val="0"/>
        <w:jc w:val="both"/>
        <w:outlineLvl w:val="0"/>
        <w:rPr>
          <w:rFonts w:ascii="Arial Narrow" w:hAnsi="Arial Narrow" w:cs="Arial Narrow"/>
          <w:sz w:val="22"/>
          <w:szCs w:val="22"/>
        </w:rPr>
      </w:pPr>
    </w:p>
    <w:p w:rsidR="00A1281C" w:rsidRPr="00037E56" w:rsidP="00A1281C">
      <w:pPr>
        <w:bidi w:val="0"/>
        <w:ind w:firstLine="708"/>
        <w:jc w:val="both"/>
        <w:rPr>
          <w:rFonts w:ascii="Arial Narrow" w:hAnsi="Arial Narrow" w:cs="Arial Narrow"/>
          <w:sz w:val="22"/>
          <w:szCs w:val="22"/>
        </w:rPr>
      </w:pPr>
      <w:r w:rsidRPr="00037E56">
        <w:rPr>
          <w:rFonts w:ascii="Arial Narrow" w:hAnsi="Arial Narrow" w:cs="Arial Narrow"/>
          <w:sz w:val="22"/>
          <w:szCs w:val="22"/>
        </w:rPr>
        <w:t xml:space="preserve">Medzi </w:t>
      </w:r>
      <w:r w:rsidRPr="00037E56">
        <w:rPr>
          <w:rFonts w:ascii="Arial Narrow" w:hAnsi="Arial Narrow" w:cs="Arial Narrow"/>
          <w:b/>
          <w:bCs/>
          <w:sz w:val="22"/>
          <w:szCs w:val="22"/>
        </w:rPr>
        <w:t>hlavné riziká prognózy</w:t>
      </w:r>
      <w:r w:rsidRPr="00037E56">
        <w:rPr>
          <w:rFonts w:ascii="Arial Narrow" w:hAnsi="Arial Narrow" w:cs="Arial Narrow"/>
          <w:sz w:val="22"/>
          <w:szCs w:val="22"/>
        </w:rPr>
        <w:t xml:space="preserve"> patrí samotný makroekonomický vývoj</w:t>
      </w:r>
      <w:r>
        <w:rPr>
          <w:rFonts w:ascii="Arial Narrow" w:hAnsi="Arial Narrow" w:cs="Arial Narrow"/>
          <w:sz w:val="22"/>
          <w:szCs w:val="22"/>
        </w:rPr>
        <w:t xml:space="preserve"> a vplyv legislatívnych zmien.</w:t>
      </w:r>
      <w:r w:rsidRPr="00037E56">
        <w:rPr>
          <w:rFonts w:ascii="Arial Narrow" w:hAnsi="Arial Narrow" w:cs="Arial Narrow"/>
          <w:sz w:val="22"/>
          <w:szCs w:val="22"/>
        </w:rPr>
        <w:t xml:space="preserve"> Aktuálna prognóza daňových príjmov je postavená na predpoklade rastu ekonomiky v roku 2010 na úrovni </w:t>
      </w:r>
      <w:r>
        <w:rPr>
          <w:rFonts w:ascii="Arial Narrow" w:hAnsi="Arial Narrow" w:cs="Arial Narrow"/>
          <w:sz w:val="22"/>
          <w:szCs w:val="22"/>
        </w:rPr>
        <w:t xml:space="preserve">4,0 </w:t>
      </w:r>
      <w:r w:rsidRPr="00037E56">
        <w:rPr>
          <w:rFonts w:ascii="Arial Narrow" w:hAnsi="Arial Narrow" w:cs="Arial Narrow"/>
          <w:sz w:val="22"/>
          <w:szCs w:val="22"/>
        </w:rPr>
        <w:t>% a v roku 2011 na úrovni 3,</w:t>
      </w:r>
      <w:r>
        <w:rPr>
          <w:rFonts w:ascii="Arial Narrow" w:hAnsi="Arial Narrow" w:cs="Arial Narrow"/>
          <w:sz w:val="22"/>
          <w:szCs w:val="22"/>
        </w:rPr>
        <w:t xml:space="preserve">3 </w:t>
      </w:r>
      <w:r w:rsidRPr="00037E56">
        <w:rPr>
          <w:rFonts w:ascii="Arial Narrow" w:hAnsi="Arial Narrow" w:cs="Arial Narrow"/>
          <w:sz w:val="22"/>
          <w:szCs w:val="22"/>
        </w:rPr>
        <w:t xml:space="preserve">%, pričom nenaplnenie tohto odhadu sa následne premietne aj do nižšieho výnosu daňových príjmov. </w:t>
      </w:r>
      <w:r>
        <w:rPr>
          <w:rFonts w:ascii="Arial Narrow" w:hAnsi="Arial Narrow" w:cs="Arial Narrow"/>
          <w:sz w:val="22"/>
          <w:szCs w:val="22"/>
        </w:rPr>
        <w:t>Celkový vplyv legislatívnych zmien na výnos daňových príjmov v rokoch 2011 až 2013 sa odhaduje na úrovni 0,4 % HDP, pričom vzhľadom na rozsah zmien existuje riziko výraznejšej odchýlky oproti predpokladom.</w:t>
      </w:r>
    </w:p>
    <w:p w:rsidR="00A1281C" w:rsidRPr="000045C9"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 </w:t>
      </w:r>
    </w:p>
    <w:p w:rsidR="00A1281C" w:rsidP="00A1281C">
      <w:pPr>
        <w:bidi w:val="0"/>
        <w:ind w:firstLine="708"/>
        <w:jc w:val="both"/>
        <w:rPr>
          <w:rFonts w:ascii="Arial Narrow" w:hAnsi="Arial Narrow" w:cs="Arial Narrow"/>
          <w:sz w:val="22"/>
          <w:szCs w:val="22"/>
        </w:rPr>
      </w:pPr>
      <w:r w:rsidRPr="00DF45EC">
        <w:rPr>
          <w:rFonts w:ascii="Arial Narrow" w:hAnsi="Arial Narrow" w:cs="Arial Narrow"/>
          <w:b/>
          <w:bCs/>
          <w:sz w:val="22"/>
          <w:szCs w:val="22"/>
        </w:rPr>
        <w:t>Daňové príjmy na hotovostnej báze</w:t>
      </w:r>
      <w:r w:rsidRPr="00DF45EC">
        <w:rPr>
          <w:rFonts w:ascii="Arial Narrow" w:hAnsi="Arial Narrow" w:cs="Arial Narrow"/>
          <w:sz w:val="22"/>
          <w:szCs w:val="22"/>
        </w:rPr>
        <w:t xml:space="preserve"> sú prezentované v nasledovnej tabuľke. Podľa rozpočtovej klasifikácie sa sankčné úroky (ďalej len sankcie) uložené v daňovom konaní k jednotlivým daniam rozpočtujú v rámci samostatnej kategórie. Tabuľka prezentuje výnosy jednotlivých daní </w:t>
      </w:r>
      <w:r w:rsidRPr="0087604E">
        <w:rPr>
          <w:rFonts w:ascii="Arial Narrow" w:hAnsi="Arial Narrow" w:cs="Arial Narrow"/>
          <w:b/>
          <w:bCs/>
          <w:sz w:val="22"/>
          <w:szCs w:val="22"/>
        </w:rPr>
        <w:t>bez sankcií</w:t>
      </w:r>
      <w:r w:rsidRPr="00DF45EC">
        <w:rPr>
          <w:rFonts w:ascii="Arial Narrow" w:hAnsi="Arial Narrow" w:cs="Arial Narrow"/>
          <w:sz w:val="22"/>
          <w:szCs w:val="22"/>
        </w:rPr>
        <w:t>, pričom v súlade s rozpočtovou klasifikáciou je predpokladaná výška sankcií k jednotlivým daniam uvedená v osobitnej tabuľke.</w:t>
      </w:r>
    </w:p>
    <w:p w:rsidR="00A1281C"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00783727">
        <w:rPr>
          <w:rFonts w:ascii="Arial Narrow" w:hAnsi="Arial Narrow" w:cs="Arial Narrow"/>
          <w:sz w:val="22"/>
          <w:szCs w:val="22"/>
        </w:rPr>
        <w:br w:type="page"/>
      </w:r>
    </w:p>
    <w:tbl>
      <w:tblPr>
        <w:tblStyle w:val="TableNormal"/>
        <w:tblW w:w="9072" w:type="dxa"/>
        <w:jc w:val="center"/>
        <w:tblCellMar>
          <w:left w:w="70" w:type="dxa"/>
          <w:right w:w="70" w:type="dxa"/>
        </w:tblCellMar>
      </w:tblPr>
      <w:tblGrid>
        <w:gridCol w:w="3719"/>
        <w:gridCol w:w="892"/>
        <w:gridCol w:w="893"/>
        <w:gridCol w:w="893"/>
        <w:gridCol w:w="893"/>
        <w:gridCol w:w="893"/>
        <w:gridCol w:w="889"/>
      </w:tblGrid>
      <w:tr>
        <w:tblPrEx>
          <w:tblW w:w="9072" w:type="dxa"/>
          <w:jc w:val="center"/>
          <w:tblCellMar>
            <w:left w:w="70" w:type="dxa"/>
            <w:right w:w="70" w:type="dxa"/>
          </w:tblCellMar>
        </w:tblPrEx>
        <w:trPr>
          <w:trHeight w:val="282"/>
          <w:jc w:val="center"/>
        </w:trPr>
        <w:tc>
          <w:tcPr>
            <w:tcW w:w="2050" w:type="pct"/>
            <w:vMerge w:val="restart"/>
            <w:tcBorders>
              <w:top w:val="single" w:sz="12" w:space="0" w:color="auto"/>
              <w:left w:val="single" w:sz="12" w:space="0" w:color="auto"/>
              <w:bottom w:val="single" w:sz="8" w:space="0" w:color="000000"/>
              <w:right w:val="single" w:sz="12" w:space="0" w:color="auto"/>
            </w:tcBorders>
            <w:shd w:val="clear" w:color="auto" w:fill="C0C0C0"/>
            <w:noWrap/>
            <w:textDirection w:val="lrTb"/>
            <w:vAlign w:val="center"/>
          </w:tcPr>
          <w:p w:rsidR="00A1281C" w:rsidRPr="00783727" w:rsidP="006740C3">
            <w:pPr>
              <w:bidi w:val="0"/>
              <w:rPr>
                <w:rFonts w:ascii="Arial Narrow" w:hAnsi="Arial Narrow" w:cs="Arial Narrow"/>
                <w:b/>
                <w:sz w:val="16"/>
                <w:szCs w:val="16"/>
              </w:rPr>
            </w:pPr>
            <w:r w:rsidRPr="00783727">
              <w:rPr>
                <w:rFonts w:ascii="Arial Narrow" w:hAnsi="Arial Narrow" w:cs="Arial Narrow"/>
                <w:b/>
                <w:sz w:val="16"/>
                <w:szCs w:val="16"/>
              </w:rPr>
              <w:t>Hotovostný princíp, v tis. eur</w:t>
            </w:r>
          </w:p>
        </w:tc>
        <w:tc>
          <w:tcPr>
            <w:tcW w:w="984" w:type="pct"/>
            <w:gridSpan w:val="2"/>
            <w:tcBorders>
              <w:top w:val="single" w:sz="12" w:space="0" w:color="auto"/>
              <w:left w:val="single" w:sz="12" w:space="0" w:color="auto"/>
              <w:bottom w:val="single" w:sz="12" w:space="0" w:color="auto"/>
              <w:right w:val="single" w:sz="12" w:space="0" w:color="auto"/>
            </w:tcBorders>
            <w:shd w:val="clear" w:color="auto" w:fill="C0C0C0"/>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Skutočnosť</w:t>
            </w:r>
          </w:p>
        </w:tc>
        <w:tc>
          <w:tcPr>
            <w:tcW w:w="1966" w:type="pct"/>
            <w:gridSpan w:val="4"/>
            <w:tcBorders>
              <w:top w:val="single" w:sz="12" w:space="0" w:color="auto"/>
              <w:left w:val="single" w:sz="12" w:space="0" w:color="auto"/>
              <w:bottom w:val="single" w:sz="12" w:space="0" w:color="auto"/>
              <w:right w:val="single" w:sz="12" w:space="0" w:color="auto"/>
            </w:tcBorders>
            <w:shd w:val="clear" w:color="auto" w:fill="C0C0C0"/>
            <w:noWrap/>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Prognóza</w:t>
            </w:r>
          </w:p>
        </w:tc>
      </w:tr>
      <w:tr>
        <w:tblPrEx>
          <w:tblW w:w="9072" w:type="dxa"/>
          <w:jc w:val="center"/>
          <w:tblCellMar>
            <w:left w:w="70" w:type="dxa"/>
            <w:right w:w="70" w:type="dxa"/>
          </w:tblCellMar>
        </w:tblPrEx>
        <w:trPr>
          <w:trHeight w:val="282"/>
          <w:jc w:val="center"/>
        </w:trPr>
        <w:tc>
          <w:tcPr>
            <w:tcW w:w="2050" w:type="pct"/>
            <w:vMerge/>
            <w:tcBorders>
              <w:top w:val="single" w:sz="8" w:space="0" w:color="auto"/>
              <w:left w:val="single" w:sz="12" w:space="0" w:color="auto"/>
              <w:bottom w:val="single" w:sz="8" w:space="0" w:color="000000"/>
              <w:right w:val="single" w:sz="12" w:space="0" w:color="auto"/>
            </w:tcBorders>
            <w:textDirection w:val="lrTb"/>
            <w:vAlign w:val="center"/>
          </w:tcPr>
          <w:p w:rsidR="00A1281C" w:rsidRPr="007C11CA" w:rsidP="006740C3">
            <w:pPr>
              <w:bidi w:val="0"/>
              <w:rPr>
                <w:rFonts w:ascii="Arial Narrow" w:hAnsi="Arial Narrow" w:cs="Arial Narrow"/>
                <w:b/>
                <w:bCs/>
                <w:sz w:val="16"/>
                <w:szCs w:val="16"/>
              </w:rPr>
            </w:pPr>
          </w:p>
        </w:tc>
        <w:tc>
          <w:tcPr>
            <w:tcW w:w="492" w:type="pct"/>
            <w:tcBorders>
              <w:top w:val="single" w:sz="12" w:space="0" w:color="auto"/>
              <w:left w:val="single" w:sz="12" w:space="0" w:color="auto"/>
              <w:bottom w:val="single" w:sz="8" w:space="0" w:color="auto"/>
              <w:right w:val="single" w:sz="12" w:space="0" w:color="auto"/>
            </w:tcBorders>
            <w:shd w:val="clear" w:color="auto" w:fill="C0C0C0"/>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2008</w:t>
            </w:r>
          </w:p>
        </w:tc>
        <w:tc>
          <w:tcPr>
            <w:tcW w:w="492" w:type="pct"/>
            <w:tcBorders>
              <w:top w:val="single" w:sz="12" w:space="0" w:color="auto"/>
              <w:left w:val="single" w:sz="12" w:space="0" w:color="auto"/>
              <w:bottom w:val="single" w:sz="8" w:space="0" w:color="auto"/>
              <w:right w:val="single" w:sz="12" w:space="0" w:color="auto"/>
            </w:tcBorders>
            <w:shd w:val="clear" w:color="auto" w:fill="C0C0C0"/>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2009</w:t>
            </w:r>
          </w:p>
        </w:tc>
        <w:tc>
          <w:tcPr>
            <w:tcW w:w="492" w:type="pct"/>
            <w:tcBorders>
              <w:top w:val="single" w:sz="12" w:space="0" w:color="auto"/>
              <w:left w:val="single" w:sz="12" w:space="0" w:color="auto"/>
              <w:bottom w:val="single" w:sz="8" w:space="0" w:color="auto"/>
              <w:right w:val="single" w:sz="12" w:space="0" w:color="auto"/>
            </w:tcBorders>
            <w:shd w:val="clear" w:color="auto" w:fill="C0C0C0"/>
            <w:noWrap/>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2010</w:t>
            </w:r>
          </w:p>
        </w:tc>
        <w:tc>
          <w:tcPr>
            <w:tcW w:w="492" w:type="pct"/>
            <w:tcBorders>
              <w:top w:val="single" w:sz="12" w:space="0" w:color="auto"/>
              <w:left w:val="single" w:sz="12" w:space="0" w:color="auto"/>
              <w:bottom w:val="single" w:sz="8" w:space="0" w:color="auto"/>
              <w:right w:val="single" w:sz="12" w:space="0" w:color="auto"/>
            </w:tcBorders>
            <w:shd w:val="clear" w:color="auto" w:fill="C0C0C0"/>
            <w:noWrap/>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2011</w:t>
            </w:r>
          </w:p>
        </w:tc>
        <w:tc>
          <w:tcPr>
            <w:tcW w:w="492" w:type="pct"/>
            <w:tcBorders>
              <w:top w:val="single" w:sz="12" w:space="0" w:color="auto"/>
              <w:left w:val="single" w:sz="12" w:space="0" w:color="auto"/>
              <w:bottom w:val="single" w:sz="8" w:space="0" w:color="auto"/>
              <w:right w:val="single" w:sz="12" w:space="0" w:color="auto"/>
            </w:tcBorders>
            <w:shd w:val="clear" w:color="auto" w:fill="C0C0C0"/>
            <w:noWrap/>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2012</w:t>
            </w:r>
          </w:p>
        </w:tc>
        <w:tc>
          <w:tcPr>
            <w:tcW w:w="490" w:type="pct"/>
            <w:tcBorders>
              <w:top w:val="single" w:sz="12" w:space="0" w:color="auto"/>
              <w:left w:val="single" w:sz="12" w:space="0" w:color="auto"/>
              <w:bottom w:val="single" w:sz="8" w:space="0" w:color="auto"/>
              <w:right w:val="single" w:sz="12" w:space="0" w:color="auto"/>
            </w:tcBorders>
            <w:shd w:val="clear" w:color="auto" w:fill="C0C0C0"/>
            <w:noWrap/>
            <w:textDirection w:val="lrTb"/>
            <w:vAlign w:val="center"/>
          </w:tcPr>
          <w:p w:rsidR="00A1281C" w:rsidRPr="007C11CA" w:rsidP="006740C3">
            <w:pPr>
              <w:bidi w:val="0"/>
              <w:jc w:val="center"/>
              <w:rPr>
                <w:rFonts w:ascii="Arial Narrow" w:hAnsi="Arial Narrow" w:cs="Arial Narrow"/>
                <w:b/>
                <w:bCs/>
                <w:sz w:val="16"/>
                <w:szCs w:val="16"/>
              </w:rPr>
            </w:pPr>
            <w:r w:rsidRPr="007C11CA">
              <w:rPr>
                <w:rFonts w:ascii="Arial Narrow" w:hAnsi="Arial Narrow" w:cs="Arial Narrow"/>
                <w:b/>
                <w:bCs/>
                <w:sz w:val="16"/>
                <w:szCs w:val="16"/>
              </w:rPr>
              <w:t>2013</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Dane z príjmov, ziskov a kapitálového majetku</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4 140 940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3 914 418</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2 945 830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3 558 791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4 188 416</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4 635 688</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príjmov fyzických osôb</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1 819 293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1 633 220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1 474 530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1 743 338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2 066 048</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2 200 045</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DPFO zo závislej činnosti</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1 620 231</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1 446 653</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1 425 234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1 640 915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1 869 413</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2 030 328</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 xml:space="preserve">DPFO z  podnikania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199 063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186 567</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49 296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102 423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196 635</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169 717</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960" w:firstLineChars="600"/>
              <w:rPr>
                <w:rFonts w:ascii="Arial Narrow" w:hAnsi="Arial Narrow" w:cs="Arial Narrow"/>
                <w:sz w:val="16"/>
                <w:szCs w:val="16"/>
              </w:rPr>
            </w:pPr>
            <w:r w:rsidRPr="007C11CA">
              <w:rPr>
                <w:rFonts w:ascii="Arial Narrow" w:hAnsi="Arial Narrow" w:cs="Arial Narrow"/>
                <w:sz w:val="16"/>
                <w:szCs w:val="16"/>
              </w:rPr>
              <w:t xml:space="preserve">do štátneho rozpočtu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117 441</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28 218</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146 929</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110 442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150 663</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114 359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960" w:firstLineChars="600"/>
              <w:rPr>
                <w:rFonts w:ascii="Arial Narrow" w:hAnsi="Arial Narrow" w:cs="Arial Narrow"/>
                <w:sz w:val="16"/>
                <w:szCs w:val="16"/>
              </w:rPr>
            </w:pPr>
            <w:r w:rsidRPr="007C11CA">
              <w:rPr>
                <w:rFonts w:ascii="Arial Narrow" w:hAnsi="Arial Narrow" w:cs="Arial Narrow"/>
                <w:sz w:val="16"/>
                <w:szCs w:val="16"/>
              </w:rPr>
              <w:t xml:space="preserve">do obcí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1 275 482</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1 202 896</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994 993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1 223 802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1 435 518</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1 563 153</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960" w:firstLineChars="600"/>
              <w:rPr>
                <w:rFonts w:ascii="Arial Narrow" w:hAnsi="Arial Narrow" w:cs="Arial Narrow"/>
                <w:sz w:val="16"/>
                <w:szCs w:val="16"/>
              </w:rPr>
            </w:pPr>
            <w:r w:rsidRPr="007C11CA">
              <w:rPr>
                <w:rFonts w:ascii="Arial Narrow" w:hAnsi="Arial Narrow" w:cs="Arial Narrow"/>
                <w:sz w:val="16"/>
                <w:szCs w:val="16"/>
              </w:rPr>
              <w:t xml:space="preserve">do VÚC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426 370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402 106</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332 608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409 094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479 867</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522 533</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príjmov právnických osôb</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2 115 673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2 125 443</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1 336 638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1 669 475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1 928 788</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2 196 264</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príjmov vyberaná zrážkou</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205 973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155 755</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134 662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145 978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193 580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239 379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Dane na tovary a služby</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6 518 176</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5 669 470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6 345 649</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6 749 610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7 029 821</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7 406 406</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pridanej hodnoty</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4 614 313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3 836 251</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4 394 858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4 652 259</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4 833 837</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5 113 706</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Spotrebné dane</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1 903 863</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1 833 219</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1 950 791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2 097 351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2 195 984</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2 292 700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minerálnych olejov</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1 173 941</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1 052 684</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1 028 362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1 146 935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1 200 356</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1 253 958</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liehu</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221 859</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191 374</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211 703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214 157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221 760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229 750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piva</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62 974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58 776</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55 574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67 943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80 391</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82 581</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vína</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3 699</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3 518</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4 046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3 528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3 539</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3 571</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tabaku a tabakových výrobkov</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432 489</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507 113</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614 402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618 377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635 394</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666 809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elektrickej energie</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3 897</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7 690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14 100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14 650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15 142</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15 733</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Zo zemného plynu</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4 674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11 155</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21 767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29 398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35 483</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36 379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640" w:firstLineChars="400"/>
              <w:rPr>
                <w:rFonts w:ascii="Arial Narrow" w:hAnsi="Arial Narrow" w:cs="Arial Narrow"/>
                <w:sz w:val="16"/>
                <w:szCs w:val="16"/>
              </w:rPr>
            </w:pPr>
            <w:r w:rsidRPr="007C11CA">
              <w:rPr>
                <w:rFonts w:ascii="Arial Narrow" w:hAnsi="Arial Narrow" w:cs="Arial Narrow"/>
                <w:sz w:val="16"/>
                <w:szCs w:val="16"/>
              </w:rPr>
              <w:t>Z uhlia</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328</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909</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837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2 363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3 919</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3 919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Dane z medzinárodného obchodu a transakcií</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36 807</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27 158</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32 055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33 908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34 597</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35 299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Dovozné clo</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Dovozná prirážka</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Podiel na vybratých finančných prostriedkoch EÚ</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36 784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27 160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32 021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33 908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34 597</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35 299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Ostatné colné príjmy</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Miestne dane</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471 830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538 017</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550 418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575 602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601 975</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629 594</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nehnuteľností</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237 421</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254 814</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267 555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280 933</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294 979</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309 728</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Dane za špecifické služby</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155 114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158 102</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166 007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174 307</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183 023</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192 174</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motorových vozidiel</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79 295</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125 101</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116 856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120 362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123 973</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127 692</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Ostatné dane</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77 740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79 215</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77 711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77 215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1 399</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1 399</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Úhrada za služby verejnosti poskytované STV a SRo</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74 774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77 348</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75 958</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75 821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úhrad za dobývací priestor</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550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560</w:t>
            </w:r>
          </w:p>
        </w:tc>
        <w:tc>
          <w:tcPr>
            <w:tcW w:w="492" w:type="pct"/>
            <w:tcBorders>
              <w:top w:val="single" w:sz="4" w:space="0" w:color="auto"/>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524</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524</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960" w:firstLineChars="600"/>
              <w:rPr>
                <w:rFonts w:ascii="Arial Narrow" w:hAnsi="Arial Narrow" w:cs="Arial Narrow"/>
                <w:sz w:val="16"/>
                <w:szCs w:val="16"/>
              </w:rPr>
            </w:pPr>
            <w:r w:rsidRPr="007C11CA">
              <w:rPr>
                <w:rFonts w:ascii="Arial Narrow" w:hAnsi="Arial Narrow" w:cs="Arial Narrow"/>
                <w:sz w:val="16"/>
                <w:szCs w:val="16"/>
              </w:rPr>
              <w:t xml:space="preserve">do štátneho rozpočtu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110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107</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104</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104</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960" w:firstLineChars="600"/>
              <w:rPr>
                <w:rFonts w:ascii="Arial Narrow" w:hAnsi="Arial Narrow" w:cs="Arial Narrow"/>
                <w:sz w:val="16"/>
                <w:szCs w:val="16"/>
              </w:rPr>
            </w:pPr>
            <w:r w:rsidRPr="007C11CA">
              <w:rPr>
                <w:rFonts w:ascii="Arial Narrow" w:hAnsi="Arial Narrow" w:cs="Arial Narrow"/>
                <w:sz w:val="16"/>
                <w:szCs w:val="16"/>
              </w:rPr>
              <w:t xml:space="preserve">do obcí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440</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453</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420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 z úhrad za uskladňovanie plynov alebo kvapalín</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1 188</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780</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900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875</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875</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Majetkové dane (do ŠR)</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934</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454</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454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12"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Iné dane</w:t>
            </w:r>
          </w:p>
        </w:tc>
        <w:tc>
          <w:tcPr>
            <w:tcW w:w="492" w:type="pct"/>
            <w:tcBorders>
              <w:top w:val="nil"/>
              <w:left w:val="single" w:sz="12" w:space="0" w:color="auto"/>
              <w:bottom w:val="single" w:sz="12"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293</w:t>
            </w:r>
          </w:p>
        </w:tc>
        <w:tc>
          <w:tcPr>
            <w:tcW w:w="492" w:type="pct"/>
            <w:tcBorders>
              <w:top w:val="nil"/>
              <w:left w:val="single" w:sz="4" w:space="0" w:color="auto"/>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72</w:t>
            </w:r>
          </w:p>
        </w:tc>
        <w:tc>
          <w:tcPr>
            <w:tcW w:w="492" w:type="pct"/>
            <w:tcBorders>
              <w:top w:val="nil"/>
              <w:left w:val="single" w:sz="12" w:space="0" w:color="auto"/>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-125</w:t>
            </w:r>
          </w:p>
        </w:tc>
        <w:tc>
          <w:tcPr>
            <w:tcW w:w="492" w:type="pct"/>
            <w:tcBorders>
              <w:top w:val="nil"/>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2" w:type="pct"/>
            <w:tcBorders>
              <w:top w:val="nil"/>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single" w:sz="12" w:space="0" w:color="auto"/>
              <w:left w:val="single" w:sz="12" w:space="0" w:color="auto"/>
              <w:bottom w:val="single" w:sz="12" w:space="0" w:color="auto"/>
              <w:right w:val="single" w:sz="12" w:space="0" w:color="auto"/>
            </w:tcBorders>
            <w:noWrap/>
            <w:textDirection w:val="lrTb"/>
            <w:vAlign w:val="center"/>
          </w:tcPr>
          <w:p w:rsidR="00A1281C" w:rsidRPr="007C11CA" w:rsidP="006740C3">
            <w:pPr>
              <w:bidi w:val="0"/>
              <w:rPr>
                <w:rFonts w:ascii="Arial Narrow" w:hAnsi="Arial Narrow" w:cs="Arial Narrow"/>
                <w:b/>
                <w:bCs/>
                <w:sz w:val="16"/>
                <w:szCs w:val="16"/>
              </w:rPr>
            </w:pPr>
            <w:r w:rsidRPr="007C11CA">
              <w:rPr>
                <w:rFonts w:ascii="Arial Narrow" w:hAnsi="Arial Narrow" w:cs="Arial Narrow"/>
                <w:b/>
                <w:bCs/>
                <w:sz w:val="16"/>
                <w:szCs w:val="16"/>
              </w:rPr>
              <w:t>Daňové príjmy VS spolu</w:t>
            </w:r>
          </w:p>
        </w:tc>
        <w:tc>
          <w:tcPr>
            <w:tcW w:w="492" w:type="pct"/>
            <w:tcBorders>
              <w:top w:val="single" w:sz="12" w:space="0" w:color="auto"/>
              <w:left w:val="single" w:sz="12" w:space="0" w:color="auto"/>
              <w:bottom w:val="single" w:sz="12" w:space="0" w:color="auto"/>
              <w:right w:val="single" w:sz="4" w:space="0" w:color="auto"/>
            </w:tcBorders>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11 245 493</w:t>
            </w:r>
          </w:p>
        </w:tc>
        <w:tc>
          <w:tcPr>
            <w:tcW w:w="492" w:type="pct"/>
            <w:tcBorders>
              <w:top w:val="single" w:sz="12" w:space="0" w:color="auto"/>
              <w:left w:val="single" w:sz="4" w:space="0" w:color="auto"/>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10 228 278</w:t>
            </w:r>
          </w:p>
        </w:tc>
        <w:tc>
          <w:tcPr>
            <w:tcW w:w="492" w:type="pct"/>
            <w:tcBorders>
              <w:top w:val="single" w:sz="12" w:space="0" w:color="auto"/>
              <w:left w:val="single" w:sz="12" w:space="0" w:color="auto"/>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9 951 663</w:t>
            </w:r>
          </w:p>
        </w:tc>
        <w:tc>
          <w:tcPr>
            <w:tcW w:w="492" w:type="pct"/>
            <w:tcBorders>
              <w:top w:val="single" w:sz="12" w:space="0" w:color="auto"/>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10 995 126</w:t>
            </w:r>
          </w:p>
        </w:tc>
        <w:tc>
          <w:tcPr>
            <w:tcW w:w="492" w:type="pct"/>
            <w:tcBorders>
              <w:top w:val="single" w:sz="12" w:space="0" w:color="auto"/>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11 856 208</w:t>
            </w:r>
          </w:p>
        </w:tc>
        <w:tc>
          <w:tcPr>
            <w:tcW w:w="490" w:type="pct"/>
            <w:tcBorders>
              <w:top w:val="single" w:sz="12" w:space="0" w:color="auto"/>
              <w:left w:val="nil"/>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b/>
                <w:bCs/>
                <w:sz w:val="16"/>
                <w:szCs w:val="16"/>
              </w:rPr>
            </w:pPr>
            <w:r w:rsidRPr="007C11CA">
              <w:rPr>
                <w:rFonts w:ascii="Arial Narrow" w:hAnsi="Arial Narrow" w:cs="Arial Narrow"/>
                <w:b/>
                <w:bCs/>
                <w:sz w:val="16"/>
                <w:szCs w:val="16"/>
              </w:rPr>
              <w:t>12 708 386</w:t>
            </w:r>
          </w:p>
        </w:tc>
      </w:tr>
      <w:tr>
        <w:tblPrEx>
          <w:tblW w:w="9072" w:type="dxa"/>
          <w:jc w:val="center"/>
          <w:tblCellMar>
            <w:left w:w="70" w:type="dxa"/>
            <w:right w:w="70" w:type="dxa"/>
          </w:tblCellMar>
        </w:tblPrEx>
        <w:trPr>
          <w:trHeight w:val="282"/>
          <w:jc w:val="center"/>
        </w:trPr>
        <w:tc>
          <w:tcPr>
            <w:tcW w:w="2050" w:type="pct"/>
            <w:tcBorders>
              <w:top w:val="single" w:sz="12" w:space="0" w:color="auto"/>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Daňové príjmy ŠR</w:t>
            </w:r>
          </w:p>
        </w:tc>
        <w:tc>
          <w:tcPr>
            <w:tcW w:w="492" w:type="pct"/>
            <w:tcBorders>
              <w:top w:val="single" w:sz="12" w:space="0" w:color="auto"/>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8 995 176</w:t>
            </w:r>
          </w:p>
        </w:tc>
        <w:tc>
          <w:tcPr>
            <w:tcW w:w="492" w:type="pct"/>
            <w:tcBorders>
              <w:top w:val="single" w:sz="12" w:space="0" w:color="auto"/>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8 006 578</w:t>
            </w:r>
          </w:p>
        </w:tc>
        <w:tc>
          <w:tcPr>
            <w:tcW w:w="492" w:type="pct"/>
            <w:tcBorders>
              <w:top w:val="single" w:sz="12" w:space="0" w:color="auto"/>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7 996 366</w:t>
            </w:r>
          </w:p>
        </w:tc>
        <w:tc>
          <w:tcPr>
            <w:tcW w:w="492" w:type="pct"/>
            <w:tcBorders>
              <w:top w:val="single" w:sz="12" w:space="0" w:color="auto"/>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8 709 517</w:t>
            </w:r>
          </w:p>
        </w:tc>
        <w:tc>
          <w:tcPr>
            <w:tcW w:w="492" w:type="pct"/>
            <w:tcBorders>
              <w:top w:val="single" w:sz="12" w:space="0" w:color="auto"/>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9 337 553</w:t>
            </w:r>
          </w:p>
        </w:tc>
        <w:tc>
          <w:tcPr>
            <w:tcW w:w="490" w:type="pct"/>
            <w:tcBorders>
              <w:top w:val="single" w:sz="12" w:space="0" w:color="auto"/>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9 991 811</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 xml:space="preserve">Daňové príjmy obcí </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1 668 689</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1 616 365</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1 428 975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1 679 462</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1 913 940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2 065 475</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Daňové príjmy VÚC</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505 665</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527 207</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449 464</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529 456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603 840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650 225</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Daňové príjmy STV</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52 276</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53 961</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52 991</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52 875</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nil"/>
              <w:left w:val="single" w:sz="12" w:space="0" w:color="auto"/>
              <w:bottom w:val="single" w:sz="4"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Daňové príjmy SRo</w:t>
            </w:r>
          </w:p>
        </w:tc>
        <w:tc>
          <w:tcPr>
            <w:tcW w:w="492" w:type="pct"/>
            <w:tcBorders>
              <w:top w:val="nil"/>
              <w:left w:val="single" w:sz="12" w:space="0" w:color="auto"/>
              <w:bottom w:val="single" w:sz="4"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22 498</w:t>
            </w:r>
          </w:p>
        </w:tc>
        <w:tc>
          <w:tcPr>
            <w:tcW w:w="492" w:type="pct"/>
            <w:tcBorders>
              <w:top w:val="nil"/>
              <w:left w:val="single" w:sz="4" w:space="0" w:color="auto"/>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23 387</w:t>
            </w:r>
          </w:p>
        </w:tc>
        <w:tc>
          <w:tcPr>
            <w:tcW w:w="492" w:type="pct"/>
            <w:tcBorders>
              <w:top w:val="nil"/>
              <w:left w:val="single" w:sz="12" w:space="0" w:color="auto"/>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22 966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22 946</w:t>
            </w:r>
          </w:p>
        </w:tc>
        <w:tc>
          <w:tcPr>
            <w:tcW w:w="492" w:type="pct"/>
            <w:tcBorders>
              <w:top w:val="nil"/>
              <w:left w:val="nil"/>
              <w:bottom w:val="single" w:sz="4"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c>
          <w:tcPr>
            <w:tcW w:w="490" w:type="pct"/>
            <w:tcBorders>
              <w:top w:val="nil"/>
              <w:left w:val="nil"/>
              <w:bottom w:val="single" w:sz="4"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2050" w:type="pct"/>
            <w:tcBorders>
              <w:top w:val="single" w:sz="4" w:space="0" w:color="auto"/>
              <w:left w:val="single" w:sz="12" w:space="0" w:color="auto"/>
              <w:bottom w:val="single" w:sz="12" w:space="0" w:color="auto"/>
              <w:right w:val="single" w:sz="12" w:space="0" w:color="auto"/>
            </w:tcBorders>
            <w:noWrap/>
            <w:textDirection w:val="lrTb"/>
            <w:vAlign w:val="center"/>
          </w:tcPr>
          <w:p w:rsidR="00A1281C" w:rsidRPr="007C11CA" w:rsidP="006740C3">
            <w:pPr>
              <w:bidi w:val="0"/>
              <w:ind w:firstLine="320" w:firstLineChars="200"/>
              <w:rPr>
                <w:rFonts w:ascii="Arial Narrow" w:hAnsi="Arial Narrow" w:cs="Arial Narrow"/>
                <w:sz w:val="16"/>
                <w:szCs w:val="16"/>
              </w:rPr>
            </w:pPr>
            <w:r w:rsidRPr="007C11CA">
              <w:rPr>
                <w:rFonts w:ascii="Arial Narrow" w:hAnsi="Arial Narrow" w:cs="Arial Narrow"/>
                <w:sz w:val="16"/>
                <w:szCs w:val="16"/>
              </w:rPr>
              <w:t>Environmentálny fond</w:t>
            </w:r>
          </w:p>
        </w:tc>
        <w:tc>
          <w:tcPr>
            <w:tcW w:w="492" w:type="pct"/>
            <w:tcBorders>
              <w:top w:val="single" w:sz="4" w:space="0" w:color="auto"/>
              <w:left w:val="single" w:sz="12" w:space="0" w:color="auto"/>
              <w:bottom w:val="single" w:sz="12" w:space="0" w:color="auto"/>
              <w:right w:val="single" w:sz="4" w:space="0" w:color="auto"/>
            </w:tcBorders>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1 188</w:t>
            </w:r>
          </w:p>
        </w:tc>
        <w:tc>
          <w:tcPr>
            <w:tcW w:w="492" w:type="pct"/>
            <w:tcBorders>
              <w:top w:val="single" w:sz="4" w:space="0" w:color="auto"/>
              <w:left w:val="single" w:sz="4" w:space="0" w:color="auto"/>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780</w:t>
            </w:r>
          </w:p>
        </w:tc>
        <w:tc>
          <w:tcPr>
            <w:tcW w:w="492" w:type="pct"/>
            <w:tcBorders>
              <w:top w:val="single" w:sz="4" w:space="0" w:color="auto"/>
              <w:left w:val="single" w:sz="12" w:space="0" w:color="auto"/>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900</w:t>
            </w:r>
          </w:p>
        </w:tc>
        <w:tc>
          <w:tcPr>
            <w:tcW w:w="492" w:type="pct"/>
            <w:tcBorders>
              <w:top w:val="single" w:sz="4" w:space="0" w:color="auto"/>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870</w:t>
            </w:r>
          </w:p>
        </w:tc>
        <w:tc>
          <w:tcPr>
            <w:tcW w:w="492" w:type="pct"/>
            <w:tcBorders>
              <w:top w:val="single" w:sz="4" w:space="0" w:color="auto"/>
              <w:left w:val="nil"/>
              <w:bottom w:val="single" w:sz="12" w:space="0" w:color="auto"/>
              <w:right w:val="single" w:sz="4"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875</w:t>
            </w:r>
          </w:p>
        </w:tc>
        <w:tc>
          <w:tcPr>
            <w:tcW w:w="490" w:type="pct"/>
            <w:tcBorders>
              <w:top w:val="single" w:sz="4" w:space="0" w:color="auto"/>
              <w:left w:val="nil"/>
              <w:bottom w:val="single" w:sz="12" w:space="0" w:color="auto"/>
              <w:right w:val="single" w:sz="12" w:space="0" w:color="auto"/>
            </w:tcBorders>
            <w:noWrap/>
            <w:textDirection w:val="lrTb"/>
            <w:vAlign w:val="center"/>
          </w:tcPr>
          <w:p w:rsidR="00A1281C" w:rsidRPr="007C11CA" w:rsidP="006740C3">
            <w:pPr>
              <w:bidi w:val="0"/>
              <w:jc w:val="right"/>
              <w:rPr>
                <w:rFonts w:ascii="Arial Narrow" w:hAnsi="Arial Narrow" w:cs="Arial Narrow"/>
                <w:sz w:val="16"/>
                <w:szCs w:val="16"/>
              </w:rPr>
            </w:pPr>
            <w:r w:rsidRPr="007C11CA">
              <w:rPr>
                <w:rFonts w:ascii="Arial Narrow" w:hAnsi="Arial Narrow" w:cs="Arial Narrow"/>
                <w:sz w:val="16"/>
                <w:szCs w:val="16"/>
              </w:rPr>
              <w:t>875</w:t>
            </w:r>
          </w:p>
        </w:tc>
      </w:tr>
    </w:tbl>
    <w:p w:rsidR="00A1281C" w:rsidRPr="00DF45EC" w:rsidP="00A1281C">
      <w:pPr>
        <w:bidi w:val="0"/>
        <w:jc w:val="both"/>
        <w:outlineLvl w:val="0"/>
        <w:rPr>
          <w:rFonts w:ascii="Arial Narrow" w:hAnsi="Arial Narrow" w:cs="Arial Narrow"/>
          <w:sz w:val="22"/>
          <w:szCs w:val="22"/>
          <w:highlight w:val="yellow"/>
        </w:rPr>
      </w:pPr>
    </w:p>
    <w:p w:rsidR="00A1281C" w:rsidRPr="00DF45EC" w:rsidP="00A1281C">
      <w:pPr>
        <w:bidi w:val="0"/>
        <w:ind w:firstLine="708"/>
        <w:rPr>
          <w:rFonts w:ascii="Arial Narrow" w:hAnsi="Arial Narrow" w:cs="Arial Narrow"/>
          <w:sz w:val="22"/>
          <w:szCs w:val="22"/>
        </w:rPr>
      </w:pPr>
      <w:r w:rsidRPr="00DF45EC">
        <w:rPr>
          <w:rFonts w:ascii="Arial Narrow" w:hAnsi="Arial Narrow" w:cs="Arial Narrow"/>
          <w:sz w:val="22"/>
          <w:szCs w:val="22"/>
        </w:rPr>
        <w:t>Predpokladaná výška sankcií na roky 20</w:t>
      </w:r>
      <w:r>
        <w:rPr>
          <w:rFonts w:ascii="Arial Narrow" w:hAnsi="Arial Narrow" w:cs="Arial Narrow"/>
          <w:sz w:val="22"/>
          <w:szCs w:val="22"/>
        </w:rPr>
        <w:t>10 až 2013</w:t>
      </w:r>
      <w:r w:rsidRPr="00DF45EC">
        <w:rPr>
          <w:rFonts w:ascii="Arial Narrow" w:hAnsi="Arial Narrow" w:cs="Arial Narrow"/>
          <w:sz w:val="22"/>
          <w:szCs w:val="22"/>
        </w:rPr>
        <w:t xml:space="preserve"> je uvedená v nasledujúcej tabuľke:</w:t>
      </w:r>
    </w:p>
    <w:p w:rsidR="00A1281C" w:rsidRPr="00DF45EC" w:rsidP="00A1281C">
      <w:pPr>
        <w:bidi w:val="0"/>
        <w:jc w:val="both"/>
        <w:outlineLvl w:val="0"/>
        <w:rPr>
          <w:rFonts w:ascii="Arial Narrow" w:hAnsi="Arial Narrow" w:cs="Arial Narrow"/>
          <w:sz w:val="22"/>
          <w:szCs w:val="22"/>
          <w:highlight w:val="yellow"/>
        </w:rPr>
      </w:pPr>
    </w:p>
    <w:tbl>
      <w:tblPr>
        <w:tblStyle w:val="TableNormal"/>
        <w:tblW w:w="9227" w:type="dxa"/>
        <w:jc w:val="center"/>
        <w:tblCellMar>
          <w:left w:w="70" w:type="dxa"/>
          <w:right w:w="70" w:type="dxa"/>
        </w:tblCellMar>
      </w:tblPr>
      <w:tblGrid>
        <w:gridCol w:w="155"/>
        <w:gridCol w:w="3078"/>
        <w:gridCol w:w="999"/>
        <w:gridCol w:w="999"/>
        <w:gridCol w:w="999"/>
        <w:gridCol w:w="999"/>
        <w:gridCol w:w="999"/>
        <w:gridCol w:w="999"/>
      </w:tblGrid>
      <w:tr>
        <w:tblPrEx>
          <w:tblW w:w="9227" w:type="dxa"/>
          <w:jc w:val="center"/>
          <w:tblCellMar>
            <w:left w:w="70" w:type="dxa"/>
            <w:right w:w="70" w:type="dxa"/>
          </w:tblCellMar>
        </w:tblPrEx>
        <w:trPr>
          <w:trHeight w:val="340"/>
          <w:jc w:val="center"/>
        </w:trPr>
        <w:tc>
          <w:tcPr>
            <w:tcW w:w="9227" w:type="dxa"/>
            <w:gridSpan w:val="8"/>
            <w:tcBorders>
              <w:top w:val="single" w:sz="6" w:space="0" w:color="auto"/>
              <w:left w:val="single" w:sz="6" w:space="0" w:color="auto"/>
              <w:bottom w:val="single" w:sz="6" w:space="0" w:color="auto"/>
              <w:right w:val="single" w:sz="6" w:space="0" w:color="auto"/>
            </w:tcBorders>
            <w:shd w:val="clear" w:color="auto" w:fill="C0C0C0"/>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Predpokladaný vývoj sankcií * (v tis. eur)</w:t>
            </w:r>
          </w:p>
        </w:tc>
      </w:tr>
      <w:tr>
        <w:tblPrEx>
          <w:tblW w:w="9227" w:type="dxa"/>
          <w:jc w:val="center"/>
          <w:tblCellMar>
            <w:left w:w="70" w:type="dxa"/>
            <w:right w:w="70" w:type="dxa"/>
          </w:tblCellMar>
        </w:tblPrEx>
        <w:trPr>
          <w:trHeight w:val="270"/>
          <w:jc w:val="center"/>
        </w:trPr>
        <w:tc>
          <w:tcPr>
            <w:tcW w:w="3233" w:type="dxa"/>
            <w:gridSpan w:val="2"/>
            <w:tcBorders>
              <w:top w:val="single" w:sz="6" w:space="0" w:color="auto"/>
              <w:left w:val="single" w:sz="6" w:space="0" w:color="auto"/>
              <w:bottom w:val="none" w:sz="0" w:space="0" w:color="auto"/>
              <w:right w:val="single" w:sz="6"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w:t>
            </w:r>
          </w:p>
        </w:tc>
        <w:tc>
          <w:tcPr>
            <w:tcW w:w="1998" w:type="dxa"/>
            <w:gridSpan w:val="2"/>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Skutočnosť</w:t>
            </w:r>
          </w:p>
        </w:tc>
        <w:tc>
          <w:tcPr>
            <w:tcW w:w="3996" w:type="dxa"/>
            <w:gridSpan w:val="4"/>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Prognóza</w:t>
            </w:r>
          </w:p>
        </w:tc>
      </w:tr>
      <w:tr>
        <w:tblPrEx>
          <w:tblW w:w="9227" w:type="dxa"/>
          <w:jc w:val="center"/>
          <w:tblCellMar>
            <w:left w:w="70" w:type="dxa"/>
            <w:right w:w="70" w:type="dxa"/>
          </w:tblCellMar>
        </w:tblPrEx>
        <w:trPr>
          <w:trHeight w:val="270"/>
          <w:jc w:val="center"/>
        </w:trPr>
        <w:tc>
          <w:tcPr>
            <w:tcW w:w="3233" w:type="dxa"/>
            <w:gridSpan w:val="2"/>
            <w:tcBorders>
              <w:top w:val="none" w:sz="0" w:space="0" w:color="auto"/>
              <w:left w:val="single" w:sz="6" w:space="0" w:color="auto"/>
              <w:bottom w:val="single" w:sz="6" w:space="0" w:color="auto"/>
              <w:right w:val="single" w:sz="6"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2008</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w:t>
            </w:r>
            <w:r>
              <w:rPr>
                <w:rFonts w:ascii="Arial Narrow" w:hAnsi="Arial Narrow" w:cs="Arial Narrow"/>
                <w:b/>
                <w:bCs/>
                <w:sz w:val="16"/>
                <w:szCs w:val="16"/>
              </w:rPr>
              <w:t>9</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2010</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2011</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2012</w:t>
            </w:r>
          </w:p>
        </w:tc>
        <w:tc>
          <w:tcPr>
            <w:tcW w:w="999" w:type="dxa"/>
            <w:tcBorders>
              <w:top w:val="single" w:sz="6" w:space="0" w:color="auto"/>
              <w:left w:val="single" w:sz="6" w:space="0" w:color="auto"/>
              <w:bottom w:val="single" w:sz="6" w:space="0" w:color="auto"/>
              <w:right w:val="single" w:sz="6"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2013</w:t>
            </w:r>
          </w:p>
        </w:tc>
      </w:tr>
      <w:tr>
        <w:tblPrEx>
          <w:tblW w:w="9227" w:type="dxa"/>
          <w:jc w:val="center"/>
          <w:tblCellMar>
            <w:left w:w="70" w:type="dxa"/>
            <w:right w:w="70" w:type="dxa"/>
          </w:tblCellMar>
        </w:tblPrEx>
        <w:trPr>
          <w:trHeight w:val="270"/>
          <w:jc w:val="center"/>
        </w:trPr>
        <w:tc>
          <w:tcPr>
            <w:tcW w:w="3233" w:type="dxa"/>
            <w:gridSpan w:val="2"/>
            <w:tcBorders>
              <w:top w:val="single" w:sz="6" w:space="0" w:color="auto"/>
              <w:left w:val="single" w:sz="4" w:space="0" w:color="auto"/>
              <w:bottom w:val="single" w:sz="4" w:space="0" w:color="auto"/>
              <w:right w:val="single" w:sz="6"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SANKCIE spolu</w:t>
            </w:r>
          </w:p>
        </w:tc>
        <w:tc>
          <w:tcPr>
            <w:tcW w:w="999" w:type="dxa"/>
            <w:tcBorders>
              <w:top w:val="single" w:sz="6"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36 842</w:t>
            </w:r>
          </w:p>
        </w:tc>
        <w:tc>
          <w:tcPr>
            <w:tcW w:w="999" w:type="dxa"/>
            <w:tcBorders>
              <w:top w:val="single" w:sz="6"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24 002</w:t>
            </w:r>
          </w:p>
        </w:tc>
        <w:tc>
          <w:tcPr>
            <w:tcW w:w="999" w:type="dxa"/>
            <w:tcBorders>
              <w:top w:val="single" w:sz="6"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29 099</w:t>
            </w:r>
          </w:p>
        </w:tc>
        <w:tc>
          <w:tcPr>
            <w:tcW w:w="999" w:type="dxa"/>
            <w:tcBorders>
              <w:top w:val="single" w:sz="6"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28 607</w:t>
            </w:r>
          </w:p>
        </w:tc>
        <w:tc>
          <w:tcPr>
            <w:tcW w:w="999" w:type="dxa"/>
            <w:tcBorders>
              <w:top w:val="single" w:sz="6"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28 856</w:t>
            </w:r>
          </w:p>
        </w:tc>
        <w:tc>
          <w:tcPr>
            <w:tcW w:w="999" w:type="dxa"/>
            <w:tcBorders>
              <w:top w:val="single" w:sz="6"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28 732</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fyzických osôb</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7 811</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5 857</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6 833</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6 344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6 589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6 467</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do štátneho rozpočtu</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484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363</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681</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402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481</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336</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 xml:space="preserve">do obcí </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5 491</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4 117</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4 611</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4 453</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4 578</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4 595</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 xml:space="preserve">do VÚC </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1 836</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1 376</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1 541</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1 489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1 530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1 536</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právnických osôb</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6 380</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4 327</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3 462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3 462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3 462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3 462</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vyberaná zrážkou</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24</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18</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pridanej hodnoty</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18 211</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10 145</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15 747</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15 747</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15 747</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15 747</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Spotrebné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1 295</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1 360</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1 359</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Miestne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854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714</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784</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Ostatné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463</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300</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227" w:type="dxa"/>
          <w:jc w:val="center"/>
          <w:tblCellMar>
            <w:left w:w="70" w:type="dxa"/>
            <w:right w:w="70" w:type="dxa"/>
          </w:tblCellMar>
        </w:tblPrEx>
        <w:trPr>
          <w:trHeight w:val="270"/>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Sankcie uložené v daňovom konaní</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1 824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1 276</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895</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895</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895</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895</w:t>
            </w:r>
          </w:p>
        </w:tc>
      </w:tr>
      <w:tr>
        <w:tblPrEx>
          <w:tblW w:w="9227" w:type="dxa"/>
          <w:jc w:val="center"/>
          <w:tblCellMar>
            <w:left w:w="70" w:type="dxa"/>
            <w:right w:w="70" w:type="dxa"/>
          </w:tblCellMar>
        </w:tblPrEx>
        <w:trPr>
          <w:trHeight w:val="255"/>
          <w:jc w:val="center"/>
        </w:trPr>
        <w:tc>
          <w:tcPr>
            <w:tcW w:w="155" w:type="dxa"/>
            <w:tcBorders>
              <w:top w:val="nil"/>
              <w:left w:val="nil"/>
              <w:bottom w:val="nil"/>
              <w:right w:val="nil"/>
            </w:tcBorders>
            <w:textDirection w:val="lrTb"/>
            <w:vAlign w:val="top"/>
          </w:tcPr>
          <w:p w:rsidR="00A1281C" w:rsidRPr="001A0C6D" w:rsidP="006740C3">
            <w:pPr>
              <w:bidi w:val="0"/>
              <w:rPr>
                <w:rFonts w:ascii="Arial Narrow" w:hAnsi="Arial Narrow" w:cs="Arial Narrow"/>
                <w:sz w:val="16"/>
                <w:szCs w:val="16"/>
              </w:rPr>
            </w:pPr>
          </w:p>
        </w:tc>
        <w:tc>
          <w:tcPr>
            <w:tcW w:w="5076" w:type="dxa"/>
            <w:gridSpan w:val="3"/>
            <w:tcBorders>
              <w:top w:val="nil"/>
              <w:left w:val="nil"/>
              <w:bottom w:val="nil"/>
              <w:right w:val="nil"/>
            </w:tcBorders>
            <w:noWrap/>
            <w:textDirection w:val="lrTb"/>
            <w:vAlign w:val="center"/>
          </w:tcPr>
          <w:p w:rsidR="00A1281C" w:rsidRPr="001A0C6D" w:rsidP="006740C3">
            <w:pPr>
              <w:bidi w:val="0"/>
              <w:rPr>
                <w:rFonts w:ascii="Arial Narrow" w:hAnsi="Arial Narrow" w:cs="Arial Narrow"/>
                <w:sz w:val="16"/>
                <w:szCs w:val="16"/>
              </w:rPr>
            </w:pPr>
            <w:r w:rsidRPr="001A0C6D">
              <w:rPr>
                <w:rFonts w:ascii="Arial Narrow" w:hAnsi="Arial Narrow" w:cs="Arial Narrow"/>
                <w:sz w:val="16"/>
                <w:szCs w:val="16"/>
              </w:rPr>
              <w:t>* sankcie sú identické podľa hotovostnej a akruálnej metodiky</w:t>
            </w:r>
          </w:p>
        </w:tc>
        <w:tc>
          <w:tcPr>
            <w:tcW w:w="999" w:type="dxa"/>
            <w:tcBorders>
              <w:top w:val="nil"/>
              <w:left w:val="nil"/>
              <w:bottom w:val="nil"/>
              <w:right w:val="nil"/>
            </w:tcBorders>
            <w:noWrap/>
            <w:textDirection w:val="lrTb"/>
            <w:vAlign w:val="center"/>
          </w:tcPr>
          <w:p w:rsidR="00A1281C" w:rsidRPr="001A0C6D" w:rsidP="006740C3">
            <w:pPr>
              <w:bidi w:val="0"/>
              <w:rPr>
                <w:rFonts w:ascii="Arial Narrow" w:hAnsi="Arial Narrow" w:cs="Arial Narrow"/>
                <w:sz w:val="20"/>
                <w:szCs w:val="20"/>
              </w:rPr>
            </w:pPr>
          </w:p>
        </w:tc>
        <w:tc>
          <w:tcPr>
            <w:tcW w:w="999" w:type="dxa"/>
            <w:tcBorders>
              <w:top w:val="nil"/>
              <w:left w:val="nil"/>
              <w:bottom w:val="nil"/>
              <w:right w:val="nil"/>
            </w:tcBorders>
            <w:noWrap/>
            <w:textDirection w:val="lrTb"/>
            <w:vAlign w:val="center"/>
          </w:tcPr>
          <w:p w:rsidR="00A1281C" w:rsidRPr="001A0C6D" w:rsidP="006740C3">
            <w:pPr>
              <w:bidi w:val="0"/>
              <w:rPr>
                <w:rFonts w:ascii="Arial Narrow" w:hAnsi="Arial Narrow" w:cs="Arial Narrow"/>
                <w:sz w:val="20"/>
                <w:szCs w:val="20"/>
              </w:rPr>
            </w:pPr>
          </w:p>
        </w:tc>
        <w:tc>
          <w:tcPr>
            <w:tcW w:w="999" w:type="dxa"/>
            <w:tcBorders>
              <w:top w:val="nil"/>
              <w:left w:val="nil"/>
              <w:bottom w:val="nil"/>
              <w:right w:val="nil"/>
            </w:tcBorders>
            <w:noWrap/>
            <w:textDirection w:val="lrTb"/>
            <w:vAlign w:val="center"/>
          </w:tcPr>
          <w:p w:rsidR="00A1281C" w:rsidRPr="001A0C6D" w:rsidP="006740C3">
            <w:pPr>
              <w:bidi w:val="0"/>
              <w:rPr>
                <w:rFonts w:ascii="Arial Narrow" w:hAnsi="Arial Narrow" w:cs="Arial Narrow"/>
                <w:sz w:val="20"/>
                <w:szCs w:val="20"/>
              </w:rPr>
            </w:pPr>
          </w:p>
        </w:tc>
        <w:tc>
          <w:tcPr>
            <w:tcW w:w="999" w:type="dxa"/>
            <w:tcBorders>
              <w:top w:val="nil"/>
              <w:left w:val="nil"/>
              <w:bottom w:val="nil"/>
              <w:right w:val="nil"/>
            </w:tcBorders>
            <w:noWrap/>
            <w:textDirection w:val="lrTb"/>
            <w:vAlign w:val="center"/>
          </w:tcPr>
          <w:p w:rsidR="00A1281C" w:rsidRPr="001A0C6D" w:rsidP="006740C3">
            <w:pPr>
              <w:bidi w:val="0"/>
              <w:rPr>
                <w:rFonts w:ascii="Arial Narrow" w:hAnsi="Arial Narrow" w:cs="Arial Narrow"/>
                <w:sz w:val="20"/>
                <w:szCs w:val="20"/>
              </w:rPr>
            </w:pPr>
          </w:p>
        </w:tc>
      </w:tr>
    </w:tbl>
    <w:p w:rsidR="00A1281C" w:rsidRPr="003236C6" w:rsidP="00A1281C">
      <w:pPr>
        <w:pStyle w:val="Heading2"/>
        <w:bidi w:val="0"/>
        <w:rPr>
          <w:rFonts w:ascii="Arial Narrow" w:hAnsi="Arial Narrow" w:cs="Arial Narrow"/>
          <w:i w:val="0"/>
          <w:iCs w:val="0"/>
          <w:sz w:val="24"/>
          <w:szCs w:val="24"/>
        </w:rPr>
      </w:pPr>
      <w:bookmarkStart w:id="47" w:name="_Toc273148232"/>
      <w:bookmarkStart w:id="48" w:name="_Toc273979618"/>
      <w:r>
        <w:rPr>
          <w:rFonts w:ascii="Arial Narrow" w:hAnsi="Arial Narrow" w:cs="Arial Narrow"/>
          <w:i w:val="0"/>
          <w:iCs w:val="0"/>
          <w:sz w:val="24"/>
          <w:szCs w:val="24"/>
        </w:rPr>
        <w:t>3.3</w:t>
      </w:r>
      <w:r w:rsidRPr="003236C6">
        <w:rPr>
          <w:rFonts w:ascii="Arial Narrow" w:hAnsi="Arial Narrow" w:cs="Arial Narrow"/>
          <w:i w:val="0"/>
          <w:iCs w:val="0"/>
          <w:sz w:val="24"/>
          <w:szCs w:val="24"/>
        </w:rPr>
        <w:t>. Akruálne dane pre návrh rozpočtu verejnej správy na roky 2011 až 2013</w:t>
      </w:r>
      <w:bookmarkEnd w:id="47"/>
      <w:bookmarkEnd w:id="48"/>
    </w:p>
    <w:p w:rsidR="00A1281C" w:rsidRPr="00DF45EC" w:rsidP="00A1281C">
      <w:pPr>
        <w:bidi w:val="0"/>
        <w:ind w:firstLine="708"/>
        <w:jc w:val="both"/>
        <w:rPr>
          <w:rFonts w:ascii="Arial Narrow" w:hAnsi="Arial Narrow" w:cs="Arial Narrow"/>
          <w:sz w:val="22"/>
          <w:szCs w:val="22"/>
          <w:highlight w:val="yellow"/>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Celkové daňové príjmy verejnej správy v metodike ESA</w:t>
      </w:r>
      <w:r>
        <w:rPr>
          <w:rFonts w:ascii="Arial Narrow" w:hAnsi="Arial Narrow" w:cs="Arial Narrow"/>
          <w:sz w:val="22"/>
          <w:szCs w:val="22"/>
        </w:rPr>
        <w:t xml:space="preserve"> </w:t>
      </w:r>
      <w:r w:rsidRPr="00DF45EC">
        <w:rPr>
          <w:rFonts w:ascii="Arial Narrow" w:hAnsi="Arial Narrow" w:cs="Arial Narrow"/>
          <w:sz w:val="22"/>
          <w:szCs w:val="22"/>
        </w:rPr>
        <w:t xml:space="preserve">95 </w:t>
      </w:r>
      <w:r>
        <w:rPr>
          <w:rFonts w:ascii="Arial Narrow" w:hAnsi="Arial Narrow" w:cs="Arial Narrow"/>
          <w:sz w:val="22"/>
          <w:szCs w:val="22"/>
        </w:rPr>
        <w:t>bez vplyvu legislatívnych zmien rastú mierne pomalšie ako slovenská ekonomika, napriek progresivite dane z príjmov fyzických osôb  (rýchlejší rast miezd ako nezdaniteľných častí základu dane) a predpokladanému mierne rýchlejšiemu rastu dane z príjmov právnických osôb v porovnaní s rastom nominálneho HDP. Podiel nepriamych daní na HDP klesne z 10,2 % v roku 2010 na 9,8 % v roku 2013. Súvisí to s tým, že sadzby spotrebných daní sú určené v eurách na jednotku spotreby a nie percentuálnou sadzbou a zároveň prognóza predpokladá, že výnos DPH rastie pomalšie ako rastie jej makroekonomická základňa. Vplyvom legislatívnych opatrení sa daňová kvóta stabilizuje, mierne vzrastie z 15,3 % HDP v roku 2010 na 15,5 % HDP v roku 2013. Výrazný nárast podielu daní na HDP v roku 2011 je spôsobený jednorazovým príjmom DPH vo výške 150 mil. eur z dôvodu odovzdania úsekov 2. balíka PPP projektov.</w:t>
      </w:r>
    </w:p>
    <w:p w:rsidR="00A1281C" w:rsidP="00A1281C">
      <w:pPr>
        <w:bidi w:val="0"/>
        <w:jc w:val="both"/>
        <w:rPr>
          <w:rFonts w:ascii="Arial Narrow" w:hAnsi="Arial Narrow" w:cs="Arial Narrow"/>
          <w:sz w:val="22"/>
          <w:szCs w:val="22"/>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54"/>
        <w:gridCol w:w="987"/>
        <w:gridCol w:w="986"/>
        <w:gridCol w:w="986"/>
        <w:gridCol w:w="986"/>
        <w:gridCol w:w="986"/>
        <w:gridCol w:w="987"/>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375"/>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Daňové príjmy VS (ESA 95, % HDP)</w:t>
            </w:r>
          </w:p>
        </w:tc>
      </w:tr>
      <w:tr>
        <w:tblPrEx>
          <w:tblW w:w="9072" w:type="dxa"/>
          <w:jc w:val="center"/>
          <w:tblLayout w:type="fixed"/>
          <w:tblCellMar>
            <w:left w:w="70" w:type="dxa"/>
            <w:right w:w="70" w:type="dxa"/>
          </w:tblCellMar>
        </w:tblPrEx>
        <w:trPr>
          <w:trHeight w:val="270"/>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bottom"/>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2008</w:t>
            </w:r>
            <w:r>
              <w:rPr>
                <w:rFonts w:ascii="Arial Narrow" w:hAnsi="Arial Narrow" w:cs="Arial Narrow"/>
                <w:b/>
                <w:bCs/>
                <w:sz w:val="16"/>
                <w:szCs w:val="16"/>
              </w:rPr>
              <w:t xml:space="preserve"> S</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2009</w:t>
            </w:r>
            <w:r>
              <w:rPr>
                <w:rFonts w:ascii="Arial Narrow" w:hAnsi="Arial Narrow" w:cs="Arial Narrow"/>
                <w:b/>
                <w:bCs/>
                <w:sz w:val="16"/>
                <w:szCs w:val="16"/>
              </w:rPr>
              <w:t xml:space="preserve"> S</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2010</w:t>
            </w:r>
            <w:r>
              <w:rPr>
                <w:rFonts w:ascii="Arial Narrow" w:hAnsi="Arial Narrow" w:cs="Arial Narrow"/>
                <w:b/>
                <w:bCs/>
                <w:sz w:val="16"/>
                <w:szCs w:val="16"/>
              </w:rPr>
              <w:t xml:space="preserve"> OS</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2011</w:t>
            </w:r>
            <w:r>
              <w:rPr>
                <w:rFonts w:ascii="Arial Narrow" w:hAnsi="Arial Narrow" w:cs="Arial Narrow"/>
                <w:b/>
                <w:bCs/>
                <w:sz w:val="16"/>
                <w:szCs w:val="16"/>
              </w:rPr>
              <w:t xml:space="preserve"> N</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2012</w:t>
            </w:r>
            <w:r>
              <w:rPr>
                <w:rFonts w:ascii="Arial Narrow" w:hAnsi="Arial Narrow" w:cs="Arial Narrow"/>
                <w:b/>
                <w:bCs/>
                <w:sz w:val="16"/>
                <w:szCs w:val="16"/>
              </w:rPr>
              <w:t xml:space="preserve"> N</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2013</w:t>
            </w:r>
            <w:r>
              <w:rPr>
                <w:rFonts w:ascii="Arial Narrow" w:hAnsi="Arial Narrow" w:cs="Arial Narrow"/>
                <w:b/>
                <w:bCs/>
                <w:sz w:val="16"/>
                <w:szCs w:val="16"/>
              </w:rPr>
              <w:t xml:space="preserve"> N</w:t>
            </w:r>
          </w:p>
        </w:tc>
      </w:tr>
      <w:tr>
        <w:tblPrEx>
          <w:tblW w:w="9072" w:type="dxa"/>
          <w:jc w:val="center"/>
          <w:tblLayout w:type="fixed"/>
          <w:tblCellMar>
            <w:left w:w="70" w:type="dxa"/>
            <w:right w:w="70" w:type="dxa"/>
          </w:tblCellMar>
        </w:tblPrEx>
        <w:trPr>
          <w:trHeight w:val="285"/>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Priame dane</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6,1</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5,2</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5,0</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5,4</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5,6</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5,7</w:t>
            </w:r>
          </w:p>
        </w:tc>
      </w:tr>
      <w:tr>
        <w:tblPrEx>
          <w:tblW w:w="9072" w:type="dxa"/>
          <w:jc w:val="center"/>
          <w:tblLayout w:type="fixed"/>
          <w:tblCellMar>
            <w:left w:w="70" w:type="dxa"/>
            <w:right w:w="70" w:type="dxa"/>
          </w:tblCellMar>
        </w:tblPrEx>
        <w:trPr>
          <w:trHeight w:val="285"/>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Nepriame dane</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10,5</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10,5</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10,2</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10,6</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10,0</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9,8</w:t>
            </w:r>
          </w:p>
        </w:tc>
      </w:tr>
      <w:tr>
        <w:tblPrEx>
          <w:tblW w:w="9072" w:type="dxa"/>
          <w:jc w:val="center"/>
          <w:tblLayout w:type="fixed"/>
          <w:tblCellMar>
            <w:left w:w="70" w:type="dxa"/>
            <w:right w:w="70" w:type="dxa"/>
          </w:tblCellMar>
        </w:tblPrEx>
        <w:trPr>
          <w:trHeight w:val="285"/>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Daňové príjmy VS spolu</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16,6</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15,6</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15,3</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16,0</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15,6</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15,5</w:t>
            </w:r>
          </w:p>
        </w:tc>
      </w:tr>
      <w:tr>
        <w:tblPrEx>
          <w:tblW w:w="9072" w:type="dxa"/>
          <w:jc w:val="center"/>
          <w:tblLayout w:type="fixed"/>
          <w:tblCellMar>
            <w:left w:w="70" w:type="dxa"/>
            <w:right w:w="70" w:type="dxa"/>
          </w:tblCellMar>
        </w:tblPrEx>
        <w:trPr>
          <w:trHeight w:val="285"/>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xml:space="preserve">   z toho: vplyv legislatívnych zmien</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-0,1</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0,4</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0,4</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A1281C" w:rsidRPr="00133B9A" w:rsidP="006740C3">
            <w:pPr>
              <w:bidi w:val="0"/>
              <w:jc w:val="center"/>
              <w:rPr>
                <w:rFonts w:ascii="Arial Narrow" w:hAnsi="Arial Narrow" w:cs="Arial Narrow"/>
                <w:sz w:val="16"/>
                <w:szCs w:val="16"/>
              </w:rPr>
            </w:pPr>
            <w:r w:rsidRPr="00133B9A">
              <w:rPr>
                <w:rFonts w:ascii="Arial Narrow" w:hAnsi="Arial Narrow" w:cs="Arial Narrow"/>
                <w:sz w:val="16"/>
                <w:szCs w:val="16"/>
              </w:rPr>
              <w:t>0,4</w:t>
            </w:r>
          </w:p>
        </w:tc>
      </w:tr>
    </w:tbl>
    <w:p w:rsidR="00A1281C" w:rsidRPr="00DF45EC" w:rsidP="00A1281C">
      <w:pPr>
        <w:bidi w:val="0"/>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V</w:t>
      </w:r>
      <w:r>
        <w:rPr>
          <w:rFonts w:ascii="Arial Narrow" w:hAnsi="Arial Narrow" w:cs="Arial Narrow"/>
          <w:sz w:val="22"/>
          <w:szCs w:val="22"/>
        </w:rPr>
        <w:t xml:space="preserve"> ďalšej </w:t>
      </w:r>
      <w:r w:rsidRPr="00DF45EC">
        <w:rPr>
          <w:rFonts w:ascii="Arial Narrow" w:hAnsi="Arial Narrow" w:cs="Arial Narrow"/>
          <w:sz w:val="22"/>
          <w:szCs w:val="22"/>
        </w:rPr>
        <w:t xml:space="preserve">tabuľke sú </w:t>
      </w:r>
      <w:r>
        <w:rPr>
          <w:rFonts w:ascii="Arial Narrow" w:hAnsi="Arial Narrow" w:cs="Arial Narrow"/>
          <w:sz w:val="22"/>
          <w:szCs w:val="22"/>
        </w:rPr>
        <w:t xml:space="preserve">uvedené </w:t>
      </w:r>
      <w:r w:rsidRPr="00DF45EC">
        <w:rPr>
          <w:rFonts w:ascii="Arial Narrow" w:hAnsi="Arial Narrow" w:cs="Arial Narrow"/>
          <w:sz w:val="22"/>
          <w:szCs w:val="22"/>
        </w:rPr>
        <w:t>rozdiely medzi akruálnymi a hotovostnými odh</w:t>
      </w:r>
      <w:r>
        <w:rPr>
          <w:rFonts w:ascii="Arial Narrow" w:hAnsi="Arial Narrow" w:cs="Arial Narrow"/>
          <w:sz w:val="22"/>
          <w:szCs w:val="22"/>
        </w:rPr>
        <w:t xml:space="preserve">admi daní. Najviac </w:t>
      </w:r>
      <w:r w:rsidRPr="00DF45EC">
        <w:rPr>
          <w:rFonts w:ascii="Arial Narrow" w:hAnsi="Arial Narrow" w:cs="Arial Narrow"/>
          <w:sz w:val="22"/>
          <w:szCs w:val="22"/>
        </w:rPr>
        <w:t>sa prognóza daní v metodike ESA</w:t>
      </w:r>
      <w:r>
        <w:rPr>
          <w:rFonts w:ascii="Arial Narrow" w:hAnsi="Arial Narrow" w:cs="Arial Narrow"/>
          <w:sz w:val="22"/>
          <w:szCs w:val="22"/>
        </w:rPr>
        <w:t xml:space="preserve"> </w:t>
      </w:r>
      <w:r w:rsidRPr="00DF45EC">
        <w:rPr>
          <w:rFonts w:ascii="Arial Narrow" w:hAnsi="Arial Narrow" w:cs="Arial Narrow"/>
          <w:sz w:val="22"/>
          <w:szCs w:val="22"/>
        </w:rPr>
        <w:t xml:space="preserve">95 </w:t>
      </w:r>
      <w:r>
        <w:rPr>
          <w:rFonts w:ascii="Arial Narrow" w:hAnsi="Arial Narrow" w:cs="Arial Narrow"/>
          <w:sz w:val="22"/>
          <w:szCs w:val="22"/>
        </w:rPr>
        <w:t>odlišuje od predpokladaného</w:t>
      </w:r>
      <w:r w:rsidRPr="00DF45EC">
        <w:rPr>
          <w:rFonts w:ascii="Arial Narrow" w:hAnsi="Arial Narrow" w:cs="Arial Narrow"/>
          <w:sz w:val="22"/>
          <w:szCs w:val="22"/>
        </w:rPr>
        <w:t xml:space="preserve"> hotovostné</w:t>
      </w:r>
      <w:r>
        <w:rPr>
          <w:rFonts w:ascii="Arial Narrow" w:hAnsi="Arial Narrow" w:cs="Arial Narrow"/>
          <w:sz w:val="22"/>
          <w:szCs w:val="22"/>
        </w:rPr>
        <w:t>ho</w:t>
      </w:r>
      <w:r w:rsidRPr="00DF45EC">
        <w:rPr>
          <w:rFonts w:ascii="Arial Narrow" w:hAnsi="Arial Narrow" w:cs="Arial Narrow"/>
          <w:sz w:val="22"/>
          <w:szCs w:val="22"/>
        </w:rPr>
        <w:t xml:space="preserve"> plneni</w:t>
      </w:r>
      <w:r>
        <w:rPr>
          <w:rFonts w:ascii="Arial Narrow" w:hAnsi="Arial Narrow" w:cs="Arial Narrow"/>
          <w:sz w:val="22"/>
          <w:szCs w:val="22"/>
        </w:rPr>
        <w:t>a v roku 2011.</w:t>
      </w:r>
    </w:p>
    <w:p w:rsidR="00A1281C" w:rsidRPr="00DF45EC" w:rsidP="00A1281C">
      <w:pPr>
        <w:bidi w:val="0"/>
        <w:jc w:val="both"/>
        <w:rPr>
          <w:rFonts w:ascii="Arial Narrow" w:hAnsi="Arial Narrow" w:cs="Arial Narrow"/>
          <w:sz w:val="22"/>
          <w:szCs w:val="22"/>
        </w:rPr>
      </w:pPr>
    </w:p>
    <w:tbl>
      <w:tblPr>
        <w:tblStyle w:val="TableNormal"/>
        <w:tblW w:w="9072" w:type="dxa"/>
        <w:jc w:val="center"/>
        <w:tblCellMar>
          <w:left w:w="70" w:type="dxa"/>
          <w:right w:w="70" w:type="dxa"/>
        </w:tblCellMar>
      </w:tblPr>
      <w:tblGrid>
        <w:gridCol w:w="4584"/>
        <w:gridCol w:w="1122"/>
        <w:gridCol w:w="1122"/>
        <w:gridCol w:w="1122"/>
        <w:gridCol w:w="1122"/>
      </w:tblGrid>
      <w:tr>
        <w:tblPrEx>
          <w:tblW w:w="9072" w:type="dxa"/>
          <w:jc w:val="center"/>
          <w:tblCellMar>
            <w:left w:w="70" w:type="dxa"/>
            <w:right w:w="70" w:type="dxa"/>
          </w:tblCellMar>
        </w:tblPrEx>
        <w:trPr>
          <w:trHeight w:val="340"/>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Odhad rozdielu medzi akruálnymi a hotovostnými prognózami v rokoch 2010 až 2013 (v tis. eur)</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2010</w:t>
            </w:r>
            <w:r>
              <w:rPr>
                <w:rFonts w:ascii="Arial Narrow" w:hAnsi="Arial Narrow" w:cs="Arial Narrow"/>
                <w:b/>
                <w:bCs/>
                <w:sz w:val="16"/>
                <w:szCs w:val="16"/>
              </w:rPr>
              <w:t xml:space="preserve"> OS</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2011</w:t>
            </w:r>
            <w:r>
              <w:rPr>
                <w:rFonts w:ascii="Arial Narrow" w:hAnsi="Arial Narrow" w:cs="Arial Narrow"/>
                <w:b/>
                <w:bCs/>
                <w:sz w:val="16"/>
                <w:szCs w:val="16"/>
              </w:rPr>
              <w:t xml:space="preserve"> N</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2012</w:t>
            </w:r>
            <w:r>
              <w:rPr>
                <w:rFonts w:ascii="Arial Narrow" w:hAnsi="Arial Narrow" w:cs="Arial Narrow"/>
                <w:b/>
                <w:bCs/>
                <w:sz w:val="16"/>
                <w:szCs w:val="16"/>
              </w:rPr>
              <w:t xml:space="preserve"> N</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2013</w:t>
            </w:r>
            <w:r>
              <w:rPr>
                <w:rFonts w:ascii="Arial Narrow" w:hAnsi="Arial Narrow" w:cs="Arial Narrow"/>
                <w:b/>
                <w:bCs/>
                <w:sz w:val="16"/>
                <w:szCs w:val="16"/>
              </w:rPr>
              <w:t xml:space="preserve"> N</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Daňové príjmy VS</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116 901</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210 992</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-62 567</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-44 085</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štátny rozpočet</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115 707</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209 762</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-63 833</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-45 389</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obce</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VÚC</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1 194</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1 230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1 266</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1 304</w:t>
            </w:r>
          </w:p>
        </w:tc>
      </w:tr>
      <w:tr>
        <w:tblPrEx>
          <w:tblW w:w="9072" w:type="dxa"/>
          <w:jc w:val="center"/>
          <w:tblCellMar>
            <w:left w:w="70" w:type="dxa"/>
            <w:right w:w="70" w:type="dxa"/>
          </w:tblCellMar>
        </w:tblPrEx>
        <w:trPr>
          <w:trHeight w:val="270"/>
          <w:jc w:val="center"/>
        </w:trPr>
        <w:tc>
          <w:tcPr>
            <w:tcW w:w="5706" w:type="dxa"/>
            <w:gridSpan w:val="2"/>
            <w:tcBorders>
              <w:top w:val="single" w:sz="4" w:space="0" w:color="auto"/>
              <w:left w:val="single" w:sz="4" w:space="0" w:color="auto"/>
              <w:bottom w:val="single" w:sz="4" w:space="0" w:color="auto"/>
              <w:right w:val="single" w:sz="4" w:space="0" w:color="auto"/>
            </w:tcBorders>
            <w:textDirection w:val="lrTb"/>
            <w:vAlign w:val="center"/>
          </w:tcPr>
          <w:p w:rsidR="00A1281C" w:rsidP="006740C3">
            <w:pPr>
              <w:bidi w:val="0"/>
              <w:rPr>
                <w:rFonts w:ascii="Arial Narrow" w:hAnsi="Arial Narrow" w:cs="Arial Narrow"/>
                <w:sz w:val="16"/>
                <w:szCs w:val="16"/>
              </w:rPr>
            </w:pPr>
            <w:r>
              <w:rPr>
                <w:rFonts w:ascii="Arial Narrow" w:hAnsi="Arial Narrow" w:cs="Arial Narrow"/>
                <w:sz w:val="16"/>
                <w:szCs w:val="16"/>
              </w:rPr>
              <w:t>(+) znamená, že výnos daní v metodike ESA95 je vyšší ako na hotovostnej báze</w:t>
            </w:r>
          </w:p>
          <w:p w:rsidR="00A1281C" w:rsidRPr="00133B9A" w:rsidP="006740C3">
            <w:pPr>
              <w:bidi w:val="0"/>
              <w:rPr>
                <w:rFonts w:ascii="Arial Narrow" w:hAnsi="Arial Narrow" w:cs="Arial Narrow"/>
                <w:sz w:val="16"/>
                <w:szCs w:val="16"/>
              </w:rPr>
            </w:pPr>
            <w:r>
              <w:rPr>
                <w:rFonts w:ascii="Arial Narrow" w:hAnsi="Arial Narrow" w:cs="Arial Narrow"/>
                <w:sz w:val="16"/>
                <w:szCs w:val="16"/>
              </w:rPr>
              <w:t>(-) znamená, že výnos daní v metodike ESA95 je nižší ako na hotovostnej báze</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p>
        </w:tc>
      </w:tr>
    </w:tbl>
    <w:p w:rsidR="00A1281C" w:rsidRPr="008C1E7A" w:rsidP="00A1281C">
      <w:pPr>
        <w:bidi w:val="0"/>
        <w:jc w:val="both"/>
        <w:rPr>
          <w:rFonts w:ascii="Arial Narrow" w:hAnsi="Arial Narrow" w:cs="Arial Narrow"/>
          <w:sz w:val="22"/>
          <w:szCs w:val="22"/>
          <w:highlight w:val="yellow"/>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Veľký rozdiel medzi </w:t>
      </w:r>
      <w:r w:rsidRPr="00D7753F">
        <w:rPr>
          <w:rFonts w:ascii="Arial Narrow" w:hAnsi="Arial Narrow" w:cs="Arial Narrow"/>
          <w:sz w:val="22"/>
          <w:szCs w:val="22"/>
        </w:rPr>
        <w:t>akruálny</w:t>
      </w:r>
      <w:r>
        <w:rPr>
          <w:rFonts w:ascii="Arial Narrow" w:hAnsi="Arial Narrow" w:cs="Arial Narrow"/>
          <w:sz w:val="22"/>
          <w:szCs w:val="22"/>
        </w:rPr>
        <w:t>m</w:t>
      </w:r>
      <w:r w:rsidRPr="00D7753F">
        <w:rPr>
          <w:rFonts w:ascii="Arial Narrow" w:hAnsi="Arial Narrow" w:cs="Arial Narrow"/>
          <w:sz w:val="22"/>
          <w:szCs w:val="22"/>
        </w:rPr>
        <w:t xml:space="preserve"> výnos</w:t>
      </w:r>
      <w:r>
        <w:rPr>
          <w:rFonts w:ascii="Arial Narrow" w:hAnsi="Arial Narrow" w:cs="Arial Narrow"/>
          <w:sz w:val="22"/>
          <w:szCs w:val="22"/>
        </w:rPr>
        <w:t>om</w:t>
      </w:r>
      <w:r w:rsidRPr="00D7753F">
        <w:rPr>
          <w:rFonts w:ascii="Arial Narrow" w:hAnsi="Arial Narrow" w:cs="Arial Narrow"/>
          <w:sz w:val="22"/>
          <w:szCs w:val="22"/>
        </w:rPr>
        <w:t xml:space="preserve"> daní</w:t>
      </w:r>
      <w:r>
        <w:rPr>
          <w:rFonts w:ascii="Arial Narrow" w:hAnsi="Arial Narrow" w:cs="Arial Narrow"/>
          <w:sz w:val="22"/>
          <w:szCs w:val="22"/>
        </w:rPr>
        <w:t xml:space="preserve"> a </w:t>
      </w:r>
      <w:r w:rsidRPr="00D7753F">
        <w:rPr>
          <w:rFonts w:ascii="Arial Narrow" w:hAnsi="Arial Narrow" w:cs="Arial Narrow"/>
          <w:sz w:val="22"/>
          <w:szCs w:val="22"/>
        </w:rPr>
        <w:t xml:space="preserve">hotovostným výnosom </w:t>
      </w:r>
      <w:r>
        <w:rPr>
          <w:rFonts w:ascii="Arial Narrow" w:hAnsi="Arial Narrow" w:cs="Arial Narrow"/>
          <w:sz w:val="22"/>
          <w:szCs w:val="22"/>
        </w:rPr>
        <w:t xml:space="preserve">daní </w:t>
      </w:r>
      <w:r w:rsidRPr="00D7753F">
        <w:rPr>
          <w:rFonts w:ascii="Arial Narrow" w:hAnsi="Arial Narrow" w:cs="Arial Narrow"/>
          <w:sz w:val="22"/>
          <w:szCs w:val="22"/>
        </w:rPr>
        <w:t>je spôsobený v roku 20</w:t>
      </w:r>
      <w:r>
        <w:rPr>
          <w:rFonts w:ascii="Arial Narrow" w:hAnsi="Arial Narrow" w:cs="Arial Narrow"/>
          <w:sz w:val="22"/>
          <w:szCs w:val="22"/>
        </w:rPr>
        <w:t>10</w:t>
      </w:r>
      <w:r w:rsidRPr="00D7753F">
        <w:rPr>
          <w:rFonts w:ascii="Arial Narrow" w:hAnsi="Arial Narrow" w:cs="Arial Narrow"/>
          <w:sz w:val="22"/>
          <w:szCs w:val="22"/>
        </w:rPr>
        <w:t xml:space="preserve"> najmä </w:t>
      </w:r>
      <w:r>
        <w:rPr>
          <w:rFonts w:ascii="Arial Narrow" w:hAnsi="Arial Narrow" w:cs="Arial Narrow"/>
          <w:sz w:val="22"/>
          <w:szCs w:val="22"/>
        </w:rPr>
        <w:t>daňou z príjmov právnických osôb, DPH a daňou z príjmov fyzických osôb z podnikania. V</w:t>
      </w:r>
      <w:r w:rsidRPr="00D7753F">
        <w:rPr>
          <w:rFonts w:ascii="Arial Narrow" w:hAnsi="Arial Narrow" w:cs="Arial Narrow"/>
          <w:sz w:val="22"/>
          <w:szCs w:val="22"/>
        </w:rPr>
        <w:t> roku 201</w:t>
      </w:r>
      <w:r>
        <w:rPr>
          <w:rFonts w:ascii="Arial Narrow" w:hAnsi="Arial Narrow" w:cs="Arial Narrow"/>
          <w:sz w:val="22"/>
          <w:szCs w:val="22"/>
        </w:rPr>
        <w:t>1</w:t>
      </w:r>
      <w:r w:rsidRPr="00D7753F">
        <w:rPr>
          <w:rFonts w:ascii="Arial Narrow" w:hAnsi="Arial Narrow" w:cs="Arial Narrow"/>
          <w:sz w:val="22"/>
          <w:szCs w:val="22"/>
        </w:rPr>
        <w:t xml:space="preserve"> </w:t>
      </w:r>
      <w:r>
        <w:rPr>
          <w:rFonts w:ascii="Arial Narrow" w:hAnsi="Arial Narrow" w:cs="Arial Narrow"/>
          <w:sz w:val="22"/>
          <w:szCs w:val="22"/>
        </w:rPr>
        <w:t xml:space="preserve">je rozdiel spôsobený </w:t>
      </w:r>
      <w:r w:rsidRPr="003037D8">
        <w:rPr>
          <w:rFonts w:ascii="Arial Narrow" w:hAnsi="Arial Narrow" w:cs="Arial Narrow"/>
          <w:sz w:val="22"/>
          <w:szCs w:val="22"/>
        </w:rPr>
        <w:t>najmä daňou</w:t>
      </w:r>
      <w:r w:rsidRPr="00D7753F">
        <w:rPr>
          <w:rFonts w:ascii="Arial Narrow" w:hAnsi="Arial Narrow" w:cs="Arial Narrow"/>
          <w:sz w:val="22"/>
          <w:szCs w:val="22"/>
        </w:rPr>
        <w:t xml:space="preserve"> z príjmov </w:t>
      </w:r>
      <w:r>
        <w:rPr>
          <w:rFonts w:ascii="Arial Narrow" w:hAnsi="Arial Narrow" w:cs="Arial Narrow"/>
          <w:sz w:val="22"/>
          <w:szCs w:val="22"/>
        </w:rPr>
        <w:t>právnických osôb a daňou z príjmov fyzických osôb. Rozdiely vyplývajú najmä z dôvodu vyrovnania daní za predchádzajúci rok (DPPO, DPFO) a vyplácania nadmerných odpočtov pri DPH, ktoré sa realizujú vždy až v nasledujúcom roku avšak akruálne patria ešte do predchádzajúceho roka.</w:t>
      </w:r>
    </w:p>
    <w:p w:rsidR="00A1281C" w:rsidRPr="002C0507" w:rsidP="00A1281C">
      <w:pPr>
        <w:bidi w:val="0"/>
        <w:ind w:firstLine="708"/>
        <w:jc w:val="both"/>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Pr>
          <w:rFonts w:ascii="Arial Narrow" w:hAnsi="Arial Narrow" w:cs="Arial Narrow"/>
          <w:sz w:val="22"/>
          <w:szCs w:val="22"/>
        </w:rPr>
        <w:t xml:space="preserve">Zároveň </w:t>
      </w:r>
      <w:r w:rsidRPr="00F16E0A">
        <w:rPr>
          <w:rFonts w:ascii="Arial Narrow" w:hAnsi="Arial Narrow" w:cs="Arial Narrow"/>
          <w:sz w:val="22"/>
          <w:szCs w:val="22"/>
        </w:rPr>
        <w:t>na rozdiel medzi akruálnym a hotovostným</w:t>
      </w:r>
      <w:r w:rsidRPr="003B614B">
        <w:rPr>
          <w:rFonts w:ascii="Arial Narrow" w:hAnsi="Arial Narrow" w:cs="Arial Narrow"/>
          <w:sz w:val="22"/>
          <w:szCs w:val="22"/>
        </w:rPr>
        <w:t xml:space="preserve"> výnosom pozitívne vplýva najmä odlišné zaznamenávanie sumy 2</w:t>
      </w:r>
      <w:r>
        <w:rPr>
          <w:rFonts w:ascii="Arial Narrow" w:hAnsi="Arial Narrow" w:cs="Arial Narrow"/>
          <w:sz w:val="22"/>
          <w:szCs w:val="22"/>
        </w:rPr>
        <w:t xml:space="preserve"> </w:t>
      </w:r>
      <w:r w:rsidRPr="003B614B">
        <w:rPr>
          <w:rFonts w:ascii="Arial Narrow" w:hAnsi="Arial Narrow" w:cs="Arial Narrow"/>
          <w:sz w:val="22"/>
          <w:szCs w:val="22"/>
        </w:rPr>
        <w:t>%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w:t>
      </w:r>
      <w:r w:rsidR="00D564D1">
        <w:rPr>
          <w:rFonts w:ascii="Arial Narrow" w:hAnsi="Arial Narrow" w:cs="Arial Narrow"/>
          <w:sz w:val="22"/>
          <w:szCs w:val="22"/>
        </w:rPr>
        <w:t>áklade zákona schváleného NR SR</w:t>
      </w:r>
      <w:r w:rsidRPr="003B614B">
        <w:rPr>
          <w:rFonts w:ascii="Arial Narrow" w:hAnsi="Arial Narrow" w:cs="Arial Narrow"/>
          <w:sz w:val="22"/>
          <w:szCs w:val="22"/>
        </w:rPr>
        <w:t xml:space="preserve"> sa časť peňazí použije na financovanie tretieho sektora. Uvedená suma teda neznižuje príjmy, ale zvyšuje verejné výdavky a týmto spôsobom negatívne ovplyvňuje hospodárenie v metodike ESA</w:t>
      </w:r>
      <w:r w:rsidR="00D564D1">
        <w:rPr>
          <w:rFonts w:ascii="Arial Narrow" w:hAnsi="Arial Narrow" w:cs="Arial Narrow"/>
          <w:sz w:val="22"/>
          <w:szCs w:val="22"/>
        </w:rPr>
        <w:t xml:space="preserve"> </w:t>
      </w:r>
      <w:r w:rsidRPr="003B614B">
        <w:rPr>
          <w:rFonts w:ascii="Arial Narrow" w:hAnsi="Arial Narrow" w:cs="Arial Narrow"/>
          <w:sz w:val="22"/>
          <w:szCs w:val="22"/>
        </w:rPr>
        <w:t>95.</w:t>
      </w:r>
    </w:p>
    <w:p w:rsidR="00A1281C" w:rsidRPr="00DF45EC" w:rsidP="00A1281C">
      <w:pPr>
        <w:bidi w:val="0"/>
        <w:ind w:firstLine="708"/>
        <w:jc w:val="both"/>
        <w:rPr>
          <w:rFonts w:ascii="Arial Narrow" w:hAnsi="Arial Narrow" w:cs="Arial Narrow"/>
          <w:sz w:val="22"/>
          <w:szCs w:val="22"/>
        </w:rPr>
      </w:pPr>
    </w:p>
    <w:p w:rsidR="00A1281C" w:rsidP="00A1281C">
      <w:pPr>
        <w:pStyle w:val="Default"/>
        <w:bidi w:val="0"/>
        <w:spacing w:before="3"/>
        <w:ind w:firstLine="708"/>
        <w:jc w:val="both"/>
        <w:rPr>
          <w:rFonts w:ascii="Arial Narrow" w:hAnsi="Arial Narrow" w:cs="Arial Narrow"/>
          <w:sz w:val="22"/>
          <w:szCs w:val="22"/>
        </w:rPr>
      </w:pPr>
      <w:r>
        <w:rPr>
          <w:rFonts w:ascii="Arial Narrow" w:hAnsi="Arial Narrow" w:cs="Arial Narrow"/>
          <w:color w:val="auto"/>
          <w:sz w:val="22"/>
          <w:szCs w:val="22"/>
        </w:rPr>
        <w:t xml:space="preserve">Prevod prostriedkov na osobitný účel sa v porovnaní s rokom 2009 zníži, čo je dôsledkom poklesu ziskovosti podnikov a legislatívnej zmeny s účinnosťou od roku 2011. </w:t>
      </w:r>
      <w:r>
        <w:rPr>
          <w:rFonts w:ascii="Arial Narrow" w:hAnsi="Arial Narrow" w:cs="Arial Narrow"/>
          <w:sz w:val="22"/>
          <w:szCs w:val="22"/>
        </w:rPr>
        <w:t>Novela zákona č. 595/2003 Z. z. o dani z príjmov</w:t>
      </w:r>
      <w:r>
        <w:rPr>
          <w:rFonts w:ascii="Arial Narrow" w:hAnsi="Arial Narrow" w:cs="Arial Narrow"/>
          <w:color w:val="auto"/>
          <w:sz w:val="22"/>
          <w:szCs w:val="22"/>
        </w:rPr>
        <w:t xml:space="preserve"> sprísňuje podmienky pre asignáciu 2 % dane a zavádza postupné znižovanie poukazovaného podielu zaplatenej dane z 2 % na 0,5 % v roku 2018. </w:t>
      </w:r>
      <w:r>
        <w:rPr>
          <w:rFonts w:ascii="Arial Narrow" w:hAnsi="Arial Narrow" w:cs="Arial Narrow"/>
          <w:sz w:val="22"/>
          <w:szCs w:val="22"/>
        </w:rPr>
        <w:t>Pre roky 2011 a 2012 bude môcť právnická osoba darovať podiel vo výške 2 % zaplatenej dane len v prípade, že poskytne oprávnenému prijímateľovi dar vo výške zodpovedajúcej 0,5 % daňovej povinnosti. Ak dar neposkytne, správca dane zníži poukazovaný podiel zaplatenej dane na 1,5 %, čo v kombinácii so sprísnenými pravidlami pre poskytovanie asignácie 2 % dane spôsobí nižší objem prostriedkov prevedených na verejnoprospešný účel. Podľa nových pravidiel sa podiel zaplatenej dane nebude môcť použiť na reklamu a obstaranie nehnuteľností.</w:t>
      </w:r>
    </w:p>
    <w:p w:rsidR="00783727" w:rsidP="00A1281C">
      <w:pPr>
        <w:pStyle w:val="Default"/>
        <w:bidi w:val="0"/>
        <w:spacing w:before="3"/>
        <w:ind w:firstLine="708"/>
        <w:jc w:val="both"/>
        <w:rPr>
          <w:rFonts w:ascii="Arial Narrow" w:hAnsi="Arial Narrow" w:cs="Arial Narrow"/>
          <w:sz w:val="22"/>
          <w:szCs w:val="22"/>
        </w:rPr>
      </w:pPr>
    </w:p>
    <w:p w:rsidR="00A1281C" w:rsidP="00A1281C">
      <w:pPr>
        <w:bidi w:val="0"/>
        <w:rPr>
          <w:rFonts w:ascii="Arial Narrow" w:hAnsi="Arial Narrow" w:cs="Arial Narrow"/>
          <w:sz w:val="22"/>
          <w:szCs w:val="22"/>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880"/>
        <w:gridCol w:w="900"/>
        <w:gridCol w:w="900"/>
        <w:gridCol w:w="900"/>
        <w:gridCol w:w="900"/>
        <w:gridCol w:w="900"/>
        <w:gridCol w:w="900"/>
        <w:gridCol w:w="792"/>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2"/>
          <w:jc w:val="center"/>
        </w:trPr>
        <w:tc>
          <w:tcPr>
            <w:tcW w:w="9072" w:type="dxa"/>
            <w:gridSpan w:val="8"/>
            <w:tcBorders>
              <w:top w:val="single" w:sz="8" w:space="0" w:color="auto"/>
              <w:left w:val="single" w:sz="12" w:space="0" w:color="auto"/>
              <w:bottom w:val="single" w:sz="8" w:space="0" w:color="auto"/>
              <w:right w:val="single" w:sz="4" w:space="0" w:color="auto"/>
            </w:tcBorders>
            <w:shd w:val="clear" w:color="auto" w:fill="C0C0C0"/>
            <w:textDirection w:val="lrTb"/>
            <w:vAlign w:val="center"/>
          </w:tcPr>
          <w:p w:rsidR="00A1281C" w:rsidP="006740C3">
            <w:pPr>
              <w:bidi w:val="0"/>
              <w:rPr>
                <w:rFonts w:ascii="Arial Narrow" w:hAnsi="Arial Narrow" w:cs="Arial Narrow"/>
                <w:b/>
                <w:bCs/>
                <w:sz w:val="16"/>
                <w:szCs w:val="16"/>
              </w:rPr>
            </w:pPr>
          </w:p>
          <w:p w:rsidR="00A1281C" w:rsidRPr="00133B9A" w:rsidP="006740C3">
            <w:pPr>
              <w:bidi w:val="0"/>
              <w:rPr>
                <w:rFonts w:ascii="Arial Narrow" w:hAnsi="Arial Narrow" w:cs="Arial Narrow"/>
                <w:sz w:val="16"/>
                <w:szCs w:val="16"/>
              </w:rPr>
            </w:pPr>
            <w:r w:rsidRPr="00133B9A">
              <w:rPr>
                <w:rFonts w:ascii="Arial Narrow" w:hAnsi="Arial Narrow" w:cs="Arial Narrow"/>
                <w:b/>
                <w:bCs/>
                <w:sz w:val="16"/>
                <w:szCs w:val="16"/>
              </w:rPr>
              <w:t>Vplyv prevodu prostriedkov na verejnoprospešný účel v rokoch 2007 – 2013 na rozpočet (v tis. eur)</w:t>
            </w:r>
            <w:r w:rsidRPr="00133B9A">
              <w:rPr>
                <w:rFonts w:ascii="Arial Narrow" w:hAnsi="Arial Narrow" w:cs="Arial Narrow"/>
                <w:sz w:val="16"/>
                <w:szCs w:val="16"/>
              </w:rPr>
              <w:t> </w:t>
            </w:r>
          </w:p>
          <w:p w:rsidR="00A1281C" w:rsidRPr="00133B9A" w:rsidP="006740C3">
            <w:pPr>
              <w:bidi w:val="0"/>
              <w:rPr>
                <w:rFonts w:ascii="Arial Narrow" w:hAnsi="Arial Narrow" w:cs="Arial Narrow"/>
                <w:b/>
                <w:bCs/>
                <w:sz w:val="16"/>
                <w:szCs w:val="16"/>
              </w:rPr>
            </w:pPr>
          </w:p>
        </w:tc>
      </w:tr>
      <w:tr>
        <w:tblPrEx>
          <w:tblW w:w="9072" w:type="dxa"/>
          <w:jc w:val="center"/>
          <w:tblCellMar>
            <w:left w:w="70" w:type="dxa"/>
            <w:right w:w="70" w:type="dxa"/>
          </w:tblCellMar>
        </w:tblPrEx>
        <w:trPr>
          <w:trHeight w:val="270"/>
          <w:jc w:val="center"/>
        </w:trPr>
        <w:tc>
          <w:tcPr>
            <w:tcW w:w="288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 </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2007</w:t>
            </w:r>
            <w:r>
              <w:rPr>
                <w:rFonts w:ascii="Arial Narrow" w:hAnsi="Arial Narrow" w:cs="Arial Narrow"/>
                <w:b/>
                <w:bCs/>
                <w:sz w:val="16"/>
                <w:szCs w:val="16"/>
              </w:rPr>
              <w:t xml:space="preserve"> S</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2008</w:t>
            </w:r>
            <w:r>
              <w:rPr>
                <w:rFonts w:ascii="Arial Narrow" w:hAnsi="Arial Narrow" w:cs="Arial Narrow"/>
                <w:b/>
                <w:bCs/>
                <w:sz w:val="16"/>
                <w:szCs w:val="16"/>
              </w:rPr>
              <w:t xml:space="preserve"> S</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2009</w:t>
            </w:r>
            <w:r>
              <w:rPr>
                <w:rFonts w:ascii="Arial Narrow" w:hAnsi="Arial Narrow" w:cs="Arial Narrow"/>
                <w:b/>
                <w:bCs/>
                <w:sz w:val="16"/>
                <w:szCs w:val="16"/>
              </w:rPr>
              <w:t xml:space="preserve"> S</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2010</w:t>
            </w:r>
            <w:r>
              <w:rPr>
                <w:rFonts w:ascii="Arial Narrow" w:hAnsi="Arial Narrow" w:cs="Arial Narrow"/>
                <w:b/>
                <w:bCs/>
                <w:sz w:val="16"/>
                <w:szCs w:val="16"/>
              </w:rPr>
              <w:t xml:space="preserve"> OS</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2011</w:t>
            </w:r>
            <w:r>
              <w:rPr>
                <w:rFonts w:ascii="Arial Narrow" w:hAnsi="Arial Narrow" w:cs="Arial Narrow"/>
                <w:b/>
                <w:bCs/>
                <w:sz w:val="16"/>
                <w:szCs w:val="16"/>
              </w:rPr>
              <w:t xml:space="preserve"> N</w:t>
            </w:r>
          </w:p>
        </w:tc>
        <w:tc>
          <w:tcPr>
            <w:tcW w:w="900"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2012</w:t>
            </w:r>
            <w:r>
              <w:rPr>
                <w:rFonts w:ascii="Arial Narrow" w:hAnsi="Arial Narrow" w:cs="Arial Narrow"/>
                <w:b/>
                <w:bCs/>
                <w:sz w:val="16"/>
                <w:szCs w:val="16"/>
              </w:rPr>
              <w:t xml:space="preserve"> N</w:t>
            </w:r>
          </w:p>
        </w:tc>
        <w:tc>
          <w:tcPr>
            <w:tcW w:w="792"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2013</w:t>
            </w:r>
            <w:r>
              <w:rPr>
                <w:rFonts w:ascii="Arial Narrow" w:hAnsi="Arial Narrow" w:cs="Arial Narrow"/>
                <w:b/>
                <w:bCs/>
                <w:sz w:val="16"/>
                <w:szCs w:val="16"/>
              </w:rPr>
              <w:t xml:space="preserve"> N</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 xml:space="preserve">Prevod na VPÚ </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42 125</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49 180</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55 180</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43 349</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32 419</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40 224</w:t>
            </w:r>
          </w:p>
        </w:tc>
        <w:tc>
          <w:tcPr>
            <w:tcW w:w="792"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39 344</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xml:space="preserve"> - zníženie príjmov na hotovostnej báze</w:t>
            </w: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792"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Prevod na VPÚ spolu ESA95</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42 125</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49 180</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55 180</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43 349</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32 419</w:t>
            </w:r>
          </w:p>
        </w:tc>
        <w:tc>
          <w:tcPr>
            <w:tcW w:w="9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40 224</w:t>
            </w:r>
          </w:p>
        </w:tc>
        <w:tc>
          <w:tcPr>
            <w:tcW w:w="792" w:type="dxa"/>
            <w:vMerge w:val="restart"/>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39 344</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xml:space="preserve"> - zvýšenie výdavkov v ESA95</w:t>
            </w: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900"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c>
          <w:tcPr>
            <w:tcW w:w="792" w:type="dxa"/>
            <w:vMerge/>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Prevod na VPÚ z DPFO</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12 819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15 036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17 684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15 634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14 115</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16 688</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19 777</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Prevod na VPÚ z DPPO</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29 306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34 144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37 496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27 715</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18 304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23 536</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19 567</w:t>
            </w:r>
          </w:p>
        </w:tc>
      </w:tr>
    </w:tbl>
    <w:p w:rsidR="00A1281C" w:rsidRPr="00F31A90" w:rsidP="00A1281C">
      <w:pPr>
        <w:bidi w:val="0"/>
        <w:rPr>
          <w:rFonts w:ascii="Arial Narrow" w:hAnsi="Arial Narrow" w:cs="Arial Narrow"/>
          <w:sz w:val="22"/>
          <w:szCs w:val="22"/>
          <w:highlight w:val="yellow"/>
        </w:rPr>
      </w:pPr>
    </w:p>
    <w:p w:rsidR="00783727" w:rsidP="00A1281C">
      <w:pPr>
        <w:bidi w:val="0"/>
        <w:ind w:firstLine="708"/>
        <w:jc w:val="both"/>
        <w:rPr>
          <w:rFonts w:ascii="Arial Narrow" w:hAnsi="Arial Narrow" w:cs="Arial Narrow"/>
          <w:b/>
          <w:bCs/>
          <w:sz w:val="22"/>
          <w:szCs w:val="22"/>
        </w:rPr>
      </w:pPr>
    </w:p>
    <w:p w:rsidR="00783727" w:rsidP="00A1281C">
      <w:pPr>
        <w:bidi w:val="0"/>
        <w:ind w:firstLine="708"/>
        <w:jc w:val="both"/>
        <w:rPr>
          <w:rFonts w:ascii="Arial Narrow" w:hAnsi="Arial Narrow" w:cs="Arial Narrow"/>
          <w:b/>
          <w:bCs/>
          <w:sz w:val="22"/>
          <w:szCs w:val="22"/>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b/>
          <w:bCs/>
          <w:sz w:val="22"/>
          <w:szCs w:val="22"/>
        </w:rPr>
        <w:t>Daňové príjmy na akruálnej báze</w:t>
      </w:r>
      <w:r w:rsidRPr="00DF45EC">
        <w:rPr>
          <w:rFonts w:ascii="Arial Narrow" w:hAnsi="Arial Narrow" w:cs="Arial Narrow"/>
          <w:sz w:val="22"/>
          <w:szCs w:val="22"/>
        </w:rPr>
        <w:t xml:space="preserve"> (metodika ESA</w:t>
      </w:r>
      <w:r>
        <w:rPr>
          <w:rFonts w:ascii="Arial Narrow" w:hAnsi="Arial Narrow" w:cs="Arial Narrow"/>
          <w:sz w:val="22"/>
          <w:szCs w:val="22"/>
        </w:rPr>
        <w:t xml:space="preserve"> </w:t>
      </w:r>
      <w:r w:rsidRPr="00DF45EC">
        <w:rPr>
          <w:rFonts w:ascii="Arial Narrow" w:hAnsi="Arial Narrow" w:cs="Arial Narrow"/>
          <w:sz w:val="22"/>
          <w:szCs w:val="22"/>
        </w:rPr>
        <w:t xml:space="preserve">95) </w:t>
      </w:r>
      <w:r w:rsidRPr="00156985">
        <w:rPr>
          <w:rFonts w:ascii="Arial Narrow" w:hAnsi="Arial Narrow" w:cs="Arial Narrow"/>
          <w:b/>
          <w:bCs/>
          <w:sz w:val="22"/>
          <w:szCs w:val="22"/>
        </w:rPr>
        <w:t>bez sankcií</w:t>
      </w:r>
      <w:r w:rsidRPr="00DF45EC">
        <w:rPr>
          <w:rFonts w:ascii="Arial Narrow" w:hAnsi="Arial Narrow" w:cs="Arial Narrow"/>
          <w:sz w:val="22"/>
          <w:szCs w:val="22"/>
        </w:rPr>
        <w:t xml:space="preserve"> sú prezentované v nasledovnej tabuľke.</w:t>
      </w:r>
    </w:p>
    <w:p w:rsidR="00A1281C" w:rsidP="00783727">
      <w:pPr>
        <w:bidi w:val="0"/>
        <w:ind w:firstLine="708"/>
        <w:jc w:val="both"/>
        <w:rPr>
          <w:rFonts w:ascii="Arial Narrow" w:hAnsi="Arial Narrow" w:cs="Arial Narrow"/>
          <w:sz w:val="22"/>
          <w:szCs w:val="22"/>
          <w:highlight w:val="yellow"/>
        </w:rPr>
      </w:pPr>
      <w:r w:rsidR="00783727">
        <w:rPr>
          <w:rFonts w:ascii="Arial Narrow" w:hAnsi="Arial Narrow" w:cs="Arial Narrow"/>
          <w:sz w:val="22"/>
          <w:szCs w:val="22"/>
        </w:rPr>
        <w:br w:type="page"/>
      </w:r>
    </w:p>
    <w:tbl>
      <w:tblPr>
        <w:tblStyle w:val="TableNormal"/>
        <w:tblW w:w="9072" w:type="dxa"/>
        <w:jc w:val="center"/>
        <w:tblCellMar>
          <w:left w:w="70" w:type="dxa"/>
          <w:right w:w="70" w:type="dxa"/>
        </w:tblCellMar>
      </w:tblPr>
      <w:tblGrid>
        <w:gridCol w:w="3613"/>
        <w:gridCol w:w="896"/>
        <w:gridCol w:w="920"/>
        <w:gridCol w:w="949"/>
        <w:gridCol w:w="896"/>
        <w:gridCol w:w="896"/>
        <w:gridCol w:w="902"/>
      </w:tblGrid>
      <w:tr>
        <w:tblPrEx>
          <w:tblW w:w="9072" w:type="dxa"/>
          <w:jc w:val="center"/>
          <w:tblCellMar>
            <w:left w:w="70" w:type="dxa"/>
            <w:right w:w="70" w:type="dxa"/>
          </w:tblCellMar>
        </w:tblPrEx>
        <w:trPr>
          <w:trHeight w:val="282"/>
          <w:jc w:val="center"/>
        </w:trPr>
        <w:tc>
          <w:tcPr>
            <w:tcW w:w="1991" w:type="pct"/>
            <w:vMerge w:val="restart"/>
            <w:tcBorders>
              <w:top w:val="single" w:sz="18" w:space="0" w:color="auto"/>
              <w:left w:val="single" w:sz="18" w:space="0" w:color="auto"/>
              <w:bottom w:val="single" w:sz="8" w:space="0" w:color="auto"/>
              <w:right w:val="single" w:sz="12" w:space="0" w:color="auto"/>
            </w:tcBorders>
            <w:shd w:val="clear" w:color="auto" w:fill="C0C0C0"/>
            <w:noWrap/>
            <w:textDirection w:val="lrTb"/>
            <w:vAlign w:val="center"/>
          </w:tcPr>
          <w:p w:rsidR="00A1281C" w:rsidRPr="00783727" w:rsidP="006740C3">
            <w:pPr>
              <w:bidi w:val="0"/>
              <w:rPr>
                <w:rFonts w:ascii="Arial Narrow" w:hAnsi="Arial Narrow" w:cs="Arial Narrow"/>
                <w:b/>
                <w:sz w:val="16"/>
                <w:szCs w:val="16"/>
              </w:rPr>
            </w:pPr>
            <w:r w:rsidRPr="00783727">
              <w:rPr>
                <w:rFonts w:ascii="Arial Narrow" w:hAnsi="Arial Narrow" w:cs="Arial Narrow"/>
                <w:b/>
                <w:sz w:val="16"/>
                <w:szCs w:val="16"/>
              </w:rPr>
              <w:t>ESA 95, v tis. eur</w:t>
            </w:r>
          </w:p>
        </w:tc>
        <w:tc>
          <w:tcPr>
            <w:tcW w:w="1001" w:type="pct"/>
            <w:gridSpan w:val="2"/>
            <w:tcBorders>
              <w:top w:val="single" w:sz="18" w:space="0" w:color="auto"/>
              <w:left w:val="single" w:sz="12" w:space="0" w:color="auto"/>
              <w:bottom w:val="single" w:sz="8" w:space="0" w:color="auto"/>
              <w:right w:val="single" w:sz="12" w:space="0" w:color="auto"/>
            </w:tcBorders>
            <w:shd w:val="clear" w:color="auto" w:fill="C0C0C0"/>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Skutočnosť</w:t>
            </w:r>
          </w:p>
        </w:tc>
        <w:tc>
          <w:tcPr>
            <w:tcW w:w="2008" w:type="pct"/>
            <w:gridSpan w:val="4"/>
            <w:tcBorders>
              <w:top w:val="single" w:sz="18" w:space="0" w:color="auto"/>
              <w:left w:val="single" w:sz="12" w:space="0" w:color="auto"/>
              <w:bottom w:val="single" w:sz="8" w:space="0" w:color="auto"/>
              <w:right w:val="single" w:sz="18" w:space="0" w:color="auto"/>
            </w:tcBorders>
            <w:shd w:val="clear" w:color="auto" w:fill="C0C0C0"/>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Prognóza</w:t>
            </w:r>
          </w:p>
        </w:tc>
      </w:tr>
      <w:tr>
        <w:tblPrEx>
          <w:tblW w:w="9072" w:type="dxa"/>
          <w:jc w:val="center"/>
          <w:tblCellMar>
            <w:left w:w="70" w:type="dxa"/>
            <w:right w:w="70" w:type="dxa"/>
          </w:tblCellMar>
        </w:tblPrEx>
        <w:trPr>
          <w:trHeight w:val="282"/>
          <w:jc w:val="center"/>
        </w:trPr>
        <w:tc>
          <w:tcPr>
            <w:tcW w:w="1991" w:type="pct"/>
            <w:vMerge/>
            <w:tcBorders>
              <w:top w:val="single" w:sz="8" w:space="0" w:color="auto"/>
              <w:left w:val="single" w:sz="18" w:space="0" w:color="auto"/>
              <w:bottom w:val="single" w:sz="8" w:space="0" w:color="000000"/>
              <w:right w:val="single" w:sz="12" w:space="0" w:color="auto"/>
            </w:tcBorders>
            <w:textDirection w:val="lrTb"/>
            <w:vAlign w:val="center"/>
          </w:tcPr>
          <w:p w:rsidR="00A1281C" w:rsidRPr="00133B9A" w:rsidP="006740C3">
            <w:pPr>
              <w:bidi w:val="0"/>
              <w:rPr>
                <w:rFonts w:ascii="Arial Narrow" w:hAnsi="Arial Narrow" w:cs="Arial Narrow"/>
                <w:b/>
                <w:bCs/>
                <w:sz w:val="16"/>
                <w:szCs w:val="16"/>
              </w:rPr>
            </w:pPr>
          </w:p>
        </w:tc>
        <w:tc>
          <w:tcPr>
            <w:tcW w:w="494" w:type="pct"/>
            <w:tcBorders>
              <w:top w:val="single" w:sz="8" w:space="0" w:color="auto"/>
              <w:left w:val="single" w:sz="12" w:space="0" w:color="auto"/>
              <w:bottom w:val="single" w:sz="8" w:space="0" w:color="auto"/>
              <w:right w:val="single" w:sz="4" w:space="0" w:color="auto"/>
            </w:tcBorders>
            <w:shd w:val="clear" w:color="auto" w:fill="C0C0C0"/>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2008</w:t>
            </w:r>
          </w:p>
        </w:tc>
        <w:tc>
          <w:tcPr>
            <w:tcW w:w="507" w:type="pct"/>
            <w:tcBorders>
              <w:top w:val="single" w:sz="8" w:space="0" w:color="auto"/>
              <w:left w:val="single" w:sz="4" w:space="0" w:color="auto"/>
              <w:bottom w:val="single" w:sz="8" w:space="0" w:color="auto"/>
              <w:right w:val="single" w:sz="12" w:space="0" w:color="auto"/>
            </w:tcBorders>
            <w:shd w:val="clear" w:color="auto" w:fill="C0C0C0"/>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2009</w:t>
            </w:r>
          </w:p>
        </w:tc>
        <w:tc>
          <w:tcPr>
            <w:tcW w:w="523" w:type="pct"/>
            <w:tcBorders>
              <w:top w:val="single" w:sz="8" w:space="0" w:color="auto"/>
              <w:left w:val="single" w:sz="12" w:space="0" w:color="auto"/>
              <w:bottom w:val="single" w:sz="8" w:space="0" w:color="auto"/>
              <w:right w:val="single" w:sz="8" w:space="0" w:color="auto"/>
            </w:tcBorders>
            <w:shd w:val="clear" w:color="auto" w:fill="C0C0C0"/>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2010</w:t>
            </w:r>
          </w:p>
        </w:tc>
        <w:tc>
          <w:tcPr>
            <w:tcW w:w="494" w:type="pct"/>
            <w:tcBorders>
              <w:top w:val="single" w:sz="8" w:space="0" w:color="auto"/>
              <w:left w:val="single" w:sz="8" w:space="0" w:color="auto"/>
              <w:bottom w:val="single" w:sz="8" w:space="0" w:color="auto"/>
              <w:right w:val="single" w:sz="8" w:space="0" w:color="auto"/>
            </w:tcBorders>
            <w:shd w:val="clear" w:color="auto" w:fill="C0C0C0"/>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2011</w:t>
            </w:r>
          </w:p>
        </w:tc>
        <w:tc>
          <w:tcPr>
            <w:tcW w:w="494" w:type="pct"/>
            <w:tcBorders>
              <w:top w:val="single" w:sz="8" w:space="0" w:color="auto"/>
              <w:left w:val="single" w:sz="8" w:space="0" w:color="auto"/>
              <w:bottom w:val="single" w:sz="8" w:space="0" w:color="auto"/>
              <w:right w:val="single" w:sz="8" w:space="0" w:color="auto"/>
            </w:tcBorders>
            <w:shd w:val="clear" w:color="auto" w:fill="C0C0C0"/>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2012</w:t>
            </w:r>
          </w:p>
        </w:tc>
        <w:tc>
          <w:tcPr>
            <w:tcW w:w="497" w:type="pct"/>
            <w:tcBorders>
              <w:top w:val="single" w:sz="8" w:space="0" w:color="auto"/>
              <w:left w:val="single" w:sz="8" w:space="0" w:color="auto"/>
              <w:bottom w:val="single" w:sz="8" w:space="0" w:color="auto"/>
              <w:right w:val="single" w:sz="18" w:space="0" w:color="auto"/>
            </w:tcBorders>
            <w:shd w:val="clear" w:color="auto" w:fill="C0C0C0"/>
            <w:noWrap/>
            <w:textDirection w:val="lrTb"/>
            <w:vAlign w:val="center"/>
          </w:tcPr>
          <w:p w:rsidR="00A1281C" w:rsidRPr="00133B9A" w:rsidP="006740C3">
            <w:pPr>
              <w:bidi w:val="0"/>
              <w:jc w:val="center"/>
              <w:rPr>
                <w:rFonts w:ascii="Arial Narrow" w:hAnsi="Arial Narrow" w:cs="Arial Narrow"/>
                <w:b/>
                <w:bCs/>
                <w:sz w:val="16"/>
                <w:szCs w:val="16"/>
              </w:rPr>
            </w:pPr>
            <w:r w:rsidRPr="00133B9A">
              <w:rPr>
                <w:rFonts w:ascii="Arial Narrow" w:hAnsi="Arial Narrow" w:cs="Arial Narrow"/>
                <w:b/>
                <w:bCs/>
                <w:sz w:val="16"/>
                <w:szCs w:val="16"/>
              </w:rPr>
              <w:t>2013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Dane z príjmov, ziskov a kapitálového majetku</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4 114 557</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3 261 581</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3 316 200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3 776 178</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4 226 037</w:t>
            </w:r>
          </w:p>
        </w:tc>
        <w:tc>
          <w:tcPr>
            <w:tcW w:w="497" w:type="pct"/>
            <w:tcBorders>
              <w:top w:val="single" w:sz="8" w:space="0" w:color="auto"/>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4 669 153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príjmov fyzických osôb</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1 821 211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1 528 854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1 547 253</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1 834 266</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2 057 862</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2 237 028</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DPFO zo závislej činnosti</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1 627 755</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1 455 422</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1 456 400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1 679 092</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1 893 523</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2 062 049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DPFO z podnikania (2009 je odhad)</w:t>
            </w:r>
          </w:p>
        </w:tc>
        <w:tc>
          <w:tcPr>
            <w:tcW w:w="494" w:type="pct"/>
            <w:tcBorders>
              <w:top w:val="single" w:sz="4"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193 456</w:t>
            </w:r>
          </w:p>
        </w:tc>
        <w:tc>
          <w:tcPr>
            <w:tcW w:w="507" w:type="pct"/>
            <w:tcBorders>
              <w:top w:val="single" w:sz="4"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73 432</w:t>
            </w:r>
          </w:p>
        </w:tc>
        <w:tc>
          <w:tcPr>
            <w:tcW w:w="523" w:type="pct"/>
            <w:tcBorders>
              <w:top w:val="single" w:sz="4"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90 853</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155 174</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164 339</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174 979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960" w:firstLineChars="600"/>
              <w:rPr>
                <w:rFonts w:ascii="Arial Narrow" w:hAnsi="Arial Narrow" w:cs="Arial Narrow"/>
                <w:sz w:val="16"/>
                <w:szCs w:val="16"/>
              </w:rPr>
            </w:pPr>
            <w:r w:rsidRPr="00133B9A">
              <w:rPr>
                <w:rFonts w:ascii="Arial Narrow" w:hAnsi="Arial Narrow" w:cs="Arial Narrow"/>
                <w:sz w:val="16"/>
                <w:szCs w:val="16"/>
              </w:rPr>
              <w:t xml:space="preserve">do štátneho rozpočtu </w:t>
            </w:r>
          </w:p>
        </w:tc>
        <w:tc>
          <w:tcPr>
            <w:tcW w:w="494" w:type="pct"/>
            <w:tcBorders>
              <w:top w:val="single" w:sz="4"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112 915</w:t>
            </w:r>
          </w:p>
        </w:tc>
        <w:tc>
          <w:tcPr>
            <w:tcW w:w="507" w:type="pct"/>
            <w:tcBorders>
              <w:top w:val="single" w:sz="4"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94 789</w:t>
            </w:r>
          </w:p>
        </w:tc>
        <w:tc>
          <w:tcPr>
            <w:tcW w:w="523" w:type="pct"/>
            <w:tcBorders>
              <w:top w:val="single" w:sz="4"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219 652</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201 370</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142 477</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151 342</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960" w:firstLineChars="600"/>
              <w:rPr>
                <w:rFonts w:ascii="Arial Narrow" w:hAnsi="Arial Narrow" w:cs="Arial Narrow"/>
                <w:sz w:val="16"/>
                <w:szCs w:val="16"/>
              </w:rPr>
            </w:pPr>
            <w:r w:rsidRPr="00133B9A">
              <w:rPr>
                <w:rFonts w:ascii="Arial Narrow" w:hAnsi="Arial Narrow" w:cs="Arial Narrow"/>
                <w:sz w:val="16"/>
                <w:szCs w:val="16"/>
              </w:rPr>
              <w:t xml:space="preserve">do obcí </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1 280 311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1 074 785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994 993</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1 223 802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1 435 518</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1 563 153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960" w:firstLineChars="600"/>
              <w:rPr>
                <w:rFonts w:ascii="Arial Narrow" w:hAnsi="Arial Narrow" w:cs="Arial Narrow"/>
                <w:sz w:val="16"/>
                <w:szCs w:val="16"/>
              </w:rPr>
            </w:pPr>
            <w:r w:rsidRPr="00133B9A">
              <w:rPr>
                <w:rFonts w:ascii="Arial Narrow" w:hAnsi="Arial Narrow" w:cs="Arial Narrow"/>
                <w:sz w:val="16"/>
                <w:szCs w:val="16"/>
              </w:rPr>
              <w:t xml:space="preserve">do VÚC </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427 985</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359 281</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332 608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409 094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479 867</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522 533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príjmov právnických osôb (2009 je odhad)</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2 087 372</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1 576 973</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1 634 285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1 795 934</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1 974 595</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2 192 746</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príjmov vyberaná zrážkou</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205 973</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155 755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134 662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145 978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193 580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239 379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Dane na tovary a služby</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6 430 661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5 982 515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6 090 986</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6 741 985</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6 928 367</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7 327 552</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pridanej hodnoty</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4 621 418</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4 221 289</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4 165 205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4 619 092</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4 729 375</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5 041 220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Spotrebné dane</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1 809 243</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1 761 227</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1 925 781</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2 122 893</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2 198 992</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2 286 332</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minerálnych olejov</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1 185 458</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1 046 500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1 020 612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1 172 596</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1 217 665</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1 272 790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liehu</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219 791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197 024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210 346</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216 810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224 080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232 283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piva</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63 886</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58 145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54 023</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68 293</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79 858</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81 443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vína</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3 931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3 680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3 965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3 878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3 913</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3 963</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tabaku a tabakových výrobkov</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324 636</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436 472</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599 958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615 758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621 058</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641 958</w:t>
            </w:r>
          </w:p>
        </w:tc>
      </w:tr>
      <w:tr>
        <w:tblPrEx>
          <w:tblW w:w="9072" w:type="dxa"/>
          <w:jc w:val="center"/>
          <w:tblCellMar>
            <w:left w:w="70" w:type="dxa"/>
            <w:right w:w="70" w:type="dxa"/>
          </w:tblCellMar>
        </w:tblPrEx>
        <w:trPr>
          <w:trHeight w:val="282"/>
          <w:jc w:val="center"/>
        </w:trPr>
        <w:tc>
          <w:tcPr>
            <w:tcW w:w="1991" w:type="pct"/>
            <w:tcBorders>
              <w:top w:val="single" w:sz="4" w:space="0" w:color="auto"/>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elektrickej energie</w:t>
            </w:r>
          </w:p>
        </w:tc>
        <w:tc>
          <w:tcPr>
            <w:tcW w:w="494" w:type="pct"/>
            <w:tcBorders>
              <w:top w:val="single" w:sz="4"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4 661</w:t>
            </w:r>
          </w:p>
        </w:tc>
        <w:tc>
          <w:tcPr>
            <w:tcW w:w="507" w:type="pct"/>
            <w:tcBorders>
              <w:top w:val="single" w:sz="4"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7 532</w:t>
            </w:r>
          </w:p>
        </w:tc>
        <w:tc>
          <w:tcPr>
            <w:tcW w:w="523" w:type="pct"/>
            <w:tcBorders>
              <w:top w:val="single" w:sz="4"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14 178</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14 229</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14 725</w:t>
            </w:r>
          </w:p>
        </w:tc>
        <w:tc>
          <w:tcPr>
            <w:tcW w:w="497" w:type="pct"/>
            <w:tcBorders>
              <w:top w:val="single" w:sz="4" w:space="0" w:color="auto"/>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15 307</w:t>
            </w:r>
          </w:p>
        </w:tc>
      </w:tr>
      <w:tr>
        <w:tblPrEx>
          <w:tblW w:w="9072" w:type="dxa"/>
          <w:jc w:val="center"/>
          <w:tblCellMar>
            <w:left w:w="70" w:type="dxa"/>
            <w:right w:w="70" w:type="dxa"/>
          </w:tblCellMar>
        </w:tblPrEx>
        <w:trPr>
          <w:trHeight w:val="282"/>
          <w:jc w:val="center"/>
        </w:trPr>
        <w:tc>
          <w:tcPr>
            <w:tcW w:w="1991" w:type="pct"/>
            <w:tcBorders>
              <w:top w:val="single" w:sz="4" w:space="0" w:color="auto"/>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Zo zemného plynu</w:t>
            </w:r>
          </w:p>
        </w:tc>
        <w:tc>
          <w:tcPr>
            <w:tcW w:w="494" w:type="pct"/>
            <w:tcBorders>
              <w:top w:val="single" w:sz="4"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6 410</w:t>
            </w:r>
          </w:p>
        </w:tc>
        <w:tc>
          <w:tcPr>
            <w:tcW w:w="507" w:type="pct"/>
            <w:tcBorders>
              <w:top w:val="single" w:sz="4"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11 035</w:t>
            </w:r>
          </w:p>
        </w:tc>
        <w:tc>
          <w:tcPr>
            <w:tcW w:w="523" w:type="pct"/>
            <w:tcBorders>
              <w:top w:val="single" w:sz="4" w:space="0" w:color="auto"/>
              <w:left w:val="single" w:sz="12" w:space="0" w:color="auto"/>
              <w:bottom w:val="nil"/>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21 827</w:t>
            </w:r>
          </w:p>
        </w:tc>
        <w:tc>
          <w:tcPr>
            <w:tcW w:w="494" w:type="pct"/>
            <w:tcBorders>
              <w:top w:val="single" w:sz="4" w:space="0" w:color="auto"/>
              <w:left w:val="nil"/>
              <w:bottom w:val="nil"/>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28 709</w:t>
            </w:r>
          </w:p>
        </w:tc>
        <w:tc>
          <w:tcPr>
            <w:tcW w:w="494" w:type="pct"/>
            <w:tcBorders>
              <w:top w:val="single" w:sz="4" w:space="0" w:color="auto"/>
              <w:left w:val="nil"/>
              <w:bottom w:val="nil"/>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33 773</w:t>
            </w:r>
          </w:p>
        </w:tc>
        <w:tc>
          <w:tcPr>
            <w:tcW w:w="497" w:type="pct"/>
            <w:tcBorders>
              <w:top w:val="single" w:sz="4" w:space="0" w:color="auto"/>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34 669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640" w:firstLineChars="400"/>
              <w:rPr>
                <w:rFonts w:ascii="Arial Narrow" w:hAnsi="Arial Narrow" w:cs="Arial Narrow"/>
                <w:sz w:val="16"/>
                <w:szCs w:val="16"/>
              </w:rPr>
            </w:pPr>
            <w:r w:rsidRPr="00133B9A">
              <w:rPr>
                <w:rFonts w:ascii="Arial Narrow" w:hAnsi="Arial Narrow" w:cs="Arial Narrow"/>
                <w:sz w:val="16"/>
                <w:szCs w:val="16"/>
              </w:rPr>
              <w:t>Z uhlia</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471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839</w:t>
            </w:r>
          </w:p>
        </w:tc>
        <w:tc>
          <w:tcPr>
            <w:tcW w:w="523" w:type="pct"/>
            <w:tcBorders>
              <w:top w:val="single" w:sz="4" w:space="0" w:color="auto"/>
              <w:left w:val="single" w:sz="12" w:space="0" w:color="auto"/>
              <w:bottom w:val="nil"/>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872</w:t>
            </w:r>
          </w:p>
        </w:tc>
        <w:tc>
          <w:tcPr>
            <w:tcW w:w="494" w:type="pct"/>
            <w:tcBorders>
              <w:top w:val="single" w:sz="4" w:space="0" w:color="auto"/>
              <w:left w:val="nil"/>
              <w:bottom w:val="nil"/>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2 620</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3 920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3 919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Dane z medzinárodného obchodu a transakcií</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36 807</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27 158</w:t>
            </w:r>
          </w:p>
        </w:tc>
        <w:tc>
          <w:tcPr>
            <w:tcW w:w="523" w:type="pct"/>
            <w:tcBorders>
              <w:top w:val="single" w:sz="4"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32 055</w:t>
            </w:r>
          </w:p>
        </w:tc>
        <w:tc>
          <w:tcPr>
            <w:tcW w:w="494" w:type="pct"/>
            <w:tcBorders>
              <w:top w:val="single" w:sz="4"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33 908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34 597</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35 299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Dovozné clo</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Dovozná prirážka</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Podiel na vybratých finančných prostriedkoch EÚ</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36 784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27 160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32 021</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33 908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34 597</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35 299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Ostatné colné príjmy</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Miestne dane</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512 874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530 871</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551 612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576 832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603 241</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630 898</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nehnuteľností</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237 421</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254 814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267 555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280 933</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294 979</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309 728</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Dane za špecifické služby</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155 114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158 102</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166 007</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174 307</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183 023</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192 174</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motorových vozidiel</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120 339</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117 955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118 050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121 592</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125 239</w:t>
            </w:r>
          </w:p>
        </w:tc>
        <w:tc>
          <w:tcPr>
            <w:tcW w:w="497" w:type="pct"/>
            <w:tcBorders>
              <w:top w:val="single" w:sz="4" w:space="0" w:color="auto"/>
              <w:left w:val="nil"/>
              <w:bottom w:val="single" w:sz="8"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128 996</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Ostatné dane</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77 740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79 215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77 711</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77 215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1 399</w:t>
            </w:r>
          </w:p>
        </w:tc>
        <w:tc>
          <w:tcPr>
            <w:tcW w:w="497" w:type="pct"/>
            <w:tcBorders>
              <w:top w:val="single" w:sz="8" w:space="0" w:color="auto"/>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1 399</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Úhrada za služby verejnosti poskytované STV a SRo</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74 774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77 348</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75 958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75 821</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úhrad za dobývací priestor</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550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560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524</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524</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960" w:firstLineChars="600"/>
              <w:rPr>
                <w:rFonts w:ascii="Arial Narrow" w:hAnsi="Arial Narrow" w:cs="Arial Narrow"/>
                <w:sz w:val="16"/>
                <w:szCs w:val="16"/>
              </w:rPr>
            </w:pPr>
            <w:r w:rsidRPr="00133B9A">
              <w:rPr>
                <w:rFonts w:ascii="Arial Narrow" w:hAnsi="Arial Narrow" w:cs="Arial Narrow"/>
                <w:sz w:val="16"/>
                <w:szCs w:val="16"/>
              </w:rPr>
              <w:t xml:space="preserve">do štátneho rozpočtu </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107</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104</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104</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960" w:firstLineChars="600"/>
              <w:rPr>
                <w:rFonts w:ascii="Arial Narrow" w:hAnsi="Arial Narrow" w:cs="Arial Narrow"/>
                <w:sz w:val="16"/>
                <w:szCs w:val="16"/>
              </w:rPr>
            </w:pPr>
            <w:r w:rsidRPr="00133B9A">
              <w:rPr>
                <w:rFonts w:ascii="Arial Narrow" w:hAnsi="Arial Narrow" w:cs="Arial Narrow"/>
                <w:sz w:val="16"/>
                <w:szCs w:val="16"/>
              </w:rPr>
              <w:t xml:space="preserve">do obcí </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440</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453</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 z úhrad za uskladňovanie plynov alebo kvapalín</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1 188</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780</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900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875</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875</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Majetkové dane (do ŠR)</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934</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454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454</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82"/>
          <w:jc w:val="center"/>
        </w:trPr>
        <w:tc>
          <w:tcPr>
            <w:tcW w:w="1991" w:type="pct"/>
            <w:tcBorders>
              <w:top w:val="nil"/>
              <w:left w:val="single" w:sz="18" w:space="0" w:color="auto"/>
              <w:bottom w:val="single" w:sz="12"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Iné dane</w:t>
            </w:r>
          </w:p>
        </w:tc>
        <w:tc>
          <w:tcPr>
            <w:tcW w:w="494" w:type="pct"/>
            <w:tcBorders>
              <w:top w:val="nil"/>
              <w:left w:val="single" w:sz="12"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293</w:t>
            </w:r>
          </w:p>
        </w:tc>
        <w:tc>
          <w:tcPr>
            <w:tcW w:w="507" w:type="pct"/>
            <w:tcBorders>
              <w:top w:val="nil"/>
              <w:left w:val="single" w:sz="4" w:space="0" w:color="auto"/>
              <w:bottom w:val="single" w:sz="12"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72</w:t>
            </w:r>
          </w:p>
        </w:tc>
        <w:tc>
          <w:tcPr>
            <w:tcW w:w="523" w:type="pct"/>
            <w:tcBorders>
              <w:top w:val="nil"/>
              <w:left w:val="single" w:sz="12" w:space="0" w:color="auto"/>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-125</w:t>
            </w:r>
          </w:p>
        </w:tc>
        <w:tc>
          <w:tcPr>
            <w:tcW w:w="494" w:type="pct"/>
            <w:tcBorders>
              <w:top w:val="nil"/>
              <w:left w:val="nil"/>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4" w:type="pct"/>
            <w:tcBorders>
              <w:top w:val="nil"/>
              <w:left w:val="nil"/>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nil"/>
              <w:left w:val="nil"/>
              <w:bottom w:val="single" w:sz="12"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27"/>
          <w:jc w:val="center"/>
        </w:trPr>
        <w:tc>
          <w:tcPr>
            <w:tcW w:w="1991" w:type="pct"/>
            <w:tcBorders>
              <w:top w:val="single" w:sz="12" w:space="0" w:color="auto"/>
              <w:left w:val="single" w:sz="18" w:space="0" w:color="auto"/>
              <w:bottom w:val="single" w:sz="12" w:space="0" w:color="auto"/>
              <w:right w:val="single" w:sz="12" w:space="0" w:color="auto"/>
            </w:tcBorders>
            <w:noWrap/>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Daňové príjmy VS spolu</w:t>
            </w:r>
          </w:p>
        </w:tc>
        <w:tc>
          <w:tcPr>
            <w:tcW w:w="494" w:type="pct"/>
            <w:tcBorders>
              <w:top w:val="single" w:sz="12" w:space="0" w:color="auto"/>
              <w:left w:val="single" w:sz="12"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11 172 638</w:t>
            </w:r>
          </w:p>
        </w:tc>
        <w:tc>
          <w:tcPr>
            <w:tcW w:w="507" w:type="pct"/>
            <w:tcBorders>
              <w:top w:val="single" w:sz="12" w:space="0" w:color="auto"/>
              <w:left w:val="single" w:sz="4" w:space="0" w:color="auto"/>
              <w:bottom w:val="single" w:sz="12"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9 881 341</w:t>
            </w:r>
          </w:p>
        </w:tc>
        <w:tc>
          <w:tcPr>
            <w:tcW w:w="523" w:type="pct"/>
            <w:tcBorders>
              <w:top w:val="single" w:sz="12" w:space="0" w:color="auto"/>
              <w:left w:val="single" w:sz="12" w:space="0" w:color="auto"/>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10 068 564</w:t>
            </w:r>
          </w:p>
        </w:tc>
        <w:tc>
          <w:tcPr>
            <w:tcW w:w="494" w:type="pct"/>
            <w:tcBorders>
              <w:top w:val="single" w:sz="12" w:space="0" w:color="auto"/>
              <w:left w:val="nil"/>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11 206 118</w:t>
            </w:r>
          </w:p>
        </w:tc>
        <w:tc>
          <w:tcPr>
            <w:tcW w:w="494" w:type="pct"/>
            <w:tcBorders>
              <w:top w:val="single" w:sz="12" w:space="0" w:color="auto"/>
              <w:left w:val="nil"/>
              <w:bottom w:val="single" w:sz="12" w:space="0" w:color="auto"/>
              <w:right w:val="nil"/>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11 793 641</w:t>
            </w:r>
          </w:p>
        </w:tc>
        <w:tc>
          <w:tcPr>
            <w:tcW w:w="497" w:type="pct"/>
            <w:tcBorders>
              <w:top w:val="single" w:sz="12" w:space="0" w:color="auto"/>
              <w:left w:val="single" w:sz="4" w:space="0" w:color="auto"/>
              <w:bottom w:val="single" w:sz="12"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12 664 301</w:t>
            </w:r>
          </w:p>
        </w:tc>
      </w:tr>
      <w:tr>
        <w:tblPrEx>
          <w:tblW w:w="9072" w:type="dxa"/>
          <w:jc w:val="center"/>
          <w:tblCellMar>
            <w:left w:w="70" w:type="dxa"/>
            <w:right w:w="70" w:type="dxa"/>
          </w:tblCellMar>
        </w:tblPrEx>
        <w:trPr>
          <w:trHeight w:val="227"/>
          <w:jc w:val="center"/>
        </w:trPr>
        <w:tc>
          <w:tcPr>
            <w:tcW w:w="1991" w:type="pct"/>
            <w:tcBorders>
              <w:top w:val="single" w:sz="12" w:space="0" w:color="auto"/>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Daňové príjmy ŠR</w:t>
            </w:r>
          </w:p>
        </w:tc>
        <w:tc>
          <w:tcPr>
            <w:tcW w:w="494" w:type="pct"/>
            <w:tcBorders>
              <w:top w:val="single" w:sz="12"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8 874 834</w:t>
            </w:r>
          </w:p>
        </w:tc>
        <w:tc>
          <w:tcPr>
            <w:tcW w:w="507" w:type="pct"/>
            <w:tcBorders>
              <w:top w:val="single" w:sz="12"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7 837 724</w:t>
            </w:r>
          </w:p>
        </w:tc>
        <w:tc>
          <w:tcPr>
            <w:tcW w:w="523" w:type="pct"/>
            <w:tcBorders>
              <w:top w:val="single" w:sz="12"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8 112 073</w:t>
            </w:r>
          </w:p>
        </w:tc>
        <w:tc>
          <w:tcPr>
            <w:tcW w:w="494" w:type="pct"/>
            <w:tcBorders>
              <w:top w:val="single" w:sz="12"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8 919 279</w:t>
            </w:r>
          </w:p>
        </w:tc>
        <w:tc>
          <w:tcPr>
            <w:tcW w:w="494" w:type="pct"/>
            <w:tcBorders>
              <w:top w:val="single" w:sz="12" w:space="0" w:color="auto"/>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9 273 720</w:t>
            </w:r>
          </w:p>
        </w:tc>
        <w:tc>
          <w:tcPr>
            <w:tcW w:w="497" w:type="pct"/>
            <w:tcBorders>
              <w:top w:val="single" w:sz="12" w:space="0" w:color="auto"/>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9 946 422</w:t>
            </w:r>
          </w:p>
        </w:tc>
      </w:tr>
      <w:tr>
        <w:tblPrEx>
          <w:tblW w:w="9072" w:type="dxa"/>
          <w:jc w:val="center"/>
          <w:tblCellMar>
            <w:left w:w="70" w:type="dxa"/>
            <w:right w:w="70" w:type="dxa"/>
          </w:tblCellMar>
        </w:tblPrEx>
        <w:trPr>
          <w:trHeight w:val="227"/>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 xml:space="preserve">Daňové príjmy obcí </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1 673 519</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1 488 254</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1 428 975</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1 679 462</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1 913 940</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2 065 475</w:t>
            </w:r>
          </w:p>
        </w:tc>
      </w:tr>
      <w:tr>
        <w:tblPrEx>
          <w:tblW w:w="9072" w:type="dxa"/>
          <w:jc w:val="center"/>
          <w:tblCellMar>
            <w:left w:w="70" w:type="dxa"/>
            <w:right w:w="70" w:type="dxa"/>
          </w:tblCellMar>
        </w:tblPrEx>
        <w:trPr>
          <w:trHeight w:val="227"/>
          <w:jc w:val="center"/>
        </w:trPr>
        <w:tc>
          <w:tcPr>
            <w:tcW w:w="1991" w:type="pct"/>
            <w:tcBorders>
              <w:top w:val="nil"/>
              <w:left w:val="single" w:sz="18" w:space="0" w:color="auto"/>
              <w:bottom w:val="single" w:sz="4"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Daňové príjmy VÚC</w:t>
            </w:r>
          </w:p>
        </w:tc>
        <w:tc>
          <w:tcPr>
            <w:tcW w:w="494" w:type="pct"/>
            <w:tcBorders>
              <w:top w:val="nil"/>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548 323</w:t>
            </w:r>
          </w:p>
        </w:tc>
        <w:tc>
          <w:tcPr>
            <w:tcW w:w="507" w:type="pct"/>
            <w:tcBorders>
              <w:top w:val="nil"/>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477 235</w:t>
            </w:r>
          </w:p>
        </w:tc>
        <w:tc>
          <w:tcPr>
            <w:tcW w:w="523" w:type="pct"/>
            <w:tcBorders>
              <w:top w:val="nil"/>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450 658</w:t>
            </w:r>
          </w:p>
        </w:tc>
        <w:tc>
          <w:tcPr>
            <w:tcW w:w="494" w:type="pct"/>
            <w:tcBorders>
              <w:top w:val="nil"/>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530 686</w:t>
            </w:r>
          </w:p>
        </w:tc>
        <w:tc>
          <w:tcPr>
            <w:tcW w:w="494" w:type="pct"/>
            <w:tcBorders>
              <w:top w:val="nil"/>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605 106</w:t>
            </w:r>
          </w:p>
        </w:tc>
        <w:tc>
          <w:tcPr>
            <w:tcW w:w="497" w:type="pct"/>
            <w:tcBorders>
              <w:top w:val="nil"/>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651 529</w:t>
            </w:r>
          </w:p>
        </w:tc>
      </w:tr>
      <w:tr>
        <w:tblPrEx>
          <w:tblW w:w="9072" w:type="dxa"/>
          <w:jc w:val="center"/>
          <w:tblCellMar>
            <w:left w:w="70" w:type="dxa"/>
            <w:right w:w="70" w:type="dxa"/>
          </w:tblCellMar>
        </w:tblPrEx>
        <w:trPr>
          <w:trHeight w:val="227"/>
          <w:jc w:val="center"/>
        </w:trPr>
        <w:tc>
          <w:tcPr>
            <w:tcW w:w="1991" w:type="pct"/>
            <w:tcBorders>
              <w:top w:val="single" w:sz="4" w:space="0" w:color="auto"/>
              <w:left w:val="single" w:sz="18" w:space="0" w:color="auto"/>
              <w:bottom w:val="single" w:sz="8"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Daňové príjmy STV</w:t>
            </w:r>
          </w:p>
        </w:tc>
        <w:tc>
          <w:tcPr>
            <w:tcW w:w="494" w:type="pct"/>
            <w:tcBorders>
              <w:top w:val="single" w:sz="4" w:space="0" w:color="auto"/>
              <w:left w:val="single" w:sz="12" w:space="0" w:color="auto"/>
              <w:bottom w:val="single" w:sz="8"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52 276</w:t>
            </w:r>
          </w:p>
        </w:tc>
        <w:tc>
          <w:tcPr>
            <w:tcW w:w="507" w:type="pct"/>
            <w:tcBorders>
              <w:top w:val="single" w:sz="4" w:space="0" w:color="auto"/>
              <w:left w:val="single" w:sz="4" w:space="0" w:color="auto"/>
              <w:bottom w:val="single" w:sz="8"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53 961</w:t>
            </w:r>
          </w:p>
        </w:tc>
        <w:tc>
          <w:tcPr>
            <w:tcW w:w="523" w:type="pct"/>
            <w:tcBorders>
              <w:top w:val="single" w:sz="4" w:space="0" w:color="auto"/>
              <w:left w:val="single" w:sz="12" w:space="0" w:color="auto"/>
              <w:bottom w:val="single" w:sz="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52 991</w:t>
            </w:r>
          </w:p>
        </w:tc>
        <w:tc>
          <w:tcPr>
            <w:tcW w:w="494" w:type="pct"/>
            <w:tcBorders>
              <w:top w:val="single" w:sz="4" w:space="0" w:color="auto"/>
              <w:left w:val="nil"/>
              <w:bottom w:val="single" w:sz="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52 875</w:t>
            </w:r>
          </w:p>
        </w:tc>
        <w:tc>
          <w:tcPr>
            <w:tcW w:w="494" w:type="pct"/>
            <w:tcBorders>
              <w:top w:val="single" w:sz="4" w:space="0" w:color="auto"/>
              <w:left w:val="nil"/>
              <w:bottom w:val="single" w:sz="8"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single" w:sz="4" w:space="0" w:color="auto"/>
              <w:left w:val="single" w:sz="4" w:space="0" w:color="auto"/>
              <w:bottom w:val="single" w:sz="8"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27"/>
          <w:jc w:val="center"/>
        </w:trPr>
        <w:tc>
          <w:tcPr>
            <w:tcW w:w="1991" w:type="pct"/>
            <w:tcBorders>
              <w:top w:val="single" w:sz="8" w:space="0" w:color="auto"/>
              <w:left w:val="single" w:sz="18" w:space="0" w:color="auto"/>
              <w:bottom w:val="single" w:sz="8"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Daňové príjmy SRo</w:t>
            </w:r>
          </w:p>
        </w:tc>
        <w:tc>
          <w:tcPr>
            <w:tcW w:w="494" w:type="pct"/>
            <w:tcBorders>
              <w:top w:val="single" w:sz="8" w:space="0" w:color="auto"/>
              <w:left w:val="single" w:sz="12" w:space="0" w:color="auto"/>
              <w:bottom w:val="single" w:sz="8"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22 498</w:t>
            </w:r>
          </w:p>
        </w:tc>
        <w:tc>
          <w:tcPr>
            <w:tcW w:w="507" w:type="pct"/>
            <w:tcBorders>
              <w:top w:val="single" w:sz="8" w:space="0" w:color="auto"/>
              <w:left w:val="single" w:sz="4" w:space="0" w:color="auto"/>
              <w:bottom w:val="single" w:sz="8"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23 387</w:t>
            </w:r>
          </w:p>
        </w:tc>
        <w:tc>
          <w:tcPr>
            <w:tcW w:w="523" w:type="pct"/>
            <w:tcBorders>
              <w:top w:val="single" w:sz="8" w:space="0" w:color="auto"/>
              <w:left w:val="single" w:sz="12" w:space="0" w:color="auto"/>
              <w:bottom w:val="single" w:sz="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22 966</w:t>
            </w:r>
          </w:p>
        </w:tc>
        <w:tc>
          <w:tcPr>
            <w:tcW w:w="494" w:type="pct"/>
            <w:tcBorders>
              <w:top w:val="single" w:sz="8" w:space="0" w:color="auto"/>
              <w:left w:val="nil"/>
              <w:bottom w:val="single" w:sz="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22 946</w:t>
            </w:r>
          </w:p>
        </w:tc>
        <w:tc>
          <w:tcPr>
            <w:tcW w:w="494" w:type="pct"/>
            <w:tcBorders>
              <w:top w:val="single" w:sz="8" w:space="0" w:color="auto"/>
              <w:left w:val="nil"/>
              <w:bottom w:val="single" w:sz="8"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497" w:type="pct"/>
            <w:tcBorders>
              <w:top w:val="single" w:sz="8" w:space="0" w:color="auto"/>
              <w:left w:val="single" w:sz="4" w:space="0" w:color="auto"/>
              <w:bottom w:val="single" w:sz="8"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27"/>
          <w:jc w:val="center"/>
        </w:trPr>
        <w:tc>
          <w:tcPr>
            <w:tcW w:w="1991" w:type="pct"/>
            <w:tcBorders>
              <w:top w:val="single" w:sz="8" w:space="0" w:color="auto"/>
              <w:left w:val="single" w:sz="18" w:space="0" w:color="auto"/>
              <w:bottom w:val="single" w:sz="12" w:space="0" w:color="auto"/>
              <w:right w:val="single" w:sz="12" w:space="0" w:color="auto"/>
            </w:tcBorders>
            <w:noWrap/>
            <w:textDirection w:val="lrTb"/>
            <w:vAlign w:val="center"/>
          </w:tcPr>
          <w:p w:rsidR="00A1281C" w:rsidRPr="00133B9A" w:rsidP="006740C3">
            <w:pPr>
              <w:bidi w:val="0"/>
              <w:ind w:firstLine="320" w:firstLineChars="200"/>
              <w:rPr>
                <w:rFonts w:ascii="Arial Narrow" w:hAnsi="Arial Narrow" w:cs="Arial Narrow"/>
                <w:sz w:val="16"/>
                <w:szCs w:val="16"/>
              </w:rPr>
            </w:pPr>
            <w:r w:rsidRPr="00133B9A">
              <w:rPr>
                <w:rFonts w:ascii="Arial Narrow" w:hAnsi="Arial Narrow" w:cs="Arial Narrow"/>
                <w:sz w:val="16"/>
                <w:szCs w:val="16"/>
              </w:rPr>
              <w:t>Environmentálny fond</w:t>
            </w:r>
          </w:p>
        </w:tc>
        <w:tc>
          <w:tcPr>
            <w:tcW w:w="494" w:type="pct"/>
            <w:tcBorders>
              <w:top w:val="single" w:sz="8" w:space="0" w:color="auto"/>
              <w:left w:val="single" w:sz="12"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1 188</w:t>
            </w:r>
          </w:p>
        </w:tc>
        <w:tc>
          <w:tcPr>
            <w:tcW w:w="507" w:type="pct"/>
            <w:tcBorders>
              <w:top w:val="single" w:sz="8" w:space="0" w:color="auto"/>
              <w:left w:val="single" w:sz="4" w:space="0" w:color="auto"/>
              <w:bottom w:val="single" w:sz="12"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780</w:t>
            </w:r>
          </w:p>
        </w:tc>
        <w:tc>
          <w:tcPr>
            <w:tcW w:w="523" w:type="pct"/>
            <w:tcBorders>
              <w:top w:val="single" w:sz="8" w:space="0" w:color="auto"/>
              <w:left w:val="single" w:sz="12" w:space="0" w:color="auto"/>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900</w:t>
            </w:r>
          </w:p>
        </w:tc>
        <w:tc>
          <w:tcPr>
            <w:tcW w:w="494" w:type="pct"/>
            <w:tcBorders>
              <w:top w:val="single" w:sz="8" w:space="0" w:color="auto"/>
              <w:left w:val="nil"/>
              <w:bottom w:val="single" w:sz="12"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870</w:t>
            </w:r>
          </w:p>
        </w:tc>
        <w:tc>
          <w:tcPr>
            <w:tcW w:w="494" w:type="pct"/>
            <w:tcBorders>
              <w:top w:val="single" w:sz="8" w:space="0" w:color="auto"/>
              <w:left w:val="nil"/>
              <w:bottom w:val="single" w:sz="12"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875</w:t>
            </w:r>
          </w:p>
        </w:tc>
        <w:tc>
          <w:tcPr>
            <w:tcW w:w="497" w:type="pct"/>
            <w:tcBorders>
              <w:top w:val="single" w:sz="8" w:space="0" w:color="auto"/>
              <w:left w:val="single" w:sz="4" w:space="0" w:color="auto"/>
              <w:bottom w:val="single" w:sz="12"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875</w:t>
            </w:r>
          </w:p>
        </w:tc>
      </w:tr>
      <w:tr>
        <w:tblPrEx>
          <w:tblW w:w="9072" w:type="dxa"/>
          <w:jc w:val="center"/>
          <w:tblCellMar>
            <w:left w:w="70" w:type="dxa"/>
            <w:right w:w="70" w:type="dxa"/>
          </w:tblCellMar>
        </w:tblPrEx>
        <w:trPr>
          <w:trHeight w:val="227"/>
          <w:jc w:val="center"/>
        </w:trPr>
        <w:tc>
          <w:tcPr>
            <w:tcW w:w="1991" w:type="pct"/>
            <w:tcBorders>
              <w:top w:val="single" w:sz="12" w:space="0" w:color="auto"/>
              <w:left w:val="single" w:sz="18" w:space="0" w:color="auto"/>
              <w:bottom w:val="single" w:sz="4" w:space="0" w:color="auto"/>
              <w:right w:val="single" w:sz="12" w:space="0" w:color="auto"/>
            </w:tcBorders>
            <w:noWrap/>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Daňové príjmy VS – medziročný rast v %</w:t>
            </w:r>
          </w:p>
        </w:tc>
        <w:tc>
          <w:tcPr>
            <w:tcW w:w="494" w:type="pct"/>
            <w:tcBorders>
              <w:top w:val="single" w:sz="12" w:space="0" w:color="auto"/>
              <w:left w:val="single" w:sz="12"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6,0</w:t>
            </w:r>
          </w:p>
        </w:tc>
        <w:tc>
          <w:tcPr>
            <w:tcW w:w="507" w:type="pct"/>
            <w:tcBorders>
              <w:top w:val="single" w:sz="12" w:space="0" w:color="auto"/>
              <w:left w:val="single" w:sz="4" w:space="0" w:color="auto"/>
              <w:bottom w:val="single" w:sz="4"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-11,6</w:t>
            </w:r>
          </w:p>
        </w:tc>
        <w:tc>
          <w:tcPr>
            <w:tcW w:w="523" w:type="pct"/>
            <w:tcBorders>
              <w:top w:val="single" w:sz="12" w:space="0" w:color="auto"/>
              <w:left w:val="single" w:sz="12" w:space="0" w:color="auto"/>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1,9</w:t>
            </w:r>
          </w:p>
        </w:tc>
        <w:tc>
          <w:tcPr>
            <w:tcW w:w="494" w:type="pct"/>
            <w:tcBorders>
              <w:top w:val="single" w:sz="12" w:space="0" w:color="auto"/>
              <w:left w:val="nil"/>
              <w:bottom w:val="single" w:sz="4"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11,3</w:t>
            </w:r>
          </w:p>
        </w:tc>
        <w:tc>
          <w:tcPr>
            <w:tcW w:w="494" w:type="pct"/>
            <w:tcBorders>
              <w:top w:val="single" w:sz="12" w:space="0" w:color="auto"/>
              <w:left w:val="nil"/>
              <w:bottom w:val="single" w:sz="4"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w:t>
            </w:r>
          </w:p>
        </w:tc>
        <w:tc>
          <w:tcPr>
            <w:tcW w:w="497" w:type="pct"/>
            <w:tcBorders>
              <w:top w:val="single" w:sz="12" w:space="0" w:color="auto"/>
              <w:left w:val="single" w:sz="4" w:space="0" w:color="auto"/>
              <w:bottom w:val="single" w:sz="4"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7,4</w:t>
            </w:r>
          </w:p>
        </w:tc>
      </w:tr>
      <w:tr>
        <w:tblPrEx>
          <w:tblW w:w="9072" w:type="dxa"/>
          <w:jc w:val="center"/>
          <w:tblCellMar>
            <w:left w:w="70" w:type="dxa"/>
            <w:right w:w="70" w:type="dxa"/>
          </w:tblCellMar>
        </w:tblPrEx>
        <w:trPr>
          <w:trHeight w:val="227"/>
          <w:jc w:val="center"/>
        </w:trPr>
        <w:tc>
          <w:tcPr>
            <w:tcW w:w="1991" w:type="pct"/>
            <w:tcBorders>
              <w:top w:val="single" w:sz="4" w:space="0" w:color="auto"/>
              <w:left w:val="single" w:sz="18" w:space="0" w:color="auto"/>
              <w:bottom w:val="single" w:sz="18" w:space="0" w:color="auto"/>
              <w:right w:val="single" w:sz="12" w:space="0" w:color="auto"/>
            </w:tcBorders>
            <w:noWrap/>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Daňové príjmy VS – podiel na HDP v %</w:t>
            </w:r>
          </w:p>
        </w:tc>
        <w:tc>
          <w:tcPr>
            <w:tcW w:w="494" w:type="pct"/>
            <w:tcBorders>
              <w:top w:val="single" w:sz="4" w:space="0" w:color="auto"/>
              <w:left w:val="single" w:sz="12" w:space="0" w:color="auto"/>
              <w:bottom w:val="single" w:sz="18"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16,6</w:t>
            </w:r>
          </w:p>
        </w:tc>
        <w:tc>
          <w:tcPr>
            <w:tcW w:w="507" w:type="pct"/>
            <w:tcBorders>
              <w:top w:val="single" w:sz="4" w:space="0" w:color="auto"/>
              <w:left w:val="single" w:sz="4" w:space="0" w:color="auto"/>
              <w:bottom w:val="single" w:sz="18" w:space="0" w:color="auto"/>
              <w:right w:val="single" w:sz="12"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15,6</w:t>
            </w:r>
          </w:p>
        </w:tc>
        <w:tc>
          <w:tcPr>
            <w:tcW w:w="523" w:type="pct"/>
            <w:tcBorders>
              <w:top w:val="single" w:sz="4" w:space="0" w:color="auto"/>
              <w:left w:val="single" w:sz="12" w:space="0" w:color="auto"/>
              <w:bottom w:val="single" w:sz="1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15,3</w:t>
            </w:r>
          </w:p>
        </w:tc>
        <w:tc>
          <w:tcPr>
            <w:tcW w:w="494" w:type="pct"/>
            <w:tcBorders>
              <w:top w:val="single" w:sz="4" w:space="0" w:color="auto"/>
              <w:left w:val="nil"/>
              <w:bottom w:val="single" w:sz="18" w:space="0" w:color="auto"/>
              <w:right w:val="single" w:sz="4"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16,0</w:t>
            </w:r>
          </w:p>
        </w:tc>
        <w:tc>
          <w:tcPr>
            <w:tcW w:w="494" w:type="pct"/>
            <w:tcBorders>
              <w:top w:val="single" w:sz="4" w:space="0" w:color="auto"/>
              <w:left w:val="nil"/>
              <w:bottom w:val="single" w:sz="18" w:space="0" w:color="auto"/>
              <w:right w:val="nil"/>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15,6</w:t>
            </w:r>
          </w:p>
        </w:tc>
        <w:tc>
          <w:tcPr>
            <w:tcW w:w="497" w:type="pct"/>
            <w:tcBorders>
              <w:top w:val="single" w:sz="4" w:space="0" w:color="auto"/>
              <w:left w:val="single" w:sz="4" w:space="0" w:color="auto"/>
              <w:bottom w:val="single" w:sz="18" w:space="0" w:color="auto"/>
              <w:right w:val="single" w:sz="18" w:space="0" w:color="auto"/>
            </w:tcBorders>
            <w:noWrap/>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15,5</w:t>
            </w:r>
          </w:p>
        </w:tc>
      </w:tr>
    </w:tbl>
    <w:p w:rsidR="00A1281C" w:rsidRPr="003236C6" w:rsidP="00A1281C">
      <w:pPr>
        <w:pStyle w:val="Heading2"/>
        <w:bidi w:val="0"/>
        <w:rPr>
          <w:rFonts w:ascii="Arial Narrow" w:hAnsi="Arial Narrow" w:cs="Arial Narrow"/>
          <w:i w:val="0"/>
          <w:iCs w:val="0"/>
          <w:sz w:val="24"/>
          <w:szCs w:val="24"/>
        </w:rPr>
      </w:pPr>
      <w:bookmarkStart w:id="49" w:name="_Toc273148233"/>
      <w:bookmarkStart w:id="50" w:name="_Toc273979619"/>
      <w:r w:rsidRPr="003236C6">
        <w:rPr>
          <w:rFonts w:ascii="Arial Narrow" w:hAnsi="Arial Narrow" w:cs="Arial Narrow"/>
          <w:i w:val="0"/>
          <w:iCs w:val="0"/>
          <w:sz w:val="24"/>
          <w:szCs w:val="24"/>
        </w:rPr>
        <w:t>3.</w:t>
      </w:r>
      <w:r>
        <w:rPr>
          <w:rFonts w:ascii="Arial Narrow" w:hAnsi="Arial Narrow" w:cs="Arial Narrow"/>
          <w:i w:val="0"/>
          <w:iCs w:val="0"/>
          <w:sz w:val="24"/>
          <w:szCs w:val="24"/>
        </w:rPr>
        <w:t>4</w:t>
      </w:r>
      <w:r w:rsidRPr="003236C6">
        <w:rPr>
          <w:rFonts w:ascii="Arial Narrow" w:hAnsi="Arial Narrow" w:cs="Arial Narrow"/>
          <w:i w:val="0"/>
          <w:iCs w:val="0"/>
          <w:sz w:val="24"/>
          <w:szCs w:val="24"/>
        </w:rPr>
        <w:t>. Porovnanie aktuálneho odhadu daní s rozpočtom verejnej správy na roky 2010 až 2012</w:t>
      </w:r>
      <w:bookmarkEnd w:id="49"/>
      <w:bookmarkEnd w:id="50"/>
    </w:p>
    <w:p w:rsidR="00A1281C" w:rsidRPr="00BC43AA" w:rsidP="00A1281C">
      <w:pPr>
        <w:bidi w:val="0"/>
        <w:rPr>
          <w:rFonts w:ascii="Arial Narrow" w:hAnsi="Arial Narrow" w:cs="Arial Narrow"/>
          <w:sz w:val="22"/>
          <w:szCs w:val="22"/>
        </w:rPr>
      </w:pPr>
    </w:p>
    <w:p w:rsidR="00A1281C" w:rsidP="00A1281C">
      <w:pPr>
        <w:bidi w:val="0"/>
        <w:ind w:firstLine="708"/>
        <w:jc w:val="both"/>
        <w:rPr>
          <w:rFonts w:ascii="Arial Narrow" w:hAnsi="Arial Narrow" w:cs="Arial Narrow"/>
          <w:sz w:val="22"/>
          <w:szCs w:val="22"/>
        </w:rPr>
      </w:pPr>
      <w:r w:rsidRPr="00DF45EC">
        <w:rPr>
          <w:rFonts w:ascii="Arial Narrow" w:hAnsi="Arial Narrow" w:cs="Arial Narrow"/>
          <w:sz w:val="22"/>
          <w:szCs w:val="22"/>
        </w:rPr>
        <w:t>Nižšie uvedená tabuľka prezentuje rozdiely aktuálnej prognózy daní v metodike ESA</w:t>
      </w:r>
      <w:r w:rsidR="00D564D1">
        <w:rPr>
          <w:rFonts w:ascii="Arial Narrow" w:hAnsi="Arial Narrow" w:cs="Arial Narrow"/>
          <w:sz w:val="22"/>
          <w:szCs w:val="22"/>
        </w:rPr>
        <w:t xml:space="preserve"> </w:t>
      </w:r>
      <w:r w:rsidRPr="00DF45EC">
        <w:rPr>
          <w:rFonts w:ascii="Arial Narrow" w:hAnsi="Arial Narrow" w:cs="Arial Narrow"/>
          <w:sz w:val="22"/>
          <w:szCs w:val="22"/>
        </w:rPr>
        <w:t>95 oproti rozpočtu verejnej správy na roky 20</w:t>
      </w:r>
      <w:r>
        <w:rPr>
          <w:rFonts w:ascii="Arial Narrow" w:hAnsi="Arial Narrow" w:cs="Arial Narrow"/>
          <w:sz w:val="22"/>
          <w:szCs w:val="22"/>
        </w:rPr>
        <w:t>10</w:t>
      </w:r>
      <w:r w:rsidRPr="00DF45EC">
        <w:rPr>
          <w:rFonts w:ascii="Arial Narrow" w:hAnsi="Arial Narrow" w:cs="Arial Narrow"/>
          <w:sz w:val="22"/>
          <w:szCs w:val="22"/>
        </w:rPr>
        <w:t xml:space="preserve"> </w:t>
      </w:r>
      <w:r w:rsidR="00D564D1">
        <w:rPr>
          <w:rFonts w:ascii="Arial Narrow" w:hAnsi="Arial Narrow" w:cs="Arial Narrow"/>
          <w:sz w:val="22"/>
          <w:szCs w:val="22"/>
        </w:rPr>
        <w:t>až</w:t>
      </w:r>
      <w:r w:rsidRPr="00DF45EC">
        <w:rPr>
          <w:rFonts w:ascii="Arial Narrow" w:hAnsi="Arial Narrow" w:cs="Arial Narrow"/>
          <w:sz w:val="22"/>
          <w:szCs w:val="22"/>
        </w:rPr>
        <w:t xml:space="preserve"> </w:t>
      </w:r>
      <w:r>
        <w:rPr>
          <w:rFonts w:ascii="Arial Narrow" w:hAnsi="Arial Narrow" w:cs="Arial Narrow"/>
          <w:sz w:val="22"/>
          <w:szCs w:val="22"/>
        </w:rPr>
        <w:t>2012</w:t>
      </w:r>
      <w:r w:rsidRPr="00DF45EC">
        <w:rPr>
          <w:rFonts w:ascii="Arial Narrow" w:hAnsi="Arial Narrow" w:cs="Arial Narrow"/>
          <w:sz w:val="22"/>
          <w:szCs w:val="22"/>
        </w:rPr>
        <w:t xml:space="preserve">. Aktuálna prognóza je v porovnaní so schváleným rozpočtom </w:t>
      </w:r>
      <w:r>
        <w:rPr>
          <w:rFonts w:ascii="Arial Narrow" w:hAnsi="Arial Narrow" w:cs="Arial Narrow"/>
          <w:sz w:val="22"/>
          <w:szCs w:val="22"/>
        </w:rPr>
        <w:t>v roku 2010 nižšia o 719,5 mil. eur, v roku 2011 nižšia o 469,7 mil. eur a v roku 2012 nižšia o 860,7 mil. eur</w:t>
      </w:r>
      <w:r w:rsidRPr="00DF45EC">
        <w:rPr>
          <w:rFonts w:ascii="Arial Narrow" w:hAnsi="Arial Narrow" w:cs="Arial Narrow"/>
          <w:sz w:val="22"/>
          <w:szCs w:val="22"/>
        </w:rPr>
        <w:t>.</w:t>
      </w:r>
      <w:r>
        <w:rPr>
          <w:rFonts w:ascii="Arial Narrow" w:hAnsi="Arial Narrow" w:cs="Arial Narrow"/>
          <w:sz w:val="22"/>
          <w:szCs w:val="22"/>
        </w:rPr>
        <w:t xml:space="preserve"> Zníženie prognózy daňových príjmov je spôsobené najmä skutočným plnením daní za rok 2009 (v ktorom sa premietol pokles ziskovosti podnikov a SZČO oproti predpokladom) a zhoršeným vývojom makroekonomického prostredia v porovnaní s pôvodnými očakávaniami.</w:t>
      </w:r>
    </w:p>
    <w:p w:rsidR="00A1281C" w:rsidRPr="009137FD" w:rsidP="00A1281C">
      <w:pPr>
        <w:bidi w:val="0"/>
        <w:ind w:firstLine="708"/>
        <w:jc w:val="both"/>
        <w:rPr>
          <w:rFonts w:ascii="Arial Narrow" w:hAnsi="Arial Narrow" w:cs="Arial Narrow"/>
          <w:sz w:val="22"/>
          <w:szCs w:val="22"/>
        </w:rPr>
      </w:pPr>
      <w:r w:rsidRPr="006B6D82">
        <w:t xml:space="preserve"> </w:t>
      </w:r>
    </w:p>
    <w:tbl>
      <w:tblPr>
        <w:tblStyle w:val="TableNormal"/>
        <w:tblW w:w="9072" w:type="dxa"/>
        <w:jc w:val="center"/>
        <w:tblCellMar>
          <w:left w:w="70" w:type="dxa"/>
          <w:right w:w="70" w:type="dxa"/>
        </w:tblCellMar>
      </w:tblPr>
      <w:tblGrid>
        <w:gridCol w:w="5229"/>
        <w:gridCol w:w="1281"/>
        <w:gridCol w:w="1281"/>
        <w:gridCol w:w="1281"/>
      </w:tblGrid>
      <w:tr>
        <w:tblPrEx>
          <w:tblW w:w="9072" w:type="dxa"/>
          <w:jc w:val="center"/>
          <w:tblCellMar>
            <w:left w:w="70" w:type="dxa"/>
            <w:right w:w="70" w:type="dxa"/>
          </w:tblCellMar>
        </w:tblPrEx>
        <w:trPr>
          <w:trHeight w:val="340"/>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Rozdiely medzi aktuálnym odhadom daní a rozpočtom verejnej správy na roky 2010</w:t>
            </w:r>
            <w:r w:rsidR="00D564D1">
              <w:rPr>
                <w:rFonts w:ascii="Arial Narrow" w:hAnsi="Arial Narrow" w:cs="Arial Narrow"/>
                <w:b/>
                <w:bCs/>
                <w:sz w:val="16"/>
                <w:szCs w:val="16"/>
              </w:rPr>
              <w:t xml:space="preserve"> až </w:t>
            </w:r>
            <w:r w:rsidRPr="00133B9A">
              <w:rPr>
                <w:rFonts w:ascii="Arial Narrow" w:hAnsi="Arial Narrow" w:cs="Arial Narrow"/>
                <w:b/>
                <w:bCs/>
                <w:sz w:val="16"/>
                <w:szCs w:val="16"/>
              </w:rPr>
              <w:t>2012 (ESA</w:t>
            </w:r>
            <w:r>
              <w:rPr>
                <w:rFonts w:ascii="Arial Narrow" w:hAnsi="Arial Narrow" w:cs="Arial Narrow"/>
                <w:b/>
                <w:bCs/>
                <w:sz w:val="16"/>
                <w:szCs w:val="16"/>
              </w:rPr>
              <w:t xml:space="preserve"> </w:t>
            </w:r>
            <w:r w:rsidRPr="00133B9A">
              <w:rPr>
                <w:rFonts w:ascii="Arial Narrow" w:hAnsi="Arial Narrow" w:cs="Arial Narrow"/>
                <w:b/>
                <w:bCs/>
                <w:sz w:val="16"/>
                <w:szCs w:val="16"/>
              </w:rPr>
              <w:t>95, tis. eur)</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 </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2010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2011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2012</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none" w:sz="0"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Daňové príjmy na akruálnej báze spolu</w:t>
            </w:r>
          </w:p>
        </w:tc>
        <w:tc>
          <w:tcPr>
            <w:tcW w:w="1281" w:type="dxa"/>
            <w:tcBorders>
              <w:top w:val="single" w:sz="4" w:space="0" w:color="auto"/>
              <w:left w:val="single" w:sz="4" w:space="0" w:color="auto"/>
              <w:bottom w:val="none" w:sz="0"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-719 521</w:t>
            </w:r>
          </w:p>
        </w:tc>
        <w:tc>
          <w:tcPr>
            <w:tcW w:w="1281" w:type="dxa"/>
            <w:tcBorders>
              <w:top w:val="single" w:sz="4" w:space="0" w:color="auto"/>
              <w:left w:val="single" w:sz="4" w:space="0" w:color="auto"/>
              <w:bottom w:val="none" w:sz="0"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-469 655</w:t>
            </w:r>
          </w:p>
        </w:tc>
        <w:tc>
          <w:tcPr>
            <w:tcW w:w="1281" w:type="dxa"/>
            <w:tcBorders>
              <w:top w:val="single" w:sz="4" w:space="0" w:color="auto"/>
              <w:left w:val="single" w:sz="4" w:space="0" w:color="auto"/>
              <w:bottom w:val="none" w:sz="0"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-860 725</w:t>
            </w:r>
          </w:p>
        </w:tc>
      </w:tr>
      <w:tr>
        <w:tblPrEx>
          <w:tblW w:w="9072" w:type="dxa"/>
          <w:jc w:val="center"/>
          <w:tblCellMar>
            <w:left w:w="70" w:type="dxa"/>
            <w:right w:w="70" w:type="dxa"/>
          </w:tblCellMar>
        </w:tblPrEx>
        <w:trPr>
          <w:trHeight w:val="270"/>
          <w:jc w:val="center"/>
        </w:trPr>
        <w:tc>
          <w:tcPr>
            <w:tcW w:w="5229" w:type="dxa"/>
            <w:tcBorders>
              <w:top w:val="none" w:sz="0" w:space="0" w:color="auto"/>
              <w:left w:val="single" w:sz="4" w:space="0" w:color="auto"/>
              <w:bottom w:val="single" w:sz="12" w:space="0" w:color="auto"/>
              <w:right w:val="single" w:sz="4"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 xml:space="preserve"> v % HDP</w:t>
            </w:r>
          </w:p>
        </w:tc>
        <w:tc>
          <w:tcPr>
            <w:tcW w:w="1281" w:type="dxa"/>
            <w:tcBorders>
              <w:top w:val="none" w:sz="0"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w:t>
            </w:r>
          </w:p>
        </w:tc>
        <w:tc>
          <w:tcPr>
            <w:tcW w:w="1281" w:type="dxa"/>
            <w:tcBorders>
              <w:top w:val="none" w:sz="0"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-0,7</w:t>
            </w:r>
          </w:p>
        </w:tc>
        <w:tc>
          <w:tcPr>
            <w:tcW w:w="1281" w:type="dxa"/>
            <w:tcBorders>
              <w:top w:val="none" w:sz="0"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-1,1</w:t>
            </w:r>
          </w:p>
        </w:tc>
      </w:tr>
      <w:tr>
        <w:tblPrEx>
          <w:tblW w:w="9072" w:type="dxa"/>
          <w:jc w:val="center"/>
          <w:tblCellMar>
            <w:left w:w="70" w:type="dxa"/>
            <w:right w:w="70" w:type="dxa"/>
          </w:tblCellMar>
        </w:tblPrEx>
        <w:trPr>
          <w:trHeight w:val="270"/>
          <w:jc w:val="center"/>
        </w:trPr>
        <w:tc>
          <w:tcPr>
            <w:tcW w:w="5229"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rPr>
                <w:rFonts w:ascii="Arial Narrow" w:hAnsi="Arial Narrow" w:cs="Arial Narrow"/>
                <w:sz w:val="16"/>
                <w:szCs w:val="16"/>
              </w:rPr>
            </w:pPr>
            <w:r w:rsidRPr="00133B9A">
              <w:rPr>
                <w:rFonts w:ascii="Arial Narrow" w:hAnsi="Arial Narrow" w:cs="Arial Narrow"/>
                <w:sz w:val="16"/>
                <w:szCs w:val="16"/>
              </w:rPr>
              <w:t>z toho: vplyv legislatívnych zmien</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-42 019</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289 899</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299 063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 xml:space="preserve">        vplyv DPH – PPP projekty</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150 000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0</w:t>
            </w:r>
          </w:p>
        </w:tc>
      </w:tr>
      <w:tr>
        <w:tblPrEx>
          <w:tblW w:w="9072" w:type="dxa"/>
          <w:jc w:val="center"/>
          <w:tblCellMar>
            <w:left w:w="70" w:type="dxa"/>
            <w:right w:w="70" w:type="dxa"/>
          </w:tblCellMar>
        </w:tblPrEx>
        <w:trPr>
          <w:trHeight w:val="270"/>
          <w:jc w:val="center"/>
        </w:trPr>
        <w:tc>
          <w:tcPr>
            <w:tcW w:w="5229"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fyzických osôb</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-93 065</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-145 241</w:t>
            </w:r>
          </w:p>
        </w:tc>
        <w:tc>
          <w:tcPr>
            <w:tcW w:w="1281" w:type="dxa"/>
            <w:tcBorders>
              <w:top w:val="single" w:sz="12"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-147 393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právnických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-99 775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-100 499</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-141 143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vyberaná zrážkou</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-12 178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-16 453</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-1 751</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pridanej hodnoty</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-419 778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-245 566</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-522 847</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Spotrebné dane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-69 774</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65 597</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59 098</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Dane z medzinárodného obchodu a transakcií</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3 137</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4 405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4 498</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Miestne dane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-26 659</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-29 199</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-31 890</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12"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Ostatné dane</w:t>
            </w:r>
          </w:p>
        </w:tc>
        <w:tc>
          <w:tcPr>
            <w:tcW w:w="1281" w:type="dxa"/>
            <w:tcBorders>
              <w:top w:val="single" w:sz="4"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-1 429</w:t>
            </w:r>
          </w:p>
        </w:tc>
        <w:tc>
          <w:tcPr>
            <w:tcW w:w="1281" w:type="dxa"/>
            <w:tcBorders>
              <w:top w:val="single" w:sz="4"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-2 699</w:t>
            </w:r>
          </w:p>
        </w:tc>
        <w:tc>
          <w:tcPr>
            <w:tcW w:w="1281" w:type="dxa"/>
            <w:tcBorders>
              <w:top w:val="single" w:sz="4" w:space="0" w:color="auto"/>
              <w:left w:val="single" w:sz="4" w:space="0" w:color="auto"/>
              <w:bottom w:val="single" w:sz="12"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-79 297</w:t>
            </w:r>
          </w:p>
        </w:tc>
      </w:tr>
      <w:tr>
        <w:tblPrEx>
          <w:tblW w:w="9072" w:type="dxa"/>
          <w:jc w:val="center"/>
          <w:tblCellMar>
            <w:left w:w="70" w:type="dxa"/>
            <w:right w:w="70" w:type="dxa"/>
          </w:tblCellMar>
        </w:tblPrEx>
        <w:trPr>
          <w:trHeight w:val="270"/>
          <w:jc w:val="center"/>
        </w:trPr>
        <w:tc>
          <w:tcPr>
            <w:tcW w:w="5229" w:type="dxa"/>
            <w:tcBorders>
              <w:top w:val="single" w:sz="12" w:space="0" w:color="auto"/>
              <w:left w:val="single" w:sz="8" w:space="0" w:color="auto"/>
              <w:bottom w:val="single" w:sz="8" w:space="0" w:color="auto"/>
              <w:right w:val="single" w:sz="8" w:space="0" w:color="auto"/>
            </w:tcBorders>
            <w:textDirection w:val="lrTb"/>
            <w:vAlign w:val="center"/>
          </w:tcPr>
          <w:p w:rsidR="00A1281C" w:rsidRPr="00133B9A" w:rsidP="006740C3">
            <w:pPr>
              <w:bidi w:val="0"/>
              <w:rPr>
                <w:rFonts w:ascii="Arial Narrow" w:hAnsi="Arial Narrow" w:cs="Arial Narrow"/>
                <w:b/>
                <w:bCs/>
                <w:sz w:val="16"/>
                <w:szCs w:val="16"/>
              </w:rPr>
            </w:pPr>
            <w:r w:rsidRPr="00133B9A">
              <w:rPr>
                <w:rFonts w:ascii="Arial Narrow" w:hAnsi="Arial Narrow" w:cs="Arial Narrow"/>
                <w:b/>
                <w:bCs/>
                <w:sz w:val="16"/>
                <w:szCs w:val="16"/>
              </w:rPr>
              <w:t>Výdavky na verejnoprospešný účel</w:t>
            </w:r>
          </w:p>
        </w:tc>
        <w:tc>
          <w:tcPr>
            <w:tcW w:w="1281" w:type="dxa"/>
            <w:tcBorders>
              <w:top w:val="single" w:sz="12" w:space="0" w:color="auto"/>
              <w:left w:val="single" w:sz="8" w:space="0" w:color="auto"/>
              <w:bottom w:val="single" w:sz="8" w:space="0" w:color="auto"/>
              <w:right w:val="single" w:sz="8"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-3 571</w:t>
            </w:r>
          </w:p>
        </w:tc>
        <w:tc>
          <w:tcPr>
            <w:tcW w:w="1281" w:type="dxa"/>
            <w:tcBorders>
              <w:top w:val="single" w:sz="12" w:space="0" w:color="auto"/>
              <w:left w:val="single" w:sz="8" w:space="0" w:color="auto"/>
              <w:bottom w:val="single" w:sz="8" w:space="0" w:color="auto"/>
              <w:right w:val="single" w:sz="8"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-6 229</w:t>
            </w:r>
          </w:p>
        </w:tc>
        <w:tc>
          <w:tcPr>
            <w:tcW w:w="1281" w:type="dxa"/>
            <w:tcBorders>
              <w:top w:val="single" w:sz="12" w:space="0" w:color="auto"/>
              <w:left w:val="single" w:sz="8" w:space="0" w:color="auto"/>
              <w:bottom w:val="single" w:sz="8" w:space="0" w:color="auto"/>
              <w:right w:val="single" w:sz="8" w:space="0" w:color="auto"/>
            </w:tcBorders>
            <w:textDirection w:val="lrTb"/>
            <w:vAlign w:val="center"/>
          </w:tcPr>
          <w:p w:rsidR="00A1281C" w:rsidRPr="00133B9A" w:rsidP="006740C3">
            <w:pPr>
              <w:bidi w:val="0"/>
              <w:jc w:val="right"/>
              <w:rPr>
                <w:rFonts w:ascii="Arial Narrow" w:hAnsi="Arial Narrow" w:cs="Arial Narrow"/>
                <w:b/>
                <w:bCs/>
                <w:sz w:val="16"/>
                <w:szCs w:val="16"/>
              </w:rPr>
            </w:pPr>
            <w:r w:rsidRPr="00133B9A">
              <w:rPr>
                <w:rFonts w:ascii="Arial Narrow" w:hAnsi="Arial Narrow" w:cs="Arial Narrow"/>
                <w:b/>
                <w:bCs/>
                <w:sz w:val="16"/>
                <w:szCs w:val="16"/>
              </w:rPr>
              <w:t>-3 816</w:t>
            </w:r>
          </w:p>
        </w:tc>
      </w:tr>
      <w:tr>
        <w:tblPrEx>
          <w:tblW w:w="9072" w:type="dxa"/>
          <w:jc w:val="center"/>
          <w:tblCellMar>
            <w:left w:w="70" w:type="dxa"/>
            <w:right w:w="70" w:type="dxa"/>
          </w:tblCellMar>
        </w:tblPrEx>
        <w:trPr>
          <w:trHeight w:val="270"/>
          <w:jc w:val="center"/>
        </w:trPr>
        <w:tc>
          <w:tcPr>
            <w:tcW w:w="5229"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fyzických osôb</w:t>
            </w:r>
          </w:p>
        </w:tc>
        <w:tc>
          <w:tcPr>
            <w:tcW w:w="1281"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-432</w:t>
            </w:r>
          </w:p>
        </w:tc>
        <w:tc>
          <w:tcPr>
            <w:tcW w:w="1281"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-1 619</w:t>
            </w:r>
          </w:p>
        </w:tc>
        <w:tc>
          <w:tcPr>
            <w:tcW w:w="1281" w:type="dxa"/>
            <w:tcBorders>
              <w:top w:val="single" w:sz="8"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-2 133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ind w:firstLine="160" w:firstLineChars="100"/>
              <w:rPr>
                <w:rFonts w:ascii="Arial Narrow" w:hAnsi="Arial Narrow" w:cs="Arial Narrow"/>
                <w:sz w:val="16"/>
                <w:szCs w:val="16"/>
              </w:rPr>
            </w:pPr>
            <w:r w:rsidRPr="00133B9A">
              <w:rPr>
                <w:rFonts w:ascii="Arial Narrow" w:hAnsi="Arial Narrow" w:cs="Arial Narrow"/>
                <w:sz w:val="16"/>
                <w:szCs w:val="16"/>
              </w:rPr>
              <w:t>Daň z príjmov právnických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-3 139</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-4 610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A1281C" w:rsidRPr="00133B9A" w:rsidP="006740C3">
            <w:pPr>
              <w:bidi w:val="0"/>
              <w:jc w:val="right"/>
              <w:rPr>
                <w:rFonts w:ascii="Arial Narrow" w:hAnsi="Arial Narrow" w:cs="Arial Narrow"/>
                <w:sz w:val="16"/>
                <w:szCs w:val="16"/>
              </w:rPr>
            </w:pPr>
            <w:r w:rsidRPr="00133B9A">
              <w:rPr>
                <w:rFonts w:ascii="Arial Narrow" w:hAnsi="Arial Narrow" w:cs="Arial Narrow"/>
                <w:sz w:val="16"/>
                <w:szCs w:val="16"/>
              </w:rPr>
              <w:t>-1 683</w:t>
            </w:r>
          </w:p>
        </w:tc>
      </w:tr>
      <w:tr>
        <w:tblPrEx>
          <w:tblW w:w="9072" w:type="dxa"/>
          <w:jc w:val="center"/>
          <w:tblCellMar>
            <w:left w:w="70" w:type="dxa"/>
            <w:right w:w="70" w:type="dxa"/>
          </w:tblCellMar>
        </w:tblPrEx>
        <w:trPr>
          <w:trHeight w:val="270"/>
          <w:jc w:val="center"/>
        </w:trPr>
        <w:tc>
          <w:tcPr>
            <w:tcW w:w="9072" w:type="dxa"/>
            <w:gridSpan w:val="4"/>
            <w:tcBorders>
              <w:top w:val="single" w:sz="4" w:space="0" w:color="auto"/>
              <w:left w:val="nil"/>
              <w:bottom w:val="nil"/>
              <w:right w:val="nil"/>
            </w:tcBorders>
            <w:textDirection w:val="lrTb"/>
            <w:vAlign w:val="center"/>
          </w:tcPr>
          <w:p w:rsidR="00A1281C" w:rsidRPr="00133B9A" w:rsidP="006740C3">
            <w:pPr>
              <w:bidi w:val="0"/>
              <w:rPr>
                <w:rFonts w:ascii="Arial Narrow" w:hAnsi="Arial Narrow" w:cs="Arial Narrow"/>
                <w:i/>
                <w:iCs/>
                <w:sz w:val="16"/>
                <w:szCs w:val="16"/>
              </w:rPr>
            </w:pPr>
            <w:r w:rsidRPr="00133B9A">
              <w:rPr>
                <w:rFonts w:ascii="Arial Narrow" w:hAnsi="Arial Narrow" w:cs="Arial Narrow"/>
                <w:i/>
                <w:iCs/>
                <w:sz w:val="16"/>
                <w:szCs w:val="16"/>
              </w:rPr>
              <w:t>(+)  indikuje aktuálny odhad vyšší ako rozpočet, (-)  indikuje aktuálny odhad nižší ako rozpočet</w:t>
            </w:r>
          </w:p>
          <w:p w:rsidR="00A1281C" w:rsidRPr="00133B9A" w:rsidP="006740C3">
            <w:pPr>
              <w:bidi w:val="0"/>
              <w:rPr>
                <w:rFonts w:ascii="Arial Narrow" w:hAnsi="Arial Narrow" w:cs="Arial Narrow"/>
                <w:i/>
                <w:iCs/>
                <w:sz w:val="16"/>
                <w:szCs w:val="16"/>
              </w:rPr>
            </w:pPr>
            <w:r w:rsidRPr="00133B9A">
              <w:rPr>
                <w:rFonts w:ascii="Arial Narrow" w:hAnsi="Arial Narrow" w:cs="Arial Narrow"/>
                <w:i/>
                <w:iCs/>
                <w:sz w:val="16"/>
                <w:szCs w:val="16"/>
              </w:rPr>
              <w:t>Rozdiely sú robené na prognózach bez sankcií.</w:t>
            </w:r>
          </w:p>
        </w:tc>
      </w:tr>
    </w:tbl>
    <w:p w:rsidR="00A1281C" w:rsidP="00A1281C">
      <w:pPr>
        <w:bidi w:val="0"/>
        <w:outlineLvl w:val="0"/>
        <w:rPr>
          <w:rFonts w:ascii="Arial Narrow" w:hAnsi="Arial Narrow" w:cs="Arial Narrow"/>
          <w:b/>
          <w:bCs/>
        </w:rPr>
      </w:pPr>
    </w:p>
    <w:p w:rsidR="00A1281C" w:rsidRPr="004A7F5C" w:rsidP="00A1281C">
      <w:pPr>
        <w:bidi w:val="0"/>
        <w:rPr>
          <w:rFonts w:ascii="Arial Narrow" w:hAnsi="Arial Narrow" w:cs="Arial Narrow"/>
          <w:b/>
          <w:bCs/>
          <w:sz w:val="22"/>
          <w:szCs w:val="22"/>
        </w:rPr>
      </w:pPr>
      <w:r w:rsidRPr="004A7F5C">
        <w:rPr>
          <w:rFonts w:ascii="Arial Narrow" w:hAnsi="Arial Narrow" w:cs="Arial Narrow"/>
          <w:b/>
          <w:bCs/>
          <w:sz w:val="22"/>
          <w:szCs w:val="22"/>
        </w:rPr>
        <w:t>Vyjadrenia členov daňového výboru k prognózam</w:t>
      </w:r>
    </w:p>
    <w:p w:rsidR="00A1281C" w:rsidRPr="00EA71DC" w:rsidP="00A1281C">
      <w:pPr>
        <w:bidi w:val="0"/>
        <w:rPr>
          <w:rFonts w:ascii="Arial Narrow" w:hAnsi="Arial Narrow" w:cs="Arial Narrow"/>
          <w:sz w:val="22"/>
          <w:szCs w:val="22"/>
        </w:rPr>
      </w:pPr>
    </w:p>
    <w:p w:rsidR="00A1281C" w:rsidRPr="00EA71DC" w:rsidP="00A1281C">
      <w:pPr>
        <w:bidi w:val="0"/>
        <w:ind w:firstLine="708"/>
        <w:jc w:val="both"/>
        <w:rPr>
          <w:rFonts w:ascii="Arial Narrow" w:hAnsi="Arial Narrow" w:cs="Arial Narrow"/>
          <w:sz w:val="22"/>
          <w:szCs w:val="22"/>
        </w:rPr>
      </w:pPr>
      <w:r w:rsidRPr="00EA71DC">
        <w:rPr>
          <w:rFonts w:ascii="Arial Narrow" w:hAnsi="Arial Narrow" w:cs="Arial Narrow"/>
          <w:sz w:val="22"/>
          <w:szCs w:val="22"/>
        </w:rPr>
        <w:t>Prognóza daňových príjmov MF SR bola podrobená hodnoteniu v rámci Výboru pre daňové prognózy. Dvadsiate zasadnutie Výboru sa konalo 14. septembra 2010. Strednodobá prognóza daňových príjmov a sociálnych odvodov MF SR bola všetkými siedm</w:t>
      </w:r>
      <w:r>
        <w:rPr>
          <w:rFonts w:ascii="Arial Narrow" w:hAnsi="Arial Narrow" w:cs="Arial Narrow"/>
          <w:sz w:val="22"/>
          <w:szCs w:val="22"/>
        </w:rPr>
        <w:t>i</w:t>
      </w:r>
      <w:r w:rsidRPr="00EA71DC">
        <w:rPr>
          <w:rFonts w:ascii="Arial Narrow" w:hAnsi="Arial Narrow" w:cs="Arial Narrow"/>
          <w:sz w:val="22"/>
          <w:szCs w:val="22"/>
        </w:rPr>
        <w:t xml:space="preserve">mi členmi Výboru označená ako </w:t>
      </w:r>
      <w:r w:rsidRPr="00EA71DC">
        <w:rPr>
          <w:rFonts w:ascii="Arial Narrow" w:hAnsi="Arial Narrow" w:cs="Arial Narrow"/>
          <w:b/>
          <w:bCs/>
          <w:sz w:val="22"/>
          <w:szCs w:val="22"/>
        </w:rPr>
        <w:t>realistická</w:t>
      </w:r>
      <w:r w:rsidRPr="00EA71DC">
        <w:rPr>
          <w:rFonts w:ascii="Arial Narrow" w:hAnsi="Arial Narrow" w:cs="Arial Narrow"/>
          <w:sz w:val="22"/>
          <w:szCs w:val="22"/>
        </w:rPr>
        <w:t>. Nižšie sú uvedené komentáre členov Výboru, ktorí zaslali svoje vyjadrenie:</w:t>
      </w:r>
    </w:p>
    <w:p w:rsidR="00A1281C" w:rsidRPr="00EA71DC" w:rsidP="00A1281C">
      <w:pPr>
        <w:bidi w:val="0"/>
        <w:rPr>
          <w:rFonts w:ascii="Arial Narrow" w:hAnsi="Arial Narrow" w:cs="Arial Narrow"/>
          <w:sz w:val="22"/>
          <w:szCs w:val="22"/>
          <w:highlight w:val="yellow"/>
          <w:u w:val="single"/>
        </w:rPr>
      </w:pPr>
    </w:p>
    <w:p w:rsidR="00A1281C" w:rsidRPr="00EA71DC" w:rsidP="00A1281C">
      <w:pPr>
        <w:autoSpaceDE w:val="0"/>
        <w:autoSpaceDN w:val="0"/>
        <w:bidi w:val="0"/>
        <w:adjustRightInd w:val="0"/>
        <w:spacing w:line="240" w:lineRule="atLeast"/>
        <w:rPr>
          <w:rFonts w:ascii="Arial Narrow" w:hAnsi="Arial Narrow" w:cs="Arial Narrow"/>
          <w:sz w:val="22"/>
          <w:szCs w:val="22"/>
          <w:u w:val="single"/>
        </w:rPr>
      </w:pPr>
      <w:r w:rsidRPr="00EA71DC">
        <w:rPr>
          <w:rFonts w:ascii="Arial Narrow" w:hAnsi="Arial Narrow" w:cs="Arial Narrow"/>
          <w:sz w:val="22"/>
          <w:szCs w:val="22"/>
          <w:u w:val="single"/>
        </w:rPr>
        <w:t>NBS</w:t>
      </w:r>
    </w:p>
    <w:p w:rsidR="00A1281C" w:rsidRPr="00EA71DC" w:rsidP="00A1281C">
      <w:pPr>
        <w:bidi w:val="0"/>
        <w:ind w:firstLine="708"/>
        <w:jc w:val="both"/>
        <w:rPr>
          <w:rFonts w:ascii="Arial Narrow" w:hAnsi="Arial Narrow" w:cs="Arial Narrow"/>
          <w:sz w:val="22"/>
          <w:szCs w:val="22"/>
        </w:rPr>
      </w:pPr>
      <w:r w:rsidRPr="00EA71DC">
        <w:rPr>
          <w:rFonts w:ascii="Arial Narrow" w:hAnsi="Arial Narrow" w:cs="Arial Narrow"/>
          <w:sz w:val="22"/>
          <w:szCs w:val="22"/>
        </w:rPr>
        <w:t>NBS hodnotí predikciu daňových a odvodových príjmov MF SR ako realistickú vo vzťahu k makroprognóze MF SR, ktorá bola založená v čase jej zostavenia na nie ešte definitívne schválenej kompozícii plánovanej konsolidácie (najmä na strane výdavkov). Z toho vyplývajú tak pre makroprognózu, ako aj pre prognózu daní a odvodov potenciálne riziká v podobe iného scenára vývoja. NBS rovnako ako MF SR uvažuje v roku 2011 s jednorazovým príjmom 150 mil. eur vo výbere DPH, ktorý súvisí s plánovaným odovzdaním 3 úsekov 2. balíka PPP projektov. Tento príjem je však rozpočtovo neutrálny, nakoľko v rovnakej miere zaťaží aj výdavky štátneho rozpočtu.</w:t>
      </w:r>
    </w:p>
    <w:p w:rsidR="00A1281C" w:rsidRPr="00EA71DC" w:rsidP="00A1281C">
      <w:pPr>
        <w:bidi w:val="0"/>
        <w:rPr>
          <w:rFonts w:ascii="Arial Narrow" w:hAnsi="Arial Narrow" w:cs="Arial Narrow"/>
          <w:sz w:val="22"/>
          <w:szCs w:val="22"/>
        </w:rPr>
      </w:pPr>
    </w:p>
    <w:p w:rsidR="00A1281C" w:rsidRPr="00EA71DC" w:rsidP="00A1281C">
      <w:pPr>
        <w:autoSpaceDE w:val="0"/>
        <w:autoSpaceDN w:val="0"/>
        <w:bidi w:val="0"/>
        <w:adjustRightInd w:val="0"/>
        <w:spacing w:line="240" w:lineRule="atLeast"/>
        <w:rPr>
          <w:rFonts w:ascii="Arial Narrow" w:hAnsi="Arial Narrow" w:cs="Arial Narrow"/>
          <w:sz w:val="22"/>
          <w:szCs w:val="22"/>
          <w:u w:val="single"/>
        </w:rPr>
      </w:pPr>
      <w:r w:rsidRPr="00EA71DC">
        <w:rPr>
          <w:rFonts w:ascii="Arial Narrow" w:hAnsi="Arial Narrow" w:cs="Arial Narrow"/>
          <w:sz w:val="22"/>
          <w:szCs w:val="22"/>
          <w:u w:val="single"/>
        </w:rPr>
        <w:t>Tatra banka</w:t>
      </w:r>
      <w:r>
        <w:rPr>
          <w:rFonts w:ascii="Arial Narrow" w:hAnsi="Arial Narrow" w:cs="Arial Narrow"/>
          <w:sz w:val="22"/>
          <w:szCs w:val="22"/>
          <w:u w:val="single"/>
        </w:rPr>
        <w:t xml:space="preserve"> </w:t>
      </w:r>
    </w:p>
    <w:p w:rsidR="00A1281C" w:rsidRPr="00EA71DC" w:rsidP="00A1281C">
      <w:pPr>
        <w:bidi w:val="0"/>
        <w:ind w:firstLine="708"/>
        <w:jc w:val="both"/>
        <w:rPr>
          <w:rFonts w:ascii="Arial Narrow" w:hAnsi="Arial Narrow" w:cs="Arial Narrow"/>
          <w:sz w:val="22"/>
          <w:szCs w:val="22"/>
        </w:rPr>
      </w:pPr>
      <w:r w:rsidRPr="00EA71DC">
        <w:rPr>
          <w:rFonts w:ascii="Arial Narrow" w:hAnsi="Arial Narrow" w:cs="Arial Narrow"/>
          <w:sz w:val="22"/>
          <w:szCs w:val="22"/>
        </w:rPr>
        <w:t>Prognózu považuje za realistickú a nemá dôvod spochybňovať prognózu ktorejkoľvek dane. Keďže dochádza k viacerým podstatným legislatívnym zmenám, neistota predikcie príjmov je väčšia ako zvyčajne. Preto by aj plánovanie na strane výdavkov malo byť viac konzervatívne ako v minulosti.</w:t>
      </w:r>
    </w:p>
    <w:p w:rsidR="00A1281C" w:rsidP="00A1281C">
      <w:pPr>
        <w:bidi w:val="0"/>
        <w:rPr>
          <w:rFonts w:ascii="Arial Narrow" w:hAnsi="Arial Narrow" w:cs="Arial Narrow"/>
          <w:sz w:val="22"/>
          <w:szCs w:val="22"/>
        </w:rPr>
      </w:pPr>
    </w:p>
    <w:p w:rsidR="00783727" w:rsidP="00A1281C">
      <w:pPr>
        <w:autoSpaceDE w:val="0"/>
        <w:autoSpaceDN w:val="0"/>
        <w:bidi w:val="0"/>
        <w:adjustRightInd w:val="0"/>
        <w:spacing w:line="240" w:lineRule="atLeast"/>
        <w:rPr>
          <w:rFonts w:ascii="Arial Narrow" w:hAnsi="Arial Narrow" w:cs="Arial Narrow"/>
          <w:sz w:val="22"/>
          <w:szCs w:val="22"/>
          <w:u w:val="single"/>
        </w:rPr>
      </w:pPr>
    </w:p>
    <w:p w:rsidR="00783727" w:rsidP="00A1281C">
      <w:pPr>
        <w:autoSpaceDE w:val="0"/>
        <w:autoSpaceDN w:val="0"/>
        <w:bidi w:val="0"/>
        <w:adjustRightInd w:val="0"/>
        <w:spacing w:line="240" w:lineRule="atLeast"/>
        <w:rPr>
          <w:rFonts w:ascii="Arial Narrow" w:hAnsi="Arial Narrow" w:cs="Arial Narrow"/>
          <w:sz w:val="22"/>
          <w:szCs w:val="22"/>
          <w:u w:val="single"/>
        </w:rPr>
      </w:pPr>
    </w:p>
    <w:p w:rsidR="00783727" w:rsidP="00A1281C">
      <w:pPr>
        <w:autoSpaceDE w:val="0"/>
        <w:autoSpaceDN w:val="0"/>
        <w:bidi w:val="0"/>
        <w:adjustRightInd w:val="0"/>
        <w:spacing w:line="240" w:lineRule="atLeast"/>
        <w:rPr>
          <w:rFonts w:ascii="Arial Narrow" w:hAnsi="Arial Narrow" w:cs="Arial Narrow"/>
          <w:sz w:val="22"/>
          <w:szCs w:val="22"/>
          <w:u w:val="single"/>
        </w:rPr>
      </w:pPr>
    </w:p>
    <w:p w:rsidR="00A1281C" w:rsidRPr="004A7F5C" w:rsidP="00A1281C">
      <w:pPr>
        <w:autoSpaceDE w:val="0"/>
        <w:autoSpaceDN w:val="0"/>
        <w:bidi w:val="0"/>
        <w:adjustRightInd w:val="0"/>
        <w:spacing w:line="240" w:lineRule="atLeast"/>
        <w:rPr>
          <w:rFonts w:ascii="Arial Narrow" w:hAnsi="Arial Narrow" w:cs="Arial Narrow"/>
          <w:sz w:val="22"/>
          <w:szCs w:val="22"/>
          <w:u w:val="single"/>
        </w:rPr>
      </w:pPr>
      <w:r w:rsidRPr="004A7F5C">
        <w:rPr>
          <w:rFonts w:ascii="Arial Narrow" w:hAnsi="Arial Narrow" w:cs="Arial Narrow"/>
          <w:sz w:val="22"/>
          <w:szCs w:val="22"/>
          <w:u w:val="single"/>
        </w:rPr>
        <w:t>Infostat</w:t>
      </w:r>
      <w:r>
        <w:rPr>
          <w:rFonts w:ascii="Arial Narrow" w:hAnsi="Arial Narrow" w:cs="Arial Narrow"/>
          <w:sz w:val="22"/>
          <w:szCs w:val="22"/>
          <w:u w:val="single"/>
        </w:rPr>
        <w:t xml:space="preserve"> </w:t>
      </w:r>
    </w:p>
    <w:p w:rsidR="00A1281C" w:rsidRPr="00EA71DC" w:rsidP="00A1281C">
      <w:pPr>
        <w:autoSpaceDE w:val="0"/>
        <w:autoSpaceDN w:val="0"/>
        <w:bidi w:val="0"/>
        <w:adjustRightInd w:val="0"/>
        <w:spacing w:line="240" w:lineRule="atLeast"/>
        <w:ind w:firstLine="708"/>
        <w:jc w:val="both"/>
        <w:rPr>
          <w:rFonts w:ascii="Arial Narrow" w:hAnsi="Arial Narrow" w:cs="Arial Narrow"/>
          <w:sz w:val="22"/>
          <w:szCs w:val="22"/>
        </w:rPr>
      </w:pPr>
      <w:r w:rsidRPr="00EA71DC">
        <w:rPr>
          <w:rFonts w:ascii="Arial Narrow" w:hAnsi="Arial Narrow" w:cs="Arial Narrow"/>
          <w:sz w:val="22"/>
          <w:szCs w:val="22"/>
        </w:rPr>
        <w:t>Prognózu celkových daňových príjmov a sociálnych odvodov považuje INFOSTAT za realistickú. V detailnejšej štruktúre je ich odhad konzervatívnejší pre položku celkových priamych daní v celom prognózovanom období. Naopak, ich odhad nepriamych daní je optimistickejší.</w:t>
      </w:r>
    </w:p>
    <w:p w:rsidR="00D077AE" w:rsidP="00274F1D">
      <w:pPr>
        <w:pStyle w:val="Heading2"/>
        <w:bidi w:val="0"/>
        <w:spacing w:before="360"/>
        <w:rPr>
          <w:rFonts w:ascii="Arial Narrow" w:hAnsi="Arial Narrow" w:cs="Arial Narrow"/>
          <w:i w:val="0"/>
          <w:iCs w:val="0"/>
          <w:sz w:val="24"/>
          <w:szCs w:val="24"/>
        </w:rPr>
      </w:pPr>
      <w:bookmarkStart w:id="51" w:name="_Toc273979620"/>
      <w:r>
        <w:rPr>
          <w:rFonts w:ascii="Arial Narrow" w:hAnsi="Arial Narrow" w:cs="Arial Narrow"/>
          <w:i w:val="0"/>
          <w:iCs w:val="0"/>
          <w:sz w:val="24"/>
          <w:szCs w:val="24"/>
        </w:rPr>
        <w:t>3.</w:t>
      </w:r>
      <w:r w:rsidR="00C94A21">
        <w:rPr>
          <w:rFonts w:ascii="Arial Narrow" w:hAnsi="Arial Narrow" w:cs="Arial Narrow"/>
          <w:i w:val="0"/>
          <w:iCs w:val="0"/>
          <w:sz w:val="24"/>
          <w:szCs w:val="24"/>
        </w:rPr>
        <w:t>5</w:t>
      </w:r>
      <w:r>
        <w:rPr>
          <w:rFonts w:ascii="Arial Narrow" w:hAnsi="Arial Narrow" w:cs="Arial Narrow"/>
          <w:i w:val="0"/>
          <w:iCs w:val="0"/>
          <w:sz w:val="24"/>
          <w:szCs w:val="24"/>
        </w:rPr>
        <w:t xml:space="preserve">. </w:t>
      </w:r>
      <w:r w:rsidRPr="00656C18">
        <w:rPr>
          <w:rFonts w:ascii="Arial Narrow" w:hAnsi="Arial Narrow" w:cs="Arial Narrow"/>
          <w:i w:val="0"/>
          <w:iCs w:val="0"/>
          <w:sz w:val="24"/>
          <w:szCs w:val="24"/>
        </w:rPr>
        <w:t>Rozpočtovanie iných ako daňových príjmov</w:t>
      </w:r>
      <w:bookmarkEnd w:id="41"/>
      <w:r w:rsidR="009916DF">
        <w:rPr>
          <w:rFonts w:ascii="Arial Narrow" w:hAnsi="Arial Narrow" w:cs="Arial Narrow"/>
          <w:i w:val="0"/>
          <w:iCs w:val="0"/>
          <w:sz w:val="24"/>
          <w:szCs w:val="24"/>
        </w:rPr>
        <w:t xml:space="preserve"> štátneho rozpočtu</w:t>
      </w:r>
      <w:bookmarkEnd w:id="51"/>
    </w:p>
    <w:p w:rsidR="000604A9" w:rsidRPr="000604A9" w:rsidP="000604A9">
      <w:pPr>
        <w:bidi w:val="0"/>
      </w:pPr>
    </w:p>
    <w:p w:rsidR="000604A9" w:rsidP="000604A9">
      <w:pPr>
        <w:bidi w:val="0"/>
        <w:jc w:val="both"/>
        <w:rPr>
          <w:rFonts w:ascii="Arial Narrow" w:hAnsi="Arial Narrow" w:cs="Arial Narrow"/>
          <w:b/>
          <w:bCs/>
          <w:sz w:val="22"/>
          <w:szCs w:val="22"/>
        </w:rPr>
      </w:pPr>
      <w:r>
        <w:rPr>
          <w:rFonts w:ascii="Arial Narrow" w:hAnsi="Arial Narrow" w:cs="Arial Narrow"/>
          <w:b/>
          <w:bCs/>
          <w:sz w:val="22"/>
          <w:szCs w:val="22"/>
        </w:rPr>
        <w:t>3.</w:t>
      </w:r>
      <w:r w:rsidR="00C94A21">
        <w:rPr>
          <w:rFonts w:ascii="Arial Narrow" w:hAnsi="Arial Narrow" w:cs="Arial Narrow"/>
          <w:b/>
          <w:bCs/>
          <w:sz w:val="22"/>
          <w:szCs w:val="22"/>
        </w:rPr>
        <w:t>5</w:t>
      </w:r>
      <w:r>
        <w:rPr>
          <w:rFonts w:ascii="Arial Narrow" w:hAnsi="Arial Narrow" w:cs="Arial Narrow"/>
          <w:b/>
          <w:bCs/>
          <w:sz w:val="22"/>
          <w:szCs w:val="22"/>
        </w:rPr>
        <w:t>.1.   Zahraničné transfery</w:t>
      </w:r>
    </w:p>
    <w:p w:rsidR="000604A9" w:rsidP="000604A9">
      <w:pPr>
        <w:bidi w:val="0"/>
        <w:ind w:firstLine="708"/>
        <w:jc w:val="both"/>
        <w:rPr>
          <w:rFonts w:ascii="Arial Narrow" w:hAnsi="Arial Narrow" w:cs="Arial Narrow"/>
          <w:sz w:val="22"/>
          <w:szCs w:val="22"/>
        </w:rPr>
      </w:pPr>
    </w:p>
    <w:p w:rsidR="007B619C" w:rsidRPr="00E75DC2" w:rsidP="007B619C">
      <w:pPr>
        <w:bidi w:val="0"/>
        <w:ind w:firstLine="708"/>
        <w:jc w:val="both"/>
        <w:rPr>
          <w:rFonts w:ascii="Arial Narrow" w:hAnsi="Arial Narrow" w:cs="Arial Narrow"/>
          <w:sz w:val="22"/>
          <w:szCs w:val="22"/>
        </w:rPr>
      </w:pPr>
      <w:r w:rsidRPr="00E75DC2">
        <w:rPr>
          <w:rFonts w:ascii="Arial Narrow" w:hAnsi="Arial Narrow" w:cs="Arial Narrow"/>
          <w:sz w:val="22"/>
          <w:szCs w:val="22"/>
        </w:rPr>
        <w:t>Ide o prostriedky</w:t>
      </w:r>
      <w:r w:rsidRPr="00E75DC2">
        <w:rPr>
          <w:rFonts w:ascii="Arial Narrow" w:hAnsi="Arial Narrow" w:cs="Arial Narrow"/>
          <w:b/>
          <w:bCs/>
          <w:sz w:val="22"/>
          <w:szCs w:val="22"/>
        </w:rPr>
        <w:t xml:space="preserve"> </w:t>
      </w:r>
      <w:r w:rsidRPr="00E75DC2">
        <w:rPr>
          <w:rFonts w:ascii="Arial Narrow" w:hAnsi="Arial Narrow" w:cs="Arial Narrow"/>
          <w:sz w:val="22"/>
          <w:szCs w:val="22"/>
        </w:rPr>
        <w:t> zo všeobecného rozpočtu Európskej únie v rámci  druhého programového obdobia. V rokoch 2011 až 2013 sa rozpočtujú prostriedky EÚ pre programy Národného strategického referenčného rámca a poľnohospodárske fondy na roky 2011 až 2013 na základe odhadov čerpania výdavkov v jednotlivých rokoch</w:t>
      </w:r>
      <w:r w:rsidRPr="00E75DC2">
        <w:rPr>
          <w:rFonts w:ascii="Arial Narrow" w:hAnsi="Arial Narrow" w:cs="Arial Narrow"/>
          <w:spacing w:val="-4"/>
          <w:sz w:val="22"/>
          <w:szCs w:val="22"/>
        </w:rPr>
        <w:t xml:space="preserve">, ktoré boli predložené príslušnými rezortmi, plniacimi funkcie riadiacich orgánov. Nakoľko alokácie presne zodpovedajú  sumám očakávaného čerpania v príslušných rokoch, v rozpočte sa predpokladá nulová zmena objemu prostriedkov, ktoré sa prenášajú medzi jednotlivými rokmi. Inak povedané, objem nepoužitých zdrojov (nevyčerpaných EÚ fondov a spolufinancovania), ktoré sa </w:t>
      </w:r>
      <w:r w:rsidR="006F2A18">
        <w:rPr>
          <w:rFonts w:ascii="Arial Narrow" w:hAnsi="Arial Narrow" w:cs="Arial Narrow"/>
          <w:spacing w:val="-4"/>
          <w:sz w:val="22"/>
          <w:szCs w:val="22"/>
        </w:rPr>
        <w:t>prenesú</w:t>
      </w:r>
      <w:r w:rsidRPr="00E75DC2">
        <w:rPr>
          <w:rFonts w:ascii="Arial Narrow" w:hAnsi="Arial Narrow" w:cs="Arial Narrow"/>
          <w:spacing w:val="-4"/>
          <w:sz w:val="22"/>
          <w:szCs w:val="22"/>
        </w:rPr>
        <w:t xml:space="preserve"> z roku 2010 do roku 2011 bude rovnaký, ako objem, ktorý sa prenesie z roku 2011 do roku 2012. </w:t>
      </w:r>
      <w:r w:rsidRPr="00E75DC2">
        <w:rPr>
          <w:rFonts w:ascii="Arial Narrow" w:hAnsi="Arial Narrow" w:cs="Arial Narrow"/>
          <w:sz w:val="22"/>
          <w:szCs w:val="22"/>
        </w:rPr>
        <w:t xml:space="preserve">Bližšia  špecifikácia  týchto prostriedkov  je  uvedená v prílohe č. 2 materiálu. </w:t>
      </w:r>
    </w:p>
    <w:p w:rsidR="000604A9" w:rsidP="000604A9">
      <w:pPr>
        <w:bidi w:val="0"/>
        <w:ind w:firstLine="708"/>
        <w:jc w:val="both"/>
        <w:rPr>
          <w:rFonts w:ascii="Arial Narrow" w:hAnsi="Arial Narrow" w:cs="Arial Narrow"/>
          <w:sz w:val="22"/>
          <w:szCs w:val="22"/>
        </w:rPr>
      </w:pPr>
    </w:p>
    <w:p w:rsidR="000604A9" w:rsidP="000604A9">
      <w:pPr>
        <w:bidi w:val="0"/>
        <w:ind w:firstLine="708"/>
        <w:jc w:val="both"/>
        <w:rPr>
          <w:rFonts w:ascii="Arial Narrow" w:hAnsi="Arial Narrow" w:cs="Arial Narrow"/>
          <w:sz w:val="22"/>
          <w:szCs w:val="22"/>
        </w:rPr>
      </w:pPr>
      <w:r>
        <w:rPr>
          <w:rFonts w:ascii="Arial Narrow" w:hAnsi="Arial Narrow" w:cs="Arial Narrow"/>
          <w:sz w:val="22"/>
          <w:szCs w:val="22"/>
        </w:rPr>
        <w:t>Vývoj plnenia  týchto príjmov  je nasledovný:</w:t>
      </w:r>
    </w:p>
    <w:p w:rsidR="000604A9" w:rsidP="000604A9">
      <w:pPr>
        <w:bidi w:val="0"/>
        <w:ind w:firstLine="708"/>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2137"/>
        <w:gridCol w:w="1134"/>
        <w:gridCol w:w="1134"/>
        <w:gridCol w:w="1134"/>
        <w:gridCol w:w="1275"/>
        <w:gridCol w:w="1134"/>
        <w:gridCol w:w="1134"/>
      </w:tblGrid>
      <w:tr>
        <w:tblPrEx>
          <w:tblW w:w="9082" w:type="dxa"/>
          <w:tblInd w:w="60" w:type="dxa"/>
          <w:tblCellMar>
            <w:left w:w="70" w:type="dxa"/>
            <w:right w:w="70" w:type="dxa"/>
          </w:tblCellMar>
          <w:tblLook w:val="00A0"/>
        </w:tblPrEx>
        <w:trPr>
          <w:trHeight w:val="340"/>
        </w:trPr>
        <w:tc>
          <w:tcPr>
            <w:tcW w:w="2137"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421E7F" w:rsidP="00062C83">
            <w:pPr>
              <w:bidi w:val="0"/>
              <w:rPr>
                <w:rFonts w:ascii="Arial Narrow" w:hAnsi="Arial Narrow" w:cs="Arial Narrow"/>
                <w:sz w:val="16"/>
                <w:szCs w:val="16"/>
                <w:lang w:eastAsia="sk-SK"/>
              </w:rPr>
            </w:pPr>
            <w:r w:rsidRPr="00421E7F">
              <w:rPr>
                <w:rFonts w:ascii="Arial Narrow" w:hAnsi="Arial Narrow" w:cs="Arial Narrow"/>
                <w:sz w:val="16"/>
                <w:szCs w:val="16"/>
                <w:lang w:eastAsia="sk-SK"/>
              </w:rPr>
              <w:t>(v tis. eur)</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2008 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2009 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2010 OS</w:t>
            </w:r>
          </w:p>
        </w:tc>
        <w:tc>
          <w:tcPr>
            <w:tcW w:w="1275"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2011 N</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2012 N</w:t>
            </w:r>
          </w:p>
        </w:tc>
        <w:tc>
          <w:tcPr>
            <w:tcW w:w="1134"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984D06" w:rsidP="00062C83">
            <w:pPr>
              <w:bidi w:val="0"/>
              <w:jc w:val="center"/>
              <w:rPr>
                <w:rFonts w:ascii="Arial Narrow" w:hAnsi="Arial Narrow" w:cs="Arial Narrow"/>
                <w:b/>
                <w:bCs/>
                <w:sz w:val="16"/>
                <w:szCs w:val="16"/>
                <w:lang w:eastAsia="sk-SK"/>
              </w:rPr>
            </w:pPr>
            <w:r w:rsidRPr="00984D06">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2137" w:type="dxa"/>
            <w:tcBorders>
              <w:top w:val="single" w:sz="8" w:space="0" w:color="auto"/>
              <w:left w:val="single" w:sz="8" w:space="0" w:color="auto"/>
              <w:bottom w:val="single" w:sz="8" w:space="0" w:color="auto"/>
              <w:right w:val="single" w:sz="4" w:space="0" w:color="auto"/>
            </w:tcBorders>
            <w:shd w:val="clear" w:color="auto" w:fill="BFBFBF"/>
            <w:textDirection w:val="lrTb"/>
            <w:vAlign w:val="center"/>
          </w:tcPr>
          <w:p w:rsidR="000604A9" w:rsidRPr="007B619C" w:rsidP="00062C83">
            <w:pPr>
              <w:bidi w:val="0"/>
              <w:rPr>
                <w:rFonts w:ascii="Arial Narrow" w:hAnsi="Arial Narrow" w:cs="Arial Narrow"/>
                <w:b/>
                <w:bCs/>
                <w:color w:val="000000"/>
                <w:sz w:val="16"/>
                <w:szCs w:val="16"/>
                <w:lang w:eastAsia="sk-SK"/>
              </w:rPr>
            </w:pPr>
            <w:r w:rsidRPr="007B619C">
              <w:rPr>
                <w:rFonts w:ascii="Arial Narrow" w:hAnsi="Arial Narrow" w:cs="Arial Narrow"/>
                <w:b/>
                <w:bCs/>
                <w:color w:val="000000"/>
                <w:sz w:val="16"/>
                <w:szCs w:val="16"/>
                <w:lang w:eastAsia="sk-SK"/>
              </w:rPr>
              <w:t>Zahraničné transfery</w:t>
            </w:r>
          </w:p>
        </w:tc>
        <w:tc>
          <w:tcPr>
            <w:tcW w:w="1134" w:type="dxa"/>
            <w:tcBorders>
              <w:top w:val="single" w:sz="8" w:space="0" w:color="auto"/>
              <w:left w:val="nil"/>
              <w:bottom w:val="single" w:sz="8" w:space="0" w:color="auto"/>
              <w:right w:val="single" w:sz="4" w:space="0" w:color="auto"/>
            </w:tcBorders>
            <w:shd w:val="clear" w:color="auto" w:fill="BFBFBF"/>
            <w:textDirection w:val="lrTb"/>
            <w:vAlign w:val="center"/>
          </w:tcPr>
          <w:p w:rsidR="000604A9" w:rsidRPr="007B619C" w:rsidP="00062C83">
            <w:pPr>
              <w:bidi w:val="0"/>
              <w:jc w:val="right"/>
              <w:rPr>
                <w:rFonts w:ascii="Arial Narrow" w:hAnsi="Arial Narrow" w:cs="Arial Narrow"/>
                <w:sz w:val="16"/>
                <w:szCs w:val="16"/>
                <w:lang w:eastAsia="sk-SK"/>
              </w:rPr>
            </w:pPr>
            <w:r w:rsidRPr="007B619C">
              <w:rPr>
                <w:rFonts w:ascii="Arial Narrow" w:hAnsi="Arial Narrow" w:cs="Arial Narrow"/>
                <w:sz w:val="16"/>
                <w:szCs w:val="16"/>
                <w:lang w:eastAsia="sk-SK"/>
              </w:rPr>
              <w:t xml:space="preserve">         863 317    </w:t>
            </w:r>
          </w:p>
        </w:tc>
        <w:tc>
          <w:tcPr>
            <w:tcW w:w="1134" w:type="dxa"/>
            <w:tcBorders>
              <w:top w:val="single" w:sz="8" w:space="0" w:color="auto"/>
              <w:left w:val="nil"/>
              <w:bottom w:val="single" w:sz="8" w:space="0" w:color="auto"/>
              <w:right w:val="single" w:sz="4" w:space="0" w:color="auto"/>
            </w:tcBorders>
            <w:shd w:val="clear" w:color="auto" w:fill="BFBFBF"/>
            <w:textDirection w:val="lrTb"/>
            <w:vAlign w:val="center"/>
          </w:tcPr>
          <w:p w:rsidR="000604A9" w:rsidRPr="007B619C" w:rsidP="00062C83">
            <w:pPr>
              <w:bidi w:val="0"/>
              <w:jc w:val="right"/>
              <w:rPr>
                <w:rFonts w:ascii="Arial Narrow" w:hAnsi="Arial Narrow" w:cs="Arial Narrow"/>
                <w:sz w:val="16"/>
                <w:szCs w:val="16"/>
                <w:lang w:eastAsia="sk-SK"/>
              </w:rPr>
            </w:pPr>
            <w:r w:rsidRPr="007B619C">
              <w:rPr>
                <w:rFonts w:ascii="Arial Narrow" w:hAnsi="Arial Narrow" w:cs="Arial Narrow"/>
                <w:sz w:val="16"/>
                <w:szCs w:val="16"/>
                <w:lang w:eastAsia="sk-SK"/>
              </w:rPr>
              <w:t xml:space="preserve">       1 111 480    </w:t>
            </w:r>
          </w:p>
        </w:tc>
        <w:tc>
          <w:tcPr>
            <w:tcW w:w="1134" w:type="dxa"/>
            <w:tcBorders>
              <w:top w:val="single" w:sz="8" w:space="0" w:color="auto"/>
              <w:left w:val="nil"/>
              <w:bottom w:val="single" w:sz="8" w:space="0" w:color="auto"/>
              <w:right w:val="single" w:sz="4" w:space="0" w:color="auto"/>
            </w:tcBorders>
            <w:shd w:val="clear" w:color="auto" w:fill="BFBFBF"/>
            <w:textDirection w:val="lrTb"/>
            <w:vAlign w:val="center"/>
          </w:tcPr>
          <w:p w:rsidR="000604A9" w:rsidRPr="007B619C" w:rsidP="00062C83">
            <w:pPr>
              <w:bidi w:val="0"/>
              <w:jc w:val="right"/>
              <w:rPr>
                <w:rFonts w:ascii="Arial Narrow" w:hAnsi="Arial Narrow" w:cs="Arial Narrow"/>
                <w:color w:val="000000"/>
                <w:sz w:val="16"/>
                <w:szCs w:val="16"/>
                <w:lang w:eastAsia="sk-SK"/>
              </w:rPr>
            </w:pPr>
            <w:r w:rsidRPr="007B619C">
              <w:rPr>
                <w:rFonts w:ascii="Arial Narrow" w:hAnsi="Arial Narrow" w:cs="Arial Narrow"/>
                <w:color w:val="000000"/>
                <w:sz w:val="16"/>
                <w:szCs w:val="16"/>
                <w:lang w:eastAsia="sk-SK"/>
              </w:rPr>
              <w:t>1 930 586</w:t>
            </w:r>
          </w:p>
        </w:tc>
        <w:tc>
          <w:tcPr>
            <w:tcW w:w="1275" w:type="dxa"/>
            <w:tcBorders>
              <w:top w:val="single" w:sz="8" w:space="0" w:color="auto"/>
              <w:left w:val="nil"/>
              <w:bottom w:val="single" w:sz="8" w:space="0" w:color="auto"/>
              <w:right w:val="single" w:sz="4" w:space="0" w:color="auto"/>
            </w:tcBorders>
            <w:shd w:val="clear" w:color="auto" w:fill="BFBFBF"/>
            <w:textDirection w:val="lrTb"/>
            <w:vAlign w:val="center"/>
          </w:tcPr>
          <w:p w:rsidR="000604A9" w:rsidRPr="007B619C" w:rsidP="00062C83">
            <w:pPr>
              <w:bidi w:val="0"/>
              <w:jc w:val="right"/>
              <w:rPr>
                <w:rFonts w:ascii="Arial Narrow" w:hAnsi="Arial Narrow" w:cs="Arial Narrow"/>
                <w:color w:val="000000"/>
                <w:sz w:val="16"/>
                <w:szCs w:val="16"/>
                <w:lang w:eastAsia="sk-SK"/>
              </w:rPr>
            </w:pPr>
            <w:r w:rsidRPr="007B619C">
              <w:rPr>
                <w:rFonts w:ascii="Arial Narrow" w:hAnsi="Arial Narrow" w:cs="Arial Narrow"/>
                <w:color w:val="000000"/>
                <w:sz w:val="16"/>
                <w:szCs w:val="16"/>
                <w:lang w:eastAsia="sk-SK"/>
              </w:rPr>
              <w:t>3 343 890</w:t>
            </w:r>
          </w:p>
        </w:tc>
        <w:tc>
          <w:tcPr>
            <w:tcW w:w="1134" w:type="dxa"/>
            <w:tcBorders>
              <w:top w:val="single" w:sz="8" w:space="0" w:color="auto"/>
              <w:left w:val="nil"/>
              <w:bottom w:val="single" w:sz="8" w:space="0" w:color="auto"/>
              <w:right w:val="single" w:sz="4" w:space="0" w:color="auto"/>
            </w:tcBorders>
            <w:shd w:val="clear" w:color="auto" w:fill="BFBFBF"/>
            <w:textDirection w:val="lrTb"/>
            <w:vAlign w:val="center"/>
          </w:tcPr>
          <w:p w:rsidR="000604A9" w:rsidRPr="007B619C" w:rsidP="00062C83">
            <w:pPr>
              <w:bidi w:val="0"/>
              <w:jc w:val="right"/>
              <w:rPr>
                <w:rFonts w:ascii="Arial Narrow" w:hAnsi="Arial Narrow" w:cs="Arial Narrow"/>
                <w:color w:val="000000"/>
                <w:sz w:val="16"/>
                <w:szCs w:val="16"/>
                <w:lang w:eastAsia="sk-SK"/>
              </w:rPr>
            </w:pPr>
            <w:r w:rsidRPr="007B619C">
              <w:rPr>
                <w:rFonts w:ascii="Arial Narrow" w:hAnsi="Arial Narrow" w:cs="Arial Narrow"/>
                <w:color w:val="000000"/>
                <w:sz w:val="16"/>
                <w:szCs w:val="16"/>
                <w:lang w:eastAsia="sk-SK"/>
              </w:rPr>
              <w:t>3 044 671</w:t>
            </w:r>
          </w:p>
        </w:tc>
        <w:tc>
          <w:tcPr>
            <w:tcW w:w="1134" w:type="dxa"/>
            <w:tcBorders>
              <w:top w:val="single" w:sz="8" w:space="0" w:color="auto"/>
              <w:left w:val="nil"/>
              <w:bottom w:val="single" w:sz="8" w:space="0" w:color="auto"/>
              <w:right w:val="single" w:sz="8" w:space="0" w:color="auto"/>
            </w:tcBorders>
            <w:shd w:val="clear" w:color="auto" w:fill="BFBFBF"/>
            <w:textDirection w:val="lrTb"/>
            <w:vAlign w:val="center"/>
          </w:tcPr>
          <w:p w:rsidR="000604A9" w:rsidRPr="00984D06" w:rsidP="00062C83">
            <w:pPr>
              <w:bidi w:val="0"/>
              <w:jc w:val="right"/>
              <w:rPr>
                <w:rFonts w:ascii="Arial Narrow" w:hAnsi="Arial Narrow" w:cs="Arial Narrow"/>
                <w:color w:val="000000"/>
                <w:sz w:val="16"/>
                <w:szCs w:val="16"/>
                <w:lang w:eastAsia="sk-SK"/>
              </w:rPr>
            </w:pPr>
            <w:r w:rsidRPr="007B619C">
              <w:rPr>
                <w:rFonts w:ascii="Arial Narrow" w:hAnsi="Arial Narrow" w:cs="Arial Narrow"/>
                <w:color w:val="000000"/>
                <w:sz w:val="16"/>
                <w:szCs w:val="16"/>
                <w:lang w:eastAsia="sk-SK"/>
              </w:rPr>
              <w:t>2 661 534</w:t>
            </w:r>
          </w:p>
        </w:tc>
      </w:tr>
    </w:tbl>
    <w:p w:rsidR="000604A9" w:rsidP="000604A9">
      <w:pPr>
        <w:bidi w:val="0"/>
        <w:ind w:firstLine="708"/>
        <w:jc w:val="both"/>
        <w:rPr>
          <w:rFonts w:ascii="Arial Narrow" w:hAnsi="Arial Narrow" w:cs="Arial Narrow"/>
          <w:sz w:val="22"/>
          <w:szCs w:val="22"/>
        </w:rPr>
      </w:pPr>
    </w:p>
    <w:p w:rsidR="000604A9" w:rsidP="000604A9">
      <w:pPr>
        <w:bidi w:val="0"/>
        <w:jc w:val="both"/>
        <w:rPr>
          <w:rFonts w:ascii="Arial Narrow" w:hAnsi="Arial Narrow" w:cs="Arial Narrow"/>
          <w:b/>
          <w:bCs/>
          <w:sz w:val="22"/>
          <w:szCs w:val="22"/>
        </w:rPr>
      </w:pPr>
    </w:p>
    <w:p w:rsidR="000604A9" w:rsidP="000604A9">
      <w:pPr>
        <w:bidi w:val="0"/>
        <w:jc w:val="both"/>
        <w:rPr>
          <w:rFonts w:ascii="Arial Narrow" w:hAnsi="Arial Narrow" w:cs="Arial Narrow"/>
          <w:b/>
          <w:bCs/>
          <w:sz w:val="22"/>
          <w:szCs w:val="22"/>
        </w:rPr>
      </w:pPr>
      <w:r>
        <w:rPr>
          <w:rFonts w:ascii="Arial Narrow" w:hAnsi="Arial Narrow" w:cs="Arial Narrow"/>
          <w:b/>
          <w:bCs/>
          <w:sz w:val="22"/>
          <w:szCs w:val="22"/>
        </w:rPr>
        <w:t>3.</w:t>
      </w:r>
      <w:r w:rsidR="00C94A21">
        <w:rPr>
          <w:rFonts w:ascii="Arial Narrow" w:hAnsi="Arial Narrow" w:cs="Arial Narrow"/>
          <w:b/>
          <w:bCs/>
          <w:sz w:val="22"/>
          <w:szCs w:val="22"/>
        </w:rPr>
        <w:t>5</w:t>
      </w:r>
      <w:r>
        <w:rPr>
          <w:rFonts w:ascii="Arial Narrow" w:hAnsi="Arial Narrow" w:cs="Arial Narrow"/>
          <w:b/>
          <w:bCs/>
          <w:sz w:val="22"/>
          <w:szCs w:val="22"/>
        </w:rPr>
        <w:t>.2.    Nedaňové príjmy  a tuzemské transfery</w:t>
      </w:r>
    </w:p>
    <w:p w:rsidR="000604A9" w:rsidP="000604A9">
      <w:pPr>
        <w:autoSpaceDE w:val="0"/>
        <w:autoSpaceDN w:val="0"/>
        <w:bidi w:val="0"/>
        <w:adjustRightInd w:val="0"/>
        <w:spacing w:line="240" w:lineRule="atLeast"/>
        <w:jc w:val="both"/>
        <w:rPr>
          <w:rFonts w:ascii="Arial Narrow" w:hAnsi="Arial Narrow" w:cs="Arial Narrow"/>
          <w:color w:val="000000"/>
          <w:sz w:val="22"/>
          <w:szCs w:val="22"/>
        </w:rPr>
      </w:pPr>
    </w:p>
    <w:p w:rsidR="000604A9" w:rsidRPr="00BC499A" w:rsidP="000604A9">
      <w:pPr>
        <w:bidi w:val="0"/>
        <w:rPr>
          <w:rFonts w:ascii="Arial Narrow" w:hAnsi="Arial Narrow" w:cs="Arial Narrow"/>
          <w:sz w:val="22"/>
          <w:szCs w:val="22"/>
        </w:rPr>
      </w:pPr>
      <w:r w:rsidRPr="00BC499A">
        <w:rPr>
          <w:rFonts w:ascii="Arial Narrow" w:hAnsi="Arial Narrow" w:cs="Arial Narrow"/>
          <w:sz w:val="22"/>
          <w:szCs w:val="22"/>
        </w:rPr>
        <w:tab/>
      </w:r>
      <w:r w:rsidRPr="00BC499A">
        <w:rPr>
          <w:rFonts w:ascii="Arial Narrow" w:hAnsi="Arial Narrow" w:cs="Arial Narrow"/>
          <w:b/>
          <w:bCs/>
          <w:sz w:val="22"/>
          <w:szCs w:val="22"/>
        </w:rPr>
        <w:t>Nedaňové príjmy</w:t>
      </w:r>
      <w:r w:rsidRPr="00BC499A">
        <w:rPr>
          <w:rFonts w:ascii="Arial Narrow" w:hAnsi="Arial Narrow" w:cs="Arial Narrow"/>
          <w:sz w:val="22"/>
          <w:szCs w:val="22"/>
        </w:rPr>
        <w:t xml:space="preserve"> súvisia s činnosťou jednotlivých kapitol štátneho rozpočtu a  tvoria ich</w:t>
      </w:r>
    </w:p>
    <w:p w:rsidR="000604A9" w:rsidRPr="00BC499A" w:rsidP="00BE7180">
      <w:pPr>
        <w:numPr>
          <w:numId w:val="5"/>
        </w:numPr>
        <w:bidi w:val="0"/>
        <w:jc w:val="both"/>
        <w:rPr>
          <w:rFonts w:ascii="Arial Narrow" w:hAnsi="Arial Narrow" w:cs="Arial Narrow"/>
          <w:sz w:val="22"/>
          <w:szCs w:val="22"/>
        </w:rPr>
      </w:pPr>
      <w:r w:rsidRPr="00BC499A">
        <w:rPr>
          <w:rFonts w:ascii="Arial Narrow" w:hAnsi="Arial Narrow" w:cs="Arial Narrow"/>
          <w:sz w:val="22"/>
          <w:szCs w:val="22"/>
        </w:rPr>
        <w:t>príjmy z podnikania a z vlastníctva majetku,</w:t>
      </w:r>
    </w:p>
    <w:p w:rsidR="000604A9" w:rsidRPr="00BC499A" w:rsidP="00BE7180">
      <w:pPr>
        <w:numPr>
          <w:numId w:val="5"/>
        </w:numPr>
        <w:bidi w:val="0"/>
        <w:jc w:val="both"/>
        <w:rPr>
          <w:rFonts w:ascii="Arial Narrow" w:hAnsi="Arial Narrow" w:cs="Arial Narrow"/>
          <w:sz w:val="22"/>
          <w:szCs w:val="22"/>
        </w:rPr>
      </w:pPr>
      <w:r w:rsidRPr="00BC499A">
        <w:rPr>
          <w:rFonts w:ascii="Arial Narrow" w:hAnsi="Arial Narrow" w:cs="Arial Narrow"/>
          <w:sz w:val="22"/>
          <w:szCs w:val="22"/>
        </w:rPr>
        <w:t>administratívne a iné poplatky a platby,</w:t>
      </w:r>
    </w:p>
    <w:p w:rsidR="000604A9" w:rsidRPr="00BC499A" w:rsidP="00BE7180">
      <w:pPr>
        <w:numPr>
          <w:numId w:val="5"/>
        </w:numPr>
        <w:bidi w:val="0"/>
        <w:jc w:val="both"/>
        <w:rPr>
          <w:rFonts w:ascii="Arial Narrow" w:hAnsi="Arial Narrow" w:cs="Arial Narrow"/>
          <w:sz w:val="22"/>
          <w:szCs w:val="22"/>
        </w:rPr>
      </w:pPr>
      <w:r w:rsidRPr="00BC499A">
        <w:rPr>
          <w:rFonts w:ascii="Arial Narrow" w:hAnsi="Arial Narrow" w:cs="Arial Narrow"/>
          <w:sz w:val="22"/>
          <w:szCs w:val="22"/>
        </w:rPr>
        <w:t xml:space="preserve">kapitálové príjmy, </w:t>
      </w:r>
    </w:p>
    <w:p w:rsidR="000604A9" w:rsidRPr="00BC499A" w:rsidP="00BE7180">
      <w:pPr>
        <w:numPr>
          <w:numId w:val="5"/>
        </w:numPr>
        <w:bidi w:val="0"/>
        <w:jc w:val="both"/>
        <w:rPr>
          <w:rFonts w:ascii="Arial Narrow" w:hAnsi="Arial Narrow" w:cs="Arial Narrow"/>
          <w:sz w:val="22"/>
          <w:szCs w:val="22"/>
        </w:rPr>
      </w:pPr>
      <w:r w:rsidRPr="00BC499A">
        <w:rPr>
          <w:rFonts w:ascii="Arial Narrow" w:hAnsi="Arial Narrow" w:cs="Arial Narrow"/>
          <w:sz w:val="22"/>
          <w:szCs w:val="22"/>
        </w:rPr>
        <w:t>úroky z</w:t>
      </w:r>
      <w:r>
        <w:rPr>
          <w:rFonts w:ascii="Arial Narrow" w:hAnsi="Arial Narrow" w:cs="Arial Narrow"/>
          <w:sz w:val="22"/>
          <w:szCs w:val="22"/>
        </w:rPr>
        <w:t> </w:t>
      </w:r>
      <w:r w:rsidRPr="00BC499A">
        <w:rPr>
          <w:rFonts w:ascii="Arial Narrow" w:hAnsi="Arial Narrow" w:cs="Arial Narrow"/>
          <w:sz w:val="22"/>
          <w:szCs w:val="22"/>
        </w:rPr>
        <w:t>tuzemských</w:t>
      </w:r>
      <w:r>
        <w:rPr>
          <w:rFonts w:ascii="Arial Narrow" w:hAnsi="Arial Narrow" w:cs="Arial Narrow"/>
          <w:sz w:val="22"/>
          <w:szCs w:val="22"/>
        </w:rPr>
        <w:t xml:space="preserve"> a zahraničných úverov</w:t>
      </w:r>
      <w:r w:rsidRPr="00BC499A">
        <w:rPr>
          <w:rFonts w:ascii="Arial Narrow" w:hAnsi="Arial Narrow" w:cs="Arial Narrow"/>
          <w:sz w:val="22"/>
          <w:szCs w:val="22"/>
        </w:rPr>
        <w:t>, pôžičiek, návratných finančných výpomocí, vkladov</w:t>
      </w:r>
      <w:r>
        <w:rPr>
          <w:rFonts w:ascii="Arial Narrow" w:hAnsi="Arial Narrow" w:cs="Arial Narrow"/>
          <w:sz w:val="22"/>
          <w:szCs w:val="22"/>
        </w:rPr>
        <w:t>,</w:t>
      </w:r>
      <w:r w:rsidRPr="00BC499A">
        <w:rPr>
          <w:rFonts w:ascii="Arial Narrow" w:hAnsi="Arial Narrow" w:cs="Arial Narrow"/>
          <w:sz w:val="22"/>
          <w:szCs w:val="22"/>
        </w:rPr>
        <w:t xml:space="preserve">        </w:t>
      </w:r>
    </w:p>
    <w:p w:rsidR="000604A9" w:rsidRPr="00BC499A" w:rsidP="00BE7180">
      <w:pPr>
        <w:numPr>
          <w:numId w:val="5"/>
        </w:numPr>
        <w:bidi w:val="0"/>
        <w:jc w:val="both"/>
        <w:rPr>
          <w:rFonts w:ascii="Arial Narrow" w:hAnsi="Arial Narrow" w:cs="Arial Narrow"/>
          <w:sz w:val="22"/>
          <w:szCs w:val="22"/>
        </w:rPr>
      </w:pPr>
      <w:r w:rsidRPr="00BC499A">
        <w:rPr>
          <w:rFonts w:ascii="Arial Narrow" w:hAnsi="Arial Narrow" w:cs="Arial Narrow"/>
          <w:sz w:val="22"/>
          <w:szCs w:val="22"/>
        </w:rPr>
        <w:t>iné nedaňové príjmy.</w:t>
      </w:r>
      <w:r>
        <w:rPr>
          <w:rFonts w:ascii="Arial Narrow" w:hAnsi="Arial Narrow" w:cs="Arial Narrow"/>
          <w:sz w:val="22"/>
          <w:szCs w:val="22"/>
        </w:rPr>
        <w:t xml:space="preserve"> </w:t>
      </w:r>
    </w:p>
    <w:p w:rsidR="000604A9" w:rsidP="000604A9">
      <w:pPr>
        <w:bidi w:val="0"/>
        <w:jc w:val="both"/>
        <w:rPr>
          <w:rFonts w:ascii="Arial Narrow" w:hAnsi="Arial Narrow" w:cs="Arial Narrow"/>
          <w:sz w:val="22"/>
          <w:szCs w:val="22"/>
        </w:rPr>
      </w:pPr>
      <w:r w:rsidRPr="00BC499A">
        <w:rPr>
          <w:rFonts w:ascii="Arial Narrow" w:hAnsi="Arial Narrow" w:cs="Arial Narrow"/>
          <w:sz w:val="22"/>
          <w:szCs w:val="22"/>
        </w:rPr>
        <w:tab/>
      </w:r>
    </w:p>
    <w:p w:rsidR="000604A9" w:rsidRPr="00BC499A" w:rsidP="000604A9">
      <w:pPr>
        <w:bidi w:val="0"/>
        <w:ind w:firstLine="708"/>
        <w:jc w:val="both"/>
        <w:rPr>
          <w:rFonts w:ascii="Arial Narrow" w:hAnsi="Arial Narrow" w:cs="Arial Narrow"/>
          <w:sz w:val="22"/>
          <w:szCs w:val="22"/>
        </w:rPr>
      </w:pPr>
      <w:r>
        <w:rPr>
          <w:rFonts w:ascii="Arial Narrow" w:hAnsi="Arial Narrow" w:cs="Arial Narrow"/>
          <w:b/>
          <w:bCs/>
          <w:sz w:val="22"/>
          <w:szCs w:val="22"/>
        </w:rPr>
        <w:t xml:space="preserve">Tuzemské  </w:t>
      </w:r>
      <w:r w:rsidRPr="00BC499A">
        <w:rPr>
          <w:rFonts w:ascii="Arial Narrow" w:hAnsi="Arial Narrow" w:cs="Arial Narrow"/>
          <w:b/>
          <w:bCs/>
          <w:sz w:val="22"/>
          <w:szCs w:val="22"/>
        </w:rPr>
        <w:t>transfery</w:t>
      </w:r>
      <w:r w:rsidRPr="00BC499A">
        <w:rPr>
          <w:rFonts w:ascii="Arial Narrow" w:hAnsi="Arial Narrow" w:cs="Arial Narrow"/>
          <w:sz w:val="22"/>
          <w:szCs w:val="22"/>
        </w:rPr>
        <w:t xml:space="preserve"> tvoria </w:t>
      </w:r>
      <w:r>
        <w:rPr>
          <w:rFonts w:ascii="Arial Narrow" w:hAnsi="Arial Narrow" w:cs="Arial Narrow"/>
          <w:sz w:val="22"/>
          <w:szCs w:val="22"/>
        </w:rPr>
        <w:t xml:space="preserve"> transfery v rámci sektora verejnej správy.</w:t>
      </w:r>
      <w:r w:rsidRPr="00BC499A">
        <w:rPr>
          <w:rFonts w:ascii="Arial Narrow" w:hAnsi="Arial Narrow" w:cs="Arial Narrow"/>
          <w:sz w:val="22"/>
          <w:szCs w:val="22"/>
        </w:rPr>
        <w:t xml:space="preserve"> </w:t>
      </w:r>
    </w:p>
    <w:p w:rsidR="000604A9" w:rsidP="000604A9">
      <w:pPr>
        <w:bidi w:val="0"/>
        <w:jc w:val="both"/>
        <w:rPr>
          <w:rFonts w:ascii="Arial Narrow" w:hAnsi="Arial Narrow" w:cs="Arial Narrow"/>
          <w:sz w:val="22"/>
          <w:szCs w:val="22"/>
        </w:rPr>
      </w:pPr>
    </w:p>
    <w:p w:rsidR="000604A9" w:rsidP="000604A9">
      <w:pPr>
        <w:bidi w:val="0"/>
        <w:ind w:firstLine="708"/>
        <w:jc w:val="both"/>
        <w:rPr>
          <w:rFonts w:ascii="Arial Narrow" w:hAnsi="Arial Narrow" w:cs="Arial Narrow"/>
          <w:sz w:val="22"/>
          <w:szCs w:val="22"/>
        </w:rPr>
      </w:pPr>
      <w:r w:rsidRPr="00BC499A">
        <w:rPr>
          <w:rFonts w:ascii="Arial Narrow" w:hAnsi="Arial Narrow" w:cs="Arial Narrow"/>
          <w:sz w:val="22"/>
          <w:szCs w:val="22"/>
        </w:rPr>
        <w:t xml:space="preserve">Vývoj </w:t>
      </w:r>
      <w:r>
        <w:rPr>
          <w:rFonts w:ascii="Arial Narrow" w:hAnsi="Arial Narrow" w:cs="Arial Narrow"/>
          <w:sz w:val="22"/>
          <w:szCs w:val="22"/>
        </w:rPr>
        <w:t>nedaňových príjmov a tuzemských transferov na roky 2011 až 2013</w:t>
      </w:r>
      <w:r w:rsidRPr="00BC499A">
        <w:rPr>
          <w:rFonts w:ascii="Arial Narrow" w:hAnsi="Arial Narrow" w:cs="Arial Narrow"/>
          <w:sz w:val="22"/>
          <w:szCs w:val="22"/>
        </w:rPr>
        <w:t xml:space="preserve"> zobrazuje nasledovná tabuľka: </w:t>
      </w:r>
    </w:p>
    <w:p w:rsidR="000604A9" w:rsidP="000604A9">
      <w:pPr>
        <w:bidi w:val="0"/>
        <w:ind w:firstLine="708"/>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1995"/>
        <w:gridCol w:w="1134"/>
        <w:gridCol w:w="1134"/>
        <w:gridCol w:w="1276"/>
        <w:gridCol w:w="1134"/>
        <w:gridCol w:w="1134"/>
        <w:gridCol w:w="1275"/>
      </w:tblGrid>
      <w:tr>
        <w:tblPrEx>
          <w:tblW w:w="9082" w:type="dxa"/>
          <w:tblInd w:w="60" w:type="dxa"/>
          <w:tblCellMar>
            <w:left w:w="70" w:type="dxa"/>
            <w:right w:w="70" w:type="dxa"/>
          </w:tblCellMar>
          <w:tblLook w:val="00A0"/>
        </w:tblPrEx>
        <w:trPr>
          <w:trHeight w:val="340"/>
        </w:trPr>
        <w:tc>
          <w:tcPr>
            <w:tcW w:w="1995"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21292A" w:rsidP="00062C83">
            <w:pPr>
              <w:bidi w:val="0"/>
              <w:rPr>
                <w:rFonts w:ascii="Arial Narrow" w:hAnsi="Arial Narrow" w:cs="Arial Narrow"/>
                <w:sz w:val="16"/>
                <w:szCs w:val="16"/>
                <w:lang w:eastAsia="sk-SK"/>
              </w:rPr>
            </w:pPr>
            <w:r w:rsidRPr="0021292A">
              <w:rPr>
                <w:rFonts w:ascii="Arial Narrow" w:hAnsi="Arial Narrow" w:cs="Arial Narrow"/>
                <w:sz w:val="16"/>
                <w:szCs w:val="16"/>
                <w:lang w:eastAsia="sk-SK"/>
              </w:rPr>
              <w:t>(v tis. eur)</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2008 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2009 S</w:t>
            </w:r>
          </w:p>
        </w:tc>
        <w:tc>
          <w:tcPr>
            <w:tcW w:w="1276"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2010 OS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2011 N</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2012 N</w:t>
            </w:r>
          </w:p>
        </w:tc>
        <w:tc>
          <w:tcPr>
            <w:tcW w:w="1275"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21292A" w:rsidP="00062C83">
            <w:pPr>
              <w:bidi w:val="0"/>
              <w:jc w:val="center"/>
              <w:rPr>
                <w:rFonts w:ascii="Arial Narrow" w:hAnsi="Arial Narrow" w:cs="Arial Narrow"/>
                <w:b/>
                <w:bCs/>
                <w:sz w:val="16"/>
                <w:szCs w:val="16"/>
                <w:lang w:eastAsia="sk-SK"/>
              </w:rPr>
            </w:pPr>
            <w:r w:rsidRPr="0021292A">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1995" w:type="dxa"/>
            <w:tcBorders>
              <w:top w:val="nil"/>
              <w:left w:val="single" w:sz="8" w:space="0" w:color="auto"/>
              <w:bottom w:val="single" w:sz="4"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Nedaňové príjmy</w:t>
            </w:r>
          </w:p>
        </w:tc>
        <w:tc>
          <w:tcPr>
            <w:tcW w:w="1134"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880 545    </w:t>
            </w:r>
          </w:p>
        </w:tc>
        <w:tc>
          <w:tcPr>
            <w:tcW w:w="1134"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838 463    </w:t>
            </w:r>
          </w:p>
        </w:tc>
        <w:tc>
          <w:tcPr>
            <w:tcW w:w="1276"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658 801</w:t>
            </w:r>
          </w:p>
        </w:tc>
        <w:tc>
          <w:tcPr>
            <w:tcW w:w="1134"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sidR="00EF2004">
              <w:rPr>
                <w:rFonts w:ascii="Arial Narrow" w:hAnsi="Arial Narrow" w:cs="Arial Narrow"/>
                <w:color w:val="000000"/>
                <w:sz w:val="16"/>
                <w:szCs w:val="16"/>
                <w:lang w:eastAsia="sk-SK"/>
              </w:rPr>
              <w:t>703 083</w:t>
            </w:r>
          </w:p>
        </w:tc>
        <w:tc>
          <w:tcPr>
            <w:tcW w:w="1134"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sidR="00EF2004">
              <w:rPr>
                <w:rFonts w:ascii="Arial Narrow" w:hAnsi="Arial Narrow" w:cs="Arial Narrow"/>
                <w:color w:val="000000"/>
                <w:sz w:val="16"/>
                <w:szCs w:val="16"/>
                <w:lang w:eastAsia="sk-SK"/>
              </w:rPr>
              <w:t>693 049</w:t>
            </w:r>
          </w:p>
        </w:tc>
        <w:tc>
          <w:tcPr>
            <w:tcW w:w="1275" w:type="dxa"/>
            <w:tcBorders>
              <w:top w:val="nil"/>
              <w:left w:val="nil"/>
              <w:bottom w:val="single" w:sz="4" w:space="0" w:color="auto"/>
              <w:right w:val="single" w:sz="8" w:space="0" w:color="auto"/>
            </w:tcBorders>
            <w:textDirection w:val="lrTb"/>
            <w:vAlign w:val="center"/>
          </w:tcPr>
          <w:p w:rsidR="000604A9" w:rsidRPr="0021292A" w:rsidP="00062C83">
            <w:pPr>
              <w:bidi w:val="0"/>
              <w:jc w:val="right"/>
              <w:rPr>
                <w:rFonts w:ascii="Arial Narrow" w:hAnsi="Arial Narrow" w:cs="Arial Narrow"/>
                <w:color w:val="000000"/>
                <w:sz w:val="16"/>
                <w:szCs w:val="16"/>
                <w:lang w:eastAsia="sk-SK"/>
              </w:rPr>
            </w:pPr>
            <w:r w:rsidRPr="00B56FCF" w:rsidR="00EF2004">
              <w:rPr>
                <w:rFonts w:ascii="Arial Narrow" w:hAnsi="Arial Narrow" w:cs="Arial Narrow"/>
                <w:color w:val="000000"/>
                <w:sz w:val="16"/>
                <w:szCs w:val="16"/>
                <w:lang w:eastAsia="sk-SK"/>
              </w:rPr>
              <w:t>716 201</w:t>
            </w:r>
          </w:p>
        </w:tc>
      </w:tr>
      <w:tr>
        <w:tblPrEx>
          <w:tblW w:w="9082" w:type="dxa"/>
          <w:tblInd w:w="60" w:type="dxa"/>
          <w:tblCellMar>
            <w:left w:w="70" w:type="dxa"/>
            <w:right w:w="70" w:type="dxa"/>
          </w:tblCellMar>
          <w:tblLook w:val="00A0"/>
        </w:tblPrEx>
        <w:trPr>
          <w:trHeight w:val="340"/>
        </w:trPr>
        <w:tc>
          <w:tcPr>
            <w:tcW w:w="1995" w:type="dxa"/>
            <w:tcBorders>
              <w:top w:val="nil"/>
              <w:left w:val="single" w:sz="8" w:space="0" w:color="auto"/>
              <w:bottom w:val="single" w:sz="8" w:space="0" w:color="auto"/>
              <w:right w:val="single" w:sz="4" w:space="0" w:color="auto"/>
            </w:tcBorders>
            <w:textDirection w:val="lrTb"/>
            <w:vAlign w:val="center"/>
          </w:tcPr>
          <w:p w:rsidR="000604A9" w:rsidRPr="003F66E8" w:rsidP="00062C83">
            <w:pPr>
              <w:bidi w:val="0"/>
              <w:rPr>
                <w:rFonts w:ascii="Arial Narrow" w:hAnsi="Arial Narrow" w:cs="Arial Narrow"/>
                <w:color w:val="000000"/>
                <w:sz w:val="16"/>
                <w:szCs w:val="16"/>
                <w:lang w:eastAsia="sk-SK"/>
              </w:rPr>
            </w:pPr>
            <w:r w:rsidRPr="003F66E8">
              <w:rPr>
                <w:rFonts w:ascii="Arial Narrow" w:hAnsi="Arial Narrow" w:cs="Arial Narrow"/>
                <w:color w:val="000000"/>
                <w:sz w:val="16"/>
                <w:szCs w:val="16"/>
                <w:lang w:eastAsia="sk-SK"/>
              </w:rPr>
              <w:t>Tuzemské transfery</w:t>
            </w:r>
          </w:p>
        </w:tc>
        <w:tc>
          <w:tcPr>
            <w:tcW w:w="1134" w:type="dxa"/>
            <w:tcBorders>
              <w:top w:val="nil"/>
              <w:left w:val="nil"/>
              <w:bottom w:val="single" w:sz="8" w:space="0" w:color="auto"/>
              <w:right w:val="single" w:sz="4" w:space="0" w:color="auto"/>
            </w:tcBorders>
            <w:textDirection w:val="lrTb"/>
            <w:vAlign w:val="center"/>
          </w:tcPr>
          <w:p w:rsidR="000604A9" w:rsidRPr="0021292A" w:rsidP="00062C83">
            <w:pPr>
              <w:bidi w:val="0"/>
              <w:jc w:val="right"/>
              <w:rPr>
                <w:rFonts w:ascii="Arial Narrow" w:hAnsi="Arial Narrow" w:cs="Arial Narrow"/>
                <w:sz w:val="16"/>
                <w:szCs w:val="16"/>
                <w:lang w:eastAsia="sk-SK"/>
              </w:rPr>
            </w:pPr>
            <w:r w:rsidRPr="0021292A">
              <w:rPr>
                <w:rFonts w:ascii="Arial Narrow" w:hAnsi="Arial Narrow" w:cs="Arial Narrow"/>
                <w:sz w:val="16"/>
                <w:szCs w:val="16"/>
                <w:lang w:eastAsia="sk-SK"/>
              </w:rPr>
              <w:t xml:space="preserve">         584 784    </w:t>
            </w:r>
          </w:p>
        </w:tc>
        <w:tc>
          <w:tcPr>
            <w:tcW w:w="1134" w:type="dxa"/>
            <w:tcBorders>
              <w:top w:val="nil"/>
              <w:left w:val="nil"/>
              <w:bottom w:val="single" w:sz="8" w:space="0" w:color="auto"/>
              <w:right w:val="single" w:sz="4" w:space="0" w:color="auto"/>
            </w:tcBorders>
            <w:textDirection w:val="lrTb"/>
            <w:vAlign w:val="center"/>
          </w:tcPr>
          <w:p w:rsidR="000604A9" w:rsidRPr="0021292A" w:rsidP="00062C83">
            <w:pPr>
              <w:bidi w:val="0"/>
              <w:jc w:val="right"/>
              <w:rPr>
                <w:rFonts w:ascii="Arial Narrow" w:hAnsi="Arial Narrow" w:cs="Arial Narrow"/>
                <w:sz w:val="16"/>
                <w:szCs w:val="16"/>
                <w:lang w:eastAsia="sk-SK"/>
              </w:rPr>
            </w:pPr>
            <w:r w:rsidRPr="0021292A">
              <w:rPr>
                <w:rFonts w:ascii="Arial Narrow" w:hAnsi="Arial Narrow" w:cs="Arial Narrow"/>
                <w:sz w:val="16"/>
                <w:szCs w:val="16"/>
                <w:lang w:eastAsia="sk-SK"/>
              </w:rPr>
              <w:t xml:space="preserve">         566 551    </w:t>
            </w:r>
          </w:p>
        </w:tc>
        <w:tc>
          <w:tcPr>
            <w:tcW w:w="1276" w:type="dxa"/>
            <w:tcBorders>
              <w:top w:val="nil"/>
              <w:left w:val="nil"/>
              <w:bottom w:val="single" w:sz="8" w:space="0" w:color="auto"/>
              <w:right w:val="single" w:sz="4" w:space="0" w:color="auto"/>
            </w:tcBorders>
            <w:textDirection w:val="lrTb"/>
            <w:vAlign w:val="center"/>
          </w:tcPr>
          <w:p w:rsidR="000604A9" w:rsidRPr="0021292A" w:rsidP="00062C83">
            <w:pPr>
              <w:bidi w:val="0"/>
              <w:jc w:val="right"/>
              <w:rPr>
                <w:rFonts w:ascii="Arial Narrow" w:hAnsi="Arial Narrow" w:cs="Arial Narrow"/>
                <w:color w:val="000000"/>
                <w:sz w:val="16"/>
                <w:szCs w:val="16"/>
                <w:lang w:eastAsia="sk-SK"/>
              </w:rPr>
            </w:pPr>
            <w:r w:rsidRPr="0021292A">
              <w:rPr>
                <w:rFonts w:ascii="Arial Narrow" w:hAnsi="Arial Narrow" w:cs="Arial Narrow"/>
                <w:color w:val="000000"/>
                <w:sz w:val="16"/>
                <w:szCs w:val="16"/>
                <w:lang w:eastAsia="sk-SK"/>
              </w:rPr>
              <w:t>582 103</w:t>
            </w:r>
          </w:p>
        </w:tc>
        <w:tc>
          <w:tcPr>
            <w:tcW w:w="1134" w:type="dxa"/>
            <w:tcBorders>
              <w:top w:val="nil"/>
              <w:left w:val="nil"/>
              <w:bottom w:val="single" w:sz="8" w:space="0" w:color="auto"/>
              <w:right w:val="single" w:sz="4" w:space="0" w:color="auto"/>
            </w:tcBorders>
            <w:textDirection w:val="lrTb"/>
            <w:vAlign w:val="center"/>
          </w:tcPr>
          <w:p w:rsidR="000604A9" w:rsidRPr="0021292A" w:rsidP="00062C83">
            <w:pPr>
              <w:bidi w:val="0"/>
              <w:jc w:val="right"/>
              <w:rPr>
                <w:rFonts w:ascii="Arial Narrow" w:hAnsi="Arial Narrow" w:cs="Arial Narrow"/>
                <w:color w:val="000000"/>
                <w:sz w:val="16"/>
                <w:szCs w:val="16"/>
                <w:lang w:eastAsia="sk-SK"/>
              </w:rPr>
            </w:pPr>
            <w:r w:rsidRPr="0021292A">
              <w:rPr>
                <w:rFonts w:ascii="Arial Narrow" w:hAnsi="Arial Narrow" w:cs="Arial Narrow"/>
                <w:color w:val="000000"/>
                <w:sz w:val="16"/>
                <w:szCs w:val="16"/>
                <w:lang w:eastAsia="sk-SK"/>
              </w:rPr>
              <w:t>314 032</w:t>
            </w:r>
          </w:p>
        </w:tc>
        <w:tc>
          <w:tcPr>
            <w:tcW w:w="1134" w:type="dxa"/>
            <w:tcBorders>
              <w:top w:val="nil"/>
              <w:left w:val="nil"/>
              <w:bottom w:val="single" w:sz="8" w:space="0" w:color="auto"/>
              <w:right w:val="single" w:sz="4" w:space="0" w:color="auto"/>
            </w:tcBorders>
            <w:textDirection w:val="lrTb"/>
            <w:vAlign w:val="center"/>
          </w:tcPr>
          <w:p w:rsidR="000604A9" w:rsidRPr="0021292A" w:rsidP="00062C83">
            <w:pPr>
              <w:bidi w:val="0"/>
              <w:jc w:val="right"/>
              <w:rPr>
                <w:rFonts w:ascii="Arial Narrow" w:hAnsi="Arial Narrow" w:cs="Arial Narrow"/>
                <w:color w:val="000000"/>
                <w:sz w:val="16"/>
                <w:szCs w:val="16"/>
                <w:lang w:eastAsia="sk-SK"/>
              </w:rPr>
            </w:pPr>
            <w:r w:rsidRPr="0021292A">
              <w:rPr>
                <w:rFonts w:ascii="Arial Narrow" w:hAnsi="Arial Narrow" w:cs="Arial Narrow"/>
                <w:color w:val="000000"/>
                <w:sz w:val="16"/>
                <w:szCs w:val="16"/>
                <w:lang w:eastAsia="sk-SK"/>
              </w:rPr>
              <w:t>295 703</w:t>
            </w:r>
          </w:p>
        </w:tc>
        <w:tc>
          <w:tcPr>
            <w:tcW w:w="1275" w:type="dxa"/>
            <w:tcBorders>
              <w:top w:val="nil"/>
              <w:left w:val="nil"/>
              <w:bottom w:val="single" w:sz="8" w:space="0" w:color="auto"/>
              <w:right w:val="single" w:sz="8" w:space="0" w:color="auto"/>
            </w:tcBorders>
            <w:textDirection w:val="lrTb"/>
            <w:vAlign w:val="center"/>
          </w:tcPr>
          <w:p w:rsidR="000604A9" w:rsidRPr="0021292A" w:rsidP="00062C83">
            <w:pPr>
              <w:bidi w:val="0"/>
              <w:jc w:val="right"/>
              <w:rPr>
                <w:rFonts w:ascii="Arial Narrow" w:hAnsi="Arial Narrow" w:cs="Arial Narrow"/>
                <w:color w:val="000000"/>
                <w:sz w:val="16"/>
                <w:szCs w:val="16"/>
                <w:lang w:eastAsia="sk-SK"/>
              </w:rPr>
            </w:pPr>
            <w:r w:rsidRPr="0021292A">
              <w:rPr>
                <w:rFonts w:ascii="Arial Narrow" w:hAnsi="Arial Narrow" w:cs="Arial Narrow"/>
                <w:color w:val="000000"/>
                <w:sz w:val="16"/>
                <w:szCs w:val="16"/>
                <w:lang w:eastAsia="sk-SK"/>
              </w:rPr>
              <w:t>291 750</w:t>
            </w:r>
          </w:p>
        </w:tc>
      </w:tr>
      <w:tr>
        <w:tblPrEx>
          <w:tblW w:w="9082" w:type="dxa"/>
          <w:tblInd w:w="60" w:type="dxa"/>
          <w:tblCellMar>
            <w:left w:w="70" w:type="dxa"/>
            <w:right w:w="70" w:type="dxa"/>
          </w:tblCellMar>
          <w:tblLook w:val="00A0"/>
        </w:tblPrEx>
        <w:trPr>
          <w:trHeight w:val="340"/>
        </w:trPr>
        <w:tc>
          <w:tcPr>
            <w:tcW w:w="1995" w:type="dxa"/>
            <w:tcBorders>
              <w:top w:val="single" w:sz="8" w:space="0" w:color="auto"/>
              <w:left w:val="single" w:sz="8" w:space="0" w:color="auto"/>
              <w:bottom w:val="single" w:sz="8" w:space="0" w:color="auto"/>
              <w:right w:val="single" w:sz="4" w:space="0" w:color="auto"/>
            </w:tcBorders>
            <w:shd w:val="clear" w:color="000000" w:fill="BFBFBF"/>
            <w:textDirection w:val="lrTb"/>
            <w:vAlign w:val="center"/>
          </w:tcPr>
          <w:p w:rsidR="000604A9" w:rsidRPr="0021292A" w:rsidP="00062C83">
            <w:pPr>
              <w:bidi w:val="0"/>
              <w:rPr>
                <w:rFonts w:ascii="Arial Narrow" w:hAnsi="Arial Narrow" w:cs="Arial Narrow"/>
                <w:b/>
                <w:bCs/>
                <w:color w:val="000000"/>
                <w:sz w:val="16"/>
                <w:szCs w:val="16"/>
                <w:lang w:eastAsia="sk-SK"/>
              </w:rPr>
            </w:pPr>
            <w:r w:rsidRPr="0021292A">
              <w:rPr>
                <w:rFonts w:ascii="Arial Narrow" w:hAnsi="Arial Narrow" w:cs="Arial Narrow"/>
                <w:b/>
                <w:bCs/>
                <w:color w:val="000000"/>
                <w:sz w:val="16"/>
                <w:szCs w:val="16"/>
                <w:lang w:eastAsia="sk-SK"/>
              </w:rPr>
              <w:t>Spolu</w:t>
            </w:r>
          </w:p>
        </w:tc>
        <w:tc>
          <w:tcPr>
            <w:tcW w:w="1134"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Pr="0021292A">
              <w:rPr>
                <w:rFonts w:ascii="Arial Narrow" w:hAnsi="Arial Narrow" w:cs="Arial Narrow"/>
                <w:b/>
                <w:bCs/>
                <w:color w:val="000000"/>
                <w:sz w:val="16"/>
                <w:szCs w:val="16"/>
                <w:lang w:eastAsia="sk-SK"/>
              </w:rPr>
              <w:t>1 465 329</w:t>
            </w:r>
          </w:p>
        </w:tc>
        <w:tc>
          <w:tcPr>
            <w:tcW w:w="1134"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Pr="0021292A">
              <w:rPr>
                <w:rFonts w:ascii="Arial Narrow" w:hAnsi="Arial Narrow" w:cs="Arial Narrow"/>
                <w:b/>
                <w:bCs/>
                <w:color w:val="000000"/>
                <w:sz w:val="16"/>
                <w:szCs w:val="16"/>
                <w:lang w:eastAsia="sk-SK"/>
              </w:rPr>
              <w:t>1 405 014</w:t>
            </w:r>
          </w:p>
        </w:tc>
        <w:tc>
          <w:tcPr>
            <w:tcW w:w="1276"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Pr="0021292A">
              <w:rPr>
                <w:rFonts w:ascii="Arial Narrow" w:hAnsi="Arial Narrow" w:cs="Arial Narrow"/>
                <w:b/>
                <w:bCs/>
                <w:color w:val="000000"/>
                <w:sz w:val="16"/>
                <w:szCs w:val="16"/>
                <w:lang w:eastAsia="sk-SK"/>
              </w:rPr>
              <w:t>1 240 904</w:t>
            </w:r>
          </w:p>
        </w:tc>
        <w:tc>
          <w:tcPr>
            <w:tcW w:w="1134"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00EF2004">
              <w:rPr>
                <w:rFonts w:ascii="Arial Narrow" w:hAnsi="Arial Narrow" w:cs="Arial Narrow"/>
                <w:b/>
                <w:bCs/>
                <w:color w:val="000000"/>
                <w:sz w:val="16"/>
                <w:szCs w:val="16"/>
                <w:lang w:eastAsia="sk-SK"/>
              </w:rPr>
              <w:t>1 017 115</w:t>
            </w:r>
          </w:p>
        </w:tc>
        <w:tc>
          <w:tcPr>
            <w:tcW w:w="1134"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00EF2004">
              <w:rPr>
                <w:rFonts w:ascii="Arial Narrow" w:hAnsi="Arial Narrow" w:cs="Arial Narrow"/>
                <w:b/>
                <w:bCs/>
                <w:color w:val="000000"/>
                <w:sz w:val="16"/>
                <w:szCs w:val="16"/>
                <w:lang w:eastAsia="sk-SK"/>
              </w:rPr>
              <w:t>988 752</w:t>
            </w:r>
          </w:p>
        </w:tc>
        <w:tc>
          <w:tcPr>
            <w:tcW w:w="1275"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21292A" w:rsidP="00062C83">
            <w:pPr>
              <w:bidi w:val="0"/>
              <w:jc w:val="right"/>
              <w:rPr>
                <w:rFonts w:ascii="Arial Narrow" w:hAnsi="Arial Narrow" w:cs="Arial Narrow"/>
                <w:b/>
                <w:bCs/>
                <w:color w:val="000000"/>
                <w:sz w:val="16"/>
                <w:szCs w:val="16"/>
                <w:lang w:eastAsia="sk-SK"/>
              </w:rPr>
            </w:pPr>
            <w:r w:rsidR="00EF2004">
              <w:rPr>
                <w:rFonts w:ascii="Arial Narrow" w:hAnsi="Arial Narrow" w:cs="Arial Narrow"/>
                <w:b/>
                <w:bCs/>
                <w:color w:val="000000"/>
                <w:sz w:val="16"/>
                <w:szCs w:val="16"/>
                <w:lang w:eastAsia="sk-SK"/>
              </w:rPr>
              <w:t>1 007 951</w:t>
            </w:r>
          </w:p>
        </w:tc>
      </w:tr>
    </w:tbl>
    <w:p w:rsidR="000604A9" w:rsidP="000604A9">
      <w:pPr>
        <w:bidi w:val="0"/>
        <w:ind w:firstLine="708"/>
        <w:jc w:val="both"/>
        <w:rPr>
          <w:rFonts w:ascii="Arial Narrow" w:hAnsi="Arial Narrow" w:cs="Arial Narrow"/>
          <w:sz w:val="22"/>
          <w:szCs w:val="22"/>
        </w:rPr>
      </w:pPr>
    </w:p>
    <w:p w:rsidR="000604A9" w:rsidP="000604A9">
      <w:pPr>
        <w:bidi w:val="0"/>
        <w:jc w:val="both"/>
        <w:rPr>
          <w:rFonts w:ascii="Arial Narrow" w:hAnsi="Arial Narrow" w:cs="Arial Narrow"/>
          <w:b/>
          <w:bCs/>
          <w:sz w:val="22"/>
          <w:szCs w:val="22"/>
        </w:rPr>
      </w:pPr>
      <w:bookmarkStart w:id="52" w:name="OLE_LINK1"/>
      <w:bookmarkStart w:id="53" w:name="OLE_LINK2"/>
      <w:r w:rsidRPr="00194186">
        <w:rPr>
          <w:rFonts w:ascii="Arial Narrow" w:hAnsi="Arial Narrow" w:cs="Arial Narrow"/>
          <w:sz w:val="22"/>
          <w:szCs w:val="22"/>
        </w:rPr>
        <w:tab/>
        <w:t xml:space="preserve">V roku 2011 dochádza v porovnaní s očakávanou skutočnosťou </w:t>
      </w:r>
      <w:r>
        <w:rPr>
          <w:rFonts w:ascii="Arial Narrow" w:hAnsi="Arial Narrow" w:cs="Arial Narrow"/>
          <w:sz w:val="22"/>
          <w:szCs w:val="22"/>
        </w:rPr>
        <w:t xml:space="preserve">roku </w:t>
      </w:r>
      <w:r w:rsidRPr="00194186">
        <w:rPr>
          <w:rFonts w:ascii="Arial Narrow" w:hAnsi="Arial Narrow" w:cs="Arial Narrow"/>
          <w:sz w:val="22"/>
          <w:szCs w:val="22"/>
        </w:rPr>
        <w:t>2010 k</w:t>
      </w:r>
      <w:r>
        <w:rPr>
          <w:rFonts w:ascii="Arial Narrow" w:hAnsi="Arial Narrow" w:cs="Arial Narrow"/>
          <w:sz w:val="22"/>
          <w:szCs w:val="22"/>
        </w:rPr>
        <w:t> poklesu</w:t>
      </w:r>
      <w:r w:rsidRPr="00194186">
        <w:rPr>
          <w:rFonts w:ascii="Arial Narrow" w:hAnsi="Arial Narrow" w:cs="Arial Narrow"/>
          <w:sz w:val="22"/>
          <w:szCs w:val="22"/>
        </w:rPr>
        <w:t xml:space="preserve"> </w:t>
      </w:r>
      <w:r>
        <w:rPr>
          <w:rFonts w:ascii="Arial Narrow" w:hAnsi="Arial Narrow" w:cs="Arial Narrow"/>
          <w:sz w:val="22"/>
          <w:szCs w:val="22"/>
        </w:rPr>
        <w:t xml:space="preserve">týchto príjmov </w:t>
      </w:r>
      <w:r w:rsidRPr="00194186">
        <w:rPr>
          <w:rFonts w:ascii="Arial Narrow" w:hAnsi="Arial Narrow" w:cs="Arial Narrow"/>
          <w:sz w:val="22"/>
          <w:szCs w:val="22"/>
        </w:rPr>
        <w:t xml:space="preserve">  </w:t>
      </w:r>
      <w:r w:rsidRPr="00B56FCF">
        <w:rPr>
          <w:rFonts w:ascii="Arial Narrow" w:hAnsi="Arial Narrow" w:cs="Arial Narrow"/>
          <w:sz w:val="22"/>
          <w:szCs w:val="22"/>
        </w:rPr>
        <w:t>o 1</w:t>
      </w:r>
      <w:r w:rsidRPr="00B56FCF" w:rsidR="00EF2004">
        <w:rPr>
          <w:rFonts w:ascii="Arial Narrow" w:hAnsi="Arial Narrow" w:cs="Arial Narrow"/>
          <w:sz w:val="22"/>
          <w:szCs w:val="22"/>
        </w:rPr>
        <w:t>8</w:t>
      </w:r>
      <w:r w:rsidRPr="00B56FCF">
        <w:rPr>
          <w:rFonts w:ascii="Arial Narrow" w:hAnsi="Arial Narrow" w:cs="Arial Narrow"/>
          <w:sz w:val="22"/>
          <w:szCs w:val="22"/>
        </w:rPr>
        <w:t>,</w:t>
      </w:r>
      <w:r w:rsidRPr="00B56FCF" w:rsidR="00EF2004">
        <w:rPr>
          <w:rFonts w:ascii="Arial Narrow" w:hAnsi="Arial Narrow" w:cs="Arial Narrow"/>
          <w:sz w:val="22"/>
          <w:szCs w:val="22"/>
        </w:rPr>
        <w:t>0</w:t>
      </w:r>
      <w:r w:rsidRPr="00B56FCF">
        <w:rPr>
          <w:rFonts w:ascii="Arial Narrow" w:hAnsi="Arial Narrow" w:cs="Arial Narrow"/>
          <w:sz w:val="22"/>
          <w:szCs w:val="22"/>
        </w:rPr>
        <w:t xml:space="preserve"> %. Ide</w:t>
      </w:r>
      <w:r w:rsidRPr="00CE2C28">
        <w:rPr>
          <w:rFonts w:ascii="Arial Narrow" w:hAnsi="Arial Narrow" w:cs="Arial Narrow"/>
          <w:sz w:val="22"/>
          <w:szCs w:val="22"/>
        </w:rPr>
        <w:t xml:space="preserve"> predovšetkým o pokles príjmov z tuzemských transferov.</w:t>
      </w:r>
      <w:bookmarkEnd w:id="52"/>
      <w:bookmarkEnd w:id="53"/>
      <w:r>
        <w:rPr>
          <w:rFonts w:ascii="Arial Narrow" w:hAnsi="Arial Narrow" w:cs="Arial Narrow"/>
          <w:b/>
          <w:bCs/>
          <w:sz w:val="22"/>
          <w:szCs w:val="22"/>
        </w:rPr>
        <w:t xml:space="preserve"> </w:t>
      </w:r>
    </w:p>
    <w:p w:rsidR="0043546E" w:rsidP="000604A9">
      <w:pPr>
        <w:bidi w:val="0"/>
        <w:jc w:val="both"/>
        <w:rPr>
          <w:rFonts w:ascii="Arial Narrow" w:hAnsi="Arial Narrow" w:cs="Arial Narrow"/>
          <w:b/>
          <w:bCs/>
          <w:sz w:val="22"/>
          <w:szCs w:val="22"/>
        </w:rPr>
      </w:pPr>
    </w:p>
    <w:p w:rsidR="000604A9" w:rsidRPr="00BC499A" w:rsidP="000604A9">
      <w:pPr>
        <w:bidi w:val="0"/>
        <w:jc w:val="both"/>
        <w:rPr>
          <w:rFonts w:ascii="Arial Narrow" w:hAnsi="Arial Narrow" w:cs="Arial Narrow"/>
          <w:b/>
          <w:bCs/>
          <w:sz w:val="22"/>
          <w:szCs w:val="22"/>
        </w:rPr>
      </w:pPr>
      <w:r w:rsidRPr="00BC499A">
        <w:rPr>
          <w:rFonts w:ascii="Arial Narrow" w:hAnsi="Arial Narrow" w:cs="Arial Narrow"/>
          <w:b/>
          <w:bCs/>
          <w:sz w:val="22"/>
          <w:szCs w:val="22"/>
        </w:rPr>
        <w:t xml:space="preserve">Rozpočtovanie nedaňových príjmov </w:t>
      </w:r>
    </w:p>
    <w:p w:rsidR="000604A9" w:rsidRPr="00BC499A" w:rsidP="000604A9">
      <w:pPr>
        <w:bidi w:val="0"/>
        <w:jc w:val="both"/>
        <w:rPr>
          <w:rFonts w:ascii="Arial Narrow" w:hAnsi="Arial Narrow" w:cs="Arial Narrow"/>
          <w:b/>
          <w:bCs/>
          <w:sz w:val="22"/>
          <w:szCs w:val="22"/>
        </w:rPr>
      </w:pPr>
    </w:p>
    <w:p w:rsidR="000604A9" w:rsidP="000604A9">
      <w:pPr>
        <w:bidi w:val="0"/>
        <w:ind w:firstLine="708"/>
        <w:jc w:val="both"/>
        <w:rPr>
          <w:rFonts w:ascii="Arial Narrow" w:hAnsi="Arial Narrow" w:cs="Arial Narrow"/>
          <w:sz w:val="22"/>
          <w:szCs w:val="22"/>
        </w:rPr>
      </w:pPr>
      <w:r w:rsidRPr="00BC499A">
        <w:rPr>
          <w:rFonts w:ascii="Arial Narrow" w:hAnsi="Arial Narrow" w:cs="Arial Narrow"/>
          <w:b/>
          <w:bCs/>
          <w:sz w:val="22"/>
          <w:szCs w:val="22"/>
        </w:rPr>
        <w:t xml:space="preserve">Nedaňové príjmy </w:t>
      </w:r>
      <w:r w:rsidRPr="00BC499A">
        <w:rPr>
          <w:rFonts w:ascii="Arial Narrow" w:hAnsi="Arial Narrow" w:cs="Arial Narrow"/>
          <w:sz w:val="22"/>
          <w:szCs w:val="22"/>
        </w:rPr>
        <w:t>na roky 20</w:t>
      </w:r>
      <w:r>
        <w:rPr>
          <w:rFonts w:ascii="Arial Narrow" w:hAnsi="Arial Narrow" w:cs="Arial Narrow"/>
          <w:sz w:val="22"/>
          <w:szCs w:val="22"/>
        </w:rPr>
        <w:t xml:space="preserve">11 až </w:t>
      </w:r>
      <w:r w:rsidRPr="00B56FCF">
        <w:rPr>
          <w:rFonts w:ascii="Arial Narrow" w:hAnsi="Arial Narrow" w:cs="Arial Narrow"/>
          <w:sz w:val="22"/>
          <w:szCs w:val="22"/>
        </w:rPr>
        <w:t>2013 sa rozpočtujú vo výške 7</w:t>
      </w:r>
      <w:r w:rsidRPr="00B56FCF" w:rsidR="006F3E2D">
        <w:rPr>
          <w:rFonts w:ascii="Arial Narrow" w:hAnsi="Arial Narrow" w:cs="Arial Narrow"/>
          <w:sz w:val="22"/>
          <w:szCs w:val="22"/>
        </w:rPr>
        <w:t>03</w:t>
      </w:r>
      <w:r w:rsidRPr="00B56FCF">
        <w:rPr>
          <w:rFonts w:ascii="Arial Narrow" w:hAnsi="Arial Narrow" w:cs="Arial Narrow"/>
          <w:sz w:val="22"/>
          <w:szCs w:val="22"/>
        </w:rPr>
        <w:t xml:space="preserve"> 0</w:t>
      </w:r>
      <w:r w:rsidRPr="00B56FCF" w:rsidR="006F3E2D">
        <w:rPr>
          <w:rFonts w:ascii="Arial Narrow" w:hAnsi="Arial Narrow" w:cs="Arial Narrow"/>
          <w:sz w:val="22"/>
          <w:szCs w:val="22"/>
        </w:rPr>
        <w:t>83</w:t>
      </w:r>
      <w:r w:rsidRPr="00B56FCF">
        <w:rPr>
          <w:rFonts w:ascii="Arial Narrow" w:hAnsi="Arial Narrow" w:cs="Arial Narrow"/>
          <w:sz w:val="22"/>
          <w:szCs w:val="22"/>
        </w:rPr>
        <w:t xml:space="preserve"> tis. eur, </w:t>
      </w:r>
      <w:r w:rsidRPr="00B56FCF" w:rsidR="006F3E2D">
        <w:rPr>
          <w:rFonts w:ascii="Arial Narrow" w:hAnsi="Arial Narrow" w:cs="Arial Narrow"/>
          <w:sz w:val="22"/>
          <w:szCs w:val="22"/>
        </w:rPr>
        <w:t>693</w:t>
      </w:r>
      <w:r w:rsidRPr="00B56FCF">
        <w:rPr>
          <w:rFonts w:ascii="Arial Narrow" w:hAnsi="Arial Narrow" w:cs="Arial Narrow"/>
          <w:sz w:val="22"/>
          <w:szCs w:val="22"/>
        </w:rPr>
        <w:t> </w:t>
      </w:r>
      <w:r w:rsidRPr="00B56FCF" w:rsidR="006F3E2D">
        <w:rPr>
          <w:rFonts w:ascii="Arial Narrow" w:hAnsi="Arial Narrow" w:cs="Arial Narrow"/>
          <w:sz w:val="22"/>
          <w:szCs w:val="22"/>
        </w:rPr>
        <w:t>049</w:t>
      </w:r>
      <w:r w:rsidRPr="00B56FCF">
        <w:rPr>
          <w:rFonts w:ascii="Arial Narrow" w:hAnsi="Arial Narrow" w:cs="Arial Narrow"/>
          <w:sz w:val="22"/>
          <w:szCs w:val="22"/>
        </w:rPr>
        <w:t xml:space="preserve"> tis. eur a</w:t>
      </w:r>
      <w:r w:rsidRPr="00B56FCF" w:rsidR="006F3E2D">
        <w:rPr>
          <w:rFonts w:ascii="Arial Narrow" w:hAnsi="Arial Narrow" w:cs="Arial Narrow"/>
          <w:sz w:val="22"/>
          <w:szCs w:val="22"/>
        </w:rPr>
        <w:t xml:space="preserve">    </w:t>
      </w:r>
      <w:r w:rsidRPr="00B56FCF">
        <w:rPr>
          <w:rFonts w:ascii="Arial Narrow" w:hAnsi="Arial Narrow" w:cs="Arial Narrow"/>
          <w:sz w:val="22"/>
          <w:szCs w:val="22"/>
        </w:rPr>
        <w:t>7</w:t>
      </w:r>
      <w:r w:rsidRPr="00B56FCF" w:rsidR="006F3E2D">
        <w:rPr>
          <w:rFonts w:ascii="Arial Narrow" w:hAnsi="Arial Narrow" w:cs="Arial Narrow"/>
          <w:sz w:val="22"/>
          <w:szCs w:val="22"/>
        </w:rPr>
        <w:t>16 201</w:t>
      </w:r>
      <w:r w:rsidRPr="00B56FCF">
        <w:rPr>
          <w:rFonts w:ascii="Arial Narrow" w:hAnsi="Arial Narrow" w:cs="Arial Narrow"/>
          <w:sz w:val="22"/>
          <w:szCs w:val="22"/>
        </w:rPr>
        <w:t> tis. eur. V roku 2011 dochádza v porovnaní s očakávanou skutočnosťou</w:t>
      </w:r>
      <w:r w:rsidR="00A7675E">
        <w:rPr>
          <w:rFonts w:ascii="Arial Narrow" w:hAnsi="Arial Narrow" w:cs="Arial Narrow"/>
          <w:sz w:val="22"/>
          <w:szCs w:val="22"/>
        </w:rPr>
        <w:t xml:space="preserve"> roku</w:t>
      </w:r>
      <w:r w:rsidRPr="00B56FCF">
        <w:rPr>
          <w:rFonts w:ascii="Arial Narrow" w:hAnsi="Arial Narrow" w:cs="Arial Narrow"/>
          <w:sz w:val="22"/>
          <w:szCs w:val="22"/>
        </w:rPr>
        <w:t xml:space="preserve"> 2010 k nárastu celkových nedaňových príjmov o  </w:t>
      </w:r>
      <w:r w:rsidRPr="00B56FCF" w:rsidR="006F3E2D">
        <w:rPr>
          <w:rFonts w:ascii="Arial Narrow" w:hAnsi="Arial Narrow" w:cs="Arial Narrow"/>
          <w:sz w:val="22"/>
          <w:szCs w:val="22"/>
        </w:rPr>
        <w:t>6</w:t>
      </w:r>
      <w:r w:rsidRPr="00B56FCF">
        <w:rPr>
          <w:rFonts w:ascii="Arial Narrow" w:hAnsi="Arial Narrow" w:cs="Arial Narrow"/>
          <w:sz w:val="22"/>
          <w:szCs w:val="22"/>
        </w:rPr>
        <w:t>,</w:t>
      </w:r>
      <w:r w:rsidRPr="00B56FCF" w:rsidR="006F3E2D">
        <w:rPr>
          <w:rFonts w:ascii="Arial Narrow" w:hAnsi="Arial Narrow" w:cs="Arial Narrow"/>
          <w:sz w:val="22"/>
          <w:szCs w:val="22"/>
        </w:rPr>
        <w:t>7</w:t>
      </w:r>
      <w:r w:rsidRPr="00B56FCF">
        <w:rPr>
          <w:rFonts w:ascii="Arial Narrow" w:hAnsi="Arial Narrow" w:cs="Arial Narrow"/>
          <w:sz w:val="22"/>
          <w:szCs w:val="22"/>
        </w:rPr>
        <w:t> %.</w:t>
      </w:r>
      <w:r>
        <w:rPr>
          <w:rFonts w:ascii="Arial Narrow" w:hAnsi="Arial Narrow" w:cs="Arial Narrow"/>
          <w:sz w:val="22"/>
          <w:szCs w:val="22"/>
        </w:rPr>
        <w:t xml:space="preserve"> </w:t>
      </w:r>
    </w:p>
    <w:p w:rsidR="000604A9" w:rsidP="000604A9">
      <w:pPr>
        <w:bidi w:val="0"/>
        <w:ind w:firstLine="708"/>
        <w:jc w:val="both"/>
        <w:rPr>
          <w:rFonts w:ascii="Arial Narrow" w:hAnsi="Arial Narrow" w:cs="Arial Narrow"/>
          <w:sz w:val="22"/>
          <w:szCs w:val="22"/>
        </w:rPr>
      </w:pPr>
    </w:p>
    <w:tbl>
      <w:tblPr>
        <w:tblStyle w:val="TableNormal"/>
        <w:tblW w:w="9077" w:type="dxa"/>
        <w:tblInd w:w="65" w:type="dxa"/>
        <w:tblCellMar>
          <w:left w:w="70" w:type="dxa"/>
          <w:right w:w="70" w:type="dxa"/>
        </w:tblCellMar>
        <w:tblLook w:val="00A0"/>
      </w:tblPr>
      <w:tblGrid>
        <w:gridCol w:w="2800"/>
        <w:gridCol w:w="1060"/>
        <w:gridCol w:w="1060"/>
        <w:gridCol w:w="1060"/>
        <w:gridCol w:w="1060"/>
        <w:gridCol w:w="1060"/>
        <w:gridCol w:w="977"/>
      </w:tblGrid>
      <w:tr>
        <w:tblPrEx>
          <w:tblW w:w="9077" w:type="dxa"/>
          <w:tblInd w:w="65" w:type="dxa"/>
          <w:tblCellMar>
            <w:left w:w="70" w:type="dxa"/>
            <w:right w:w="70" w:type="dxa"/>
          </w:tblCellMar>
          <w:tblLook w:val="00A0"/>
        </w:tblPrEx>
        <w:trPr>
          <w:trHeight w:val="315"/>
        </w:trPr>
        <w:tc>
          <w:tcPr>
            <w:tcW w:w="2800" w:type="dxa"/>
            <w:tcBorders>
              <w:top w:val="single" w:sz="8" w:space="0" w:color="auto"/>
              <w:left w:val="single" w:sz="4" w:space="0" w:color="auto"/>
              <w:bottom w:val="single" w:sz="8" w:space="0" w:color="auto"/>
              <w:right w:val="single" w:sz="4" w:space="0" w:color="auto"/>
            </w:tcBorders>
            <w:shd w:val="clear" w:color="000000" w:fill="FFFFFF"/>
            <w:textDirection w:val="lrTb"/>
            <w:vAlign w:val="center"/>
          </w:tcPr>
          <w:p w:rsidR="000604A9" w:rsidRPr="00B56FCF" w:rsidP="00062C83">
            <w:pPr>
              <w:bidi w:val="0"/>
              <w:rPr>
                <w:rFonts w:ascii="Arial Narrow" w:hAnsi="Arial Narrow" w:cs="Arial Narrow"/>
                <w:sz w:val="16"/>
                <w:szCs w:val="16"/>
                <w:lang w:eastAsia="sk-SK"/>
              </w:rPr>
            </w:pPr>
            <w:r w:rsidRPr="00B56FCF">
              <w:rPr>
                <w:rFonts w:ascii="Arial Narrow" w:hAnsi="Arial Narrow" w:cs="Arial Narrow"/>
                <w:sz w:val="16"/>
                <w:szCs w:val="16"/>
                <w:lang w:eastAsia="sk-SK"/>
              </w:rPr>
              <w:t>(v tis. eur)</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2008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2009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2010 OS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2011 N</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2012 N</w:t>
            </w:r>
          </w:p>
        </w:tc>
        <w:tc>
          <w:tcPr>
            <w:tcW w:w="977"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2013 N</w:t>
            </w:r>
          </w:p>
        </w:tc>
      </w:tr>
      <w:tr>
        <w:tblPrEx>
          <w:tblW w:w="9077" w:type="dxa"/>
          <w:tblInd w:w="65" w:type="dxa"/>
          <w:tblCellMar>
            <w:left w:w="70" w:type="dxa"/>
            <w:right w:w="70" w:type="dxa"/>
          </w:tblCellMar>
          <w:tblLook w:val="00A0"/>
        </w:tblPrEx>
        <w:trPr>
          <w:trHeight w:val="315"/>
        </w:trPr>
        <w:tc>
          <w:tcPr>
            <w:tcW w:w="2800" w:type="dxa"/>
            <w:tcBorders>
              <w:top w:val="single" w:sz="8" w:space="0" w:color="auto"/>
              <w:left w:val="single" w:sz="4" w:space="0" w:color="auto"/>
              <w:bottom w:val="single" w:sz="8" w:space="0" w:color="auto"/>
              <w:right w:val="single" w:sz="4" w:space="0" w:color="auto"/>
            </w:tcBorders>
            <w:shd w:val="clear" w:color="000000" w:fill="BFBFBF"/>
            <w:textDirection w:val="lrTb"/>
            <w:vAlign w:val="center"/>
          </w:tcPr>
          <w:p w:rsidR="000604A9" w:rsidRPr="00B56FCF" w:rsidP="00062C83">
            <w:pPr>
              <w:bidi w:val="0"/>
              <w:rPr>
                <w:rFonts w:ascii="Arial Narrow" w:hAnsi="Arial Narrow" w:cs="Arial Narrow"/>
                <w:b/>
                <w:bCs/>
                <w:color w:val="000000"/>
                <w:sz w:val="16"/>
                <w:szCs w:val="16"/>
                <w:lang w:eastAsia="sk-SK"/>
              </w:rPr>
            </w:pPr>
            <w:r w:rsidRPr="00B56FCF">
              <w:rPr>
                <w:rFonts w:ascii="Arial Narrow" w:hAnsi="Arial Narrow" w:cs="Arial Narrow"/>
                <w:b/>
                <w:bCs/>
                <w:color w:val="000000"/>
                <w:sz w:val="16"/>
                <w:szCs w:val="16"/>
                <w:lang w:eastAsia="sk-SK"/>
              </w:rPr>
              <w:t>Nedaňové príjmy</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Pr>
                <w:rFonts w:ascii="Arial Narrow" w:hAnsi="Arial Narrow" w:cs="Arial Narrow"/>
                <w:b/>
                <w:bCs/>
                <w:color w:val="000000"/>
                <w:sz w:val="16"/>
                <w:szCs w:val="16"/>
                <w:lang w:eastAsia="sk-SK"/>
              </w:rPr>
              <w:t>880 545</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Pr>
                <w:rFonts w:ascii="Arial Narrow" w:hAnsi="Arial Narrow" w:cs="Arial Narrow"/>
                <w:b/>
                <w:bCs/>
                <w:color w:val="000000"/>
                <w:sz w:val="16"/>
                <w:szCs w:val="16"/>
                <w:lang w:eastAsia="sk-SK"/>
              </w:rPr>
              <w:t>838 463</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Pr>
                <w:rFonts w:ascii="Arial Narrow" w:hAnsi="Arial Narrow" w:cs="Arial Narrow"/>
                <w:b/>
                <w:bCs/>
                <w:color w:val="000000"/>
                <w:sz w:val="16"/>
                <w:szCs w:val="16"/>
                <w:lang w:eastAsia="sk-SK"/>
              </w:rPr>
              <w:t>658 801</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sidR="006F3E2D">
              <w:rPr>
                <w:rFonts w:ascii="Arial Narrow" w:hAnsi="Arial Narrow" w:cs="Arial Narrow"/>
                <w:b/>
                <w:bCs/>
                <w:color w:val="000000"/>
                <w:sz w:val="16"/>
                <w:szCs w:val="16"/>
                <w:lang w:eastAsia="sk-SK"/>
              </w:rPr>
              <w:t>703 083</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sidR="006F3E2D">
              <w:rPr>
                <w:rFonts w:ascii="Arial Narrow" w:hAnsi="Arial Narrow" w:cs="Arial Narrow"/>
                <w:b/>
                <w:bCs/>
                <w:color w:val="000000"/>
                <w:sz w:val="16"/>
                <w:szCs w:val="16"/>
                <w:lang w:eastAsia="sk-SK"/>
              </w:rPr>
              <w:t>693 049</w:t>
            </w:r>
          </w:p>
        </w:tc>
        <w:tc>
          <w:tcPr>
            <w:tcW w:w="977"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B56FCF" w:rsidP="00062C83">
            <w:pPr>
              <w:bidi w:val="0"/>
              <w:jc w:val="right"/>
              <w:rPr>
                <w:rFonts w:ascii="Arial Narrow" w:hAnsi="Arial Narrow" w:cs="Arial Narrow"/>
                <w:b/>
                <w:bCs/>
                <w:color w:val="000000"/>
                <w:sz w:val="16"/>
                <w:szCs w:val="16"/>
                <w:lang w:eastAsia="sk-SK"/>
              </w:rPr>
            </w:pPr>
            <w:r w:rsidRPr="00B56FCF" w:rsidR="006F3E2D">
              <w:rPr>
                <w:rFonts w:ascii="Arial Narrow" w:hAnsi="Arial Narrow" w:cs="Arial Narrow"/>
                <w:b/>
                <w:bCs/>
                <w:color w:val="000000"/>
                <w:sz w:val="16"/>
                <w:szCs w:val="16"/>
                <w:lang w:eastAsia="sk-SK"/>
              </w:rPr>
              <w:t>716 201</w:t>
            </w:r>
          </w:p>
        </w:tc>
      </w:tr>
      <w:tr>
        <w:tblPrEx>
          <w:tblW w:w="9077" w:type="dxa"/>
          <w:tblInd w:w="65" w:type="dxa"/>
          <w:tblCellMar>
            <w:left w:w="70" w:type="dxa"/>
            <w:right w:w="70" w:type="dxa"/>
          </w:tblCellMar>
          <w:tblLook w:val="00A0"/>
        </w:tblPrEx>
        <w:trPr>
          <w:trHeight w:val="510"/>
        </w:trPr>
        <w:tc>
          <w:tcPr>
            <w:tcW w:w="2800" w:type="dxa"/>
            <w:tcBorders>
              <w:top w:val="nil"/>
              <w:left w:val="single" w:sz="4" w:space="0" w:color="auto"/>
              <w:bottom w:val="single" w:sz="4"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Príjmy z podnikania a z vlastníctva majetku</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81 860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147 092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70 905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sidR="006F3E2D">
              <w:rPr>
                <w:rFonts w:ascii="Arial Narrow" w:hAnsi="Arial Narrow" w:cs="Arial Narrow"/>
                <w:color w:val="000000"/>
                <w:sz w:val="16"/>
                <w:szCs w:val="16"/>
                <w:lang w:eastAsia="sk-SK"/>
              </w:rPr>
              <w:t>99 710</w:t>
            </w:r>
            <w:r w:rsidRPr="00B56FCF">
              <w:rPr>
                <w:rFonts w:ascii="Arial Narrow" w:hAnsi="Arial Narrow" w:cs="Arial Narrow"/>
                <w:color w:val="000000"/>
                <w:sz w:val="16"/>
                <w:szCs w:val="16"/>
                <w:lang w:eastAsia="sk-SK"/>
              </w:rPr>
              <w:t xml:space="preserve">    </w:t>
            </w:r>
          </w:p>
        </w:tc>
        <w:tc>
          <w:tcPr>
            <w:tcW w:w="1060" w:type="dxa"/>
            <w:tcBorders>
              <w:top w:val="nil"/>
              <w:left w:val="nil"/>
              <w:bottom w:val="single" w:sz="4" w:space="0" w:color="auto"/>
              <w:right w:val="single" w:sz="4" w:space="0" w:color="auto"/>
            </w:tcBorders>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w:t>
            </w:r>
            <w:r w:rsidRPr="00B56FCF" w:rsidR="006F3E2D">
              <w:rPr>
                <w:rFonts w:ascii="Arial Narrow" w:hAnsi="Arial Narrow" w:cs="Arial Narrow"/>
                <w:color w:val="000000"/>
                <w:sz w:val="16"/>
                <w:szCs w:val="16"/>
                <w:lang w:eastAsia="sk-SK"/>
              </w:rPr>
              <w:t>58 854</w:t>
            </w:r>
            <w:r w:rsidRPr="00B56FCF">
              <w:rPr>
                <w:rFonts w:ascii="Arial Narrow" w:hAnsi="Arial Narrow" w:cs="Arial Narrow"/>
                <w:color w:val="000000"/>
                <w:sz w:val="16"/>
                <w:szCs w:val="16"/>
                <w:lang w:eastAsia="sk-SK"/>
              </w:rPr>
              <w:t xml:space="preserve">    </w:t>
            </w:r>
          </w:p>
        </w:tc>
        <w:tc>
          <w:tcPr>
            <w:tcW w:w="977" w:type="dxa"/>
            <w:tcBorders>
              <w:top w:val="nil"/>
              <w:left w:val="nil"/>
              <w:bottom w:val="single" w:sz="4" w:space="0" w:color="auto"/>
              <w:right w:val="single" w:sz="8" w:space="0" w:color="auto"/>
            </w:tcBorders>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w:t>
            </w:r>
            <w:r w:rsidRPr="00B56FCF" w:rsidR="006F3E2D">
              <w:rPr>
                <w:rFonts w:ascii="Arial Narrow" w:hAnsi="Arial Narrow" w:cs="Arial Narrow"/>
                <w:color w:val="000000"/>
                <w:sz w:val="16"/>
                <w:szCs w:val="16"/>
                <w:lang w:eastAsia="sk-SK"/>
              </w:rPr>
              <w:t>68 763</w:t>
            </w:r>
            <w:r w:rsidRPr="00B56FCF">
              <w:rPr>
                <w:rFonts w:ascii="Arial Narrow" w:hAnsi="Arial Narrow" w:cs="Arial Narrow"/>
                <w:color w:val="000000"/>
                <w:sz w:val="16"/>
                <w:szCs w:val="16"/>
                <w:lang w:eastAsia="sk-SK"/>
              </w:rPr>
              <w:t xml:space="preserve">    </w:t>
            </w:r>
          </w:p>
        </w:tc>
      </w:tr>
      <w:tr>
        <w:tblPrEx>
          <w:tblW w:w="9077" w:type="dxa"/>
          <w:tblInd w:w="65" w:type="dxa"/>
          <w:tblCellMar>
            <w:left w:w="70" w:type="dxa"/>
            <w:right w:w="70" w:type="dxa"/>
          </w:tblCellMar>
          <w:tblLook w:val="00A0"/>
        </w:tblPrEx>
        <w:trPr>
          <w:trHeight w:val="300"/>
        </w:trPr>
        <w:tc>
          <w:tcPr>
            <w:tcW w:w="2800" w:type="dxa"/>
            <w:tcBorders>
              <w:top w:val="nil"/>
              <w:left w:val="single" w:sz="4" w:space="0" w:color="auto"/>
              <w:bottom w:val="single" w:sz="4"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Administratívne a iné poplatky a platby</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295 815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280 994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265 195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290 281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291 875    </w:t>
            </w:r>
          </w:p>
        </w:tc>
        <w:tc>
          <w:tcPr>
            <w:tcW w:w="977" w:type="dxa"/>
            <w:tcBorders>
              <w:top w:val="nil"/>
              <w:left w:val="nil"/>
              <w:bottom w:val="single" w:sz="4" w:space="0" w:color="auto"/>
              <w:right w:val="single" w:sz="8"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292 490    </w:t>
            </w:r>
          </w:p>
        </w:tc>
      </w:tr>
      <w:tr>
        <w:tblPrEx>
          <w:tblW w:w="9077" w:type="dxa"/>
          <w:tblInd w:w="65" w:type="dxa"/>
          <w:tblCellMar>
            <w:left w:w="70" w:type="dxa"/>
            <w:right w:w="70" w:type="dxa"/>
          </w:tblCellMar>
          <w:tblLook w:val="00A0"/>
        </w:tblPrEx>
        <w:trPr>
          <w:trHeight w:val="300"/>
        </w:trPr>
        <w:tc>
          <w:tcPr>
            <w:tcW w:w="2800" w:type="dxa"/>
            <w:tcBorders>
              <w:top w:val="nil"/>
              <w:left w:val="single" w:sz="4" w:space="0" w:color="auto"/>
              <w:bottom w:val="single" w:sz="4"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Kapitálové príjmy</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29 453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17 172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28 280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16 661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14 768    </w:t>
            </w:r>
          </w:p>
        </w:tc>
        <w:tc>
          <w:tcPr>
            <w:tcW w:w="977" w:type="dxa"/>
            <w:tcBorders>
              <w:top w:val="nil"/>
              <w:left w:val="nil"/>
              <w:bottom w:val="single" w:sz="4" w:space="0" w:color="auto"/>
              <w:right w:val="single" w:sz="8"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15 086    </w:t>
            </w:r>
          </w:p>
        </w:tc>
      </w:tr>
      <w:tr>
        <w:tblPrEx>
          <w:tblW w:w="9077" w:type="dxa"/>
          <w:tblInd w:w="65" w:type="dxa"/>
          <w:tblCellMar>
            <w:left w:w="70" w:type="dxa"/>
            <w:right w:w="70" w:type="dxa"/>
          </w:tblCellMar>
          <w:tblLook w:val="00A0"/>
        </w:tblPrEx>
        <w:trPr>
          <w:trHeight w:val="510"/>
        </w:trPr>
        <w:tc>
          <w:tcPr>
            <w:tcW w:w="2800" w:type="dxa"/>
            <w:tcBorders>
              <w:top w:val="nil"/>
              <w:left w:val="single" w:sz="4" w:space="0" w:color="auto"/>
              <w:bottom w:val="single" w:sz="4"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Úroky z tuzem. a zahr. úverov, pôžičiek a vkladov</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238 157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94 725    </w:t>
            </w:r>
          </w:p>
        </w:tc>
        <w:tc>
          <w:tcPr>
            <w:tcW w:w="1060" w:type="dxa"/>
            <w:tcBorders>
              <w:top w:val="nil"/>
              <w:left w:val="nil"/>
              <w:bottom w:val="single" w:sz="4"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59 571    </w:t>
            </w:r>
          </w:p>
        </w:tc>
        <w:tc>
          <w:tcPr>
            <w:tcW w:w="1060" w:type="dxa"/>
            <w:tcBorders>
              <w:top w:val="nil"/>
              <w:left w:val="nil"/>
              <w:bottom w:val="single" w:sz="4" w:space="0" w:color="auto"/>
              <w:right w:val="single" w:sz="4" w:space="0" w:color="auto"/>
            </w:tcBorders>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w:t>
            </w:r>
            <w:r w:rsidRPr="00B56FCF" w:rsidR="006F3E2D">
              <w:rPr>
                <w:rFonts w:ascii="Arial Narrow" w:hAnsi="Arial Narrow" w:cs="Arial Narrow"/>
                <w:color w:val="000000"/>
                <w:sz w:val="16"/>
                <w:szCs w:val="16"/>
                <w:lang w:eastAsia="sk-SK"/>
              </w:rPr>
              <w:t>79 803</w:t>
            </w:r>
            <w:r w:rsidRPr="00B56FCF">
              <w:rPr>
                <w:rFonts w:ascii="Arial Narrow" w:hAnsi="Arial Narrow" w:cs="Arial Narrow"/>
                <w:color w:val="000000"/>
                <w:sz w:val="16"/>
                <w:szCs w:val="16"/>
                <w:lang w:eastAsia="sk-SK"/>
              </w:rPr>
              <w:t xml:space="preserve">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w:t>
            </w:r>
            <w:r w:rsidRPr="00B56FCF" w:rsidR="006F3E2D">
              <w:rPr>
                <w:rFonts w:ascii="Arial Narrow" w:hAnsi="Arial Narrow" w:cs="Arial Narrow"/>
                <w:color w:val="000000"/>
                <w:sz w:val="16"/>
                <w:szCs w:val="16"/>
                <w:lang w:eastAsia="sk-SK"/>
              </w:rPr>
              <w:t>12 817</w:t>
            </w:r>
            <w:r w:rsidRPr="00B56FCF">
              <w:rPr>
                <w:rFonts w:ascii="Arial Narrow" w:hAnsi="Arial Narrow" w:cs="Arial Narrow"/>
                <w:color w:val="000000"/>
                <w:sz w:val="16"/>
                <w:szCs w:val="16"/>
                <w:lang w:eastAsia="sk-SK"/>
              </w:rPr>
              <w:t xml:space="preserve">    </w:t>
            </w:r>
          </w:p>
        </w:tc>
        <w:tc>
          <w:tcPr>
            <w:tcW w:w="977" w:type="dxa"/>
            <w:tcBorders>
              <w:top w:val="nil"/>
              <w:left w:val="nil"/>
              <w:bottom w:val="single" w:sz="4" w:space="0" w:color="auto"/>
              <w:right w:val="single" w:sz="8" w:space="0" w:color="auto"/>
            </w:tcBorders>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1</w:t>
            </w:r>
            <w:r w:rsidRPr="00B56FCF" w:rsidR="006F3E2D">
              <w:rPr>
                <w:rFonts w:ascii="Arial Narrow" w:hAnsi="Arial Narrow" w:cs="Arial Narrow"/>
                <w:color w:val="000000"/>
                <w:sz w:val="16"/>
                <w:szCs w:val="16"/>
                <w:lang w:eastAsia="sk-SK"/>
              </w:rPr>
              <w:t>23 944</w:t>
            </w:r>
            <w:r w:rsidRPr="00B56FCF">
              <w:rPr>
                <w:rFonts w:ascii="Arial Narrow" w:hAnsi="Arial Narrow" w:cs="Arial Narrow"/>
                <w:color w:val="000000"/>
                <w:sz w:val="16"/>
                <w:szCs w:val="16"/>
                <w:lang w:eastAsia="sk-SK"/>
              </w:rPr>
              <w:t xml:space="preserve">    </w:t>
            </w:r>
          </w:p>
        </w:tc>
      </w:tr>
      <w:tr>
        <w:tblPrEx>
          <w:tblW w:w="9077" w:type="dxa"/>
          <w:tblInd w:w="65" w:type="dxa"/>
          <w:tblCellMar>
            <w:left w:w="70" w:type="dxa"/>
            <w:right w:w="70" w:type="dxa"/>
          </w:tblCellMar>
          <w:tblLook w:val="00A0"/>
        </w:tblPrEx>
        <w:trPr>
          <w:trHeight w:val="315"/>
        </w:trPr>
        <w:tc>
          <w:tcPr>
            <w:tcW w:w="2800" w:type="dxa"/>
            <w:tcBorders>
              <w:top w:val="nil"/>
              <w:left w:val="single" w:sz="4" w:space="0" w:color="auto"/>
              <w:bottom w:val="single" w:sz="8" w:space="0" w:color="auto"/>
              <w:right w:val="single" w:sz="4" w:space="0" w:color="auto"/>
            </w:tcBorders>
            <w:textDirection w:val="lrTb"/>
            <w:vAlign w:val="center"/>
          </w:tcPr>
          <w:p w:rsidR="000604A9" w:rsidRPr="00B56FCF" w:rsidP="00062C83">
            <w:pPr>
              <w:bidi w:val="0"/>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Iné nedaňové príjmy</w:t>
            </w:r>
          </w:p>
        </w:tc>
        <w:tc>
          <w:tcPr>
            <w:tcW w:w="1060" w:type="dxa"/>
            <w:tcBorders>
              <w:top w:val="nil"/>
              <w:left w:val="nil"/>
              <w:bottom w:val="single" w:sz="8"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235 260    </w:t>
            </w:r>
          </w:p>
        </w:tc>
        <w:tc>
          <w:tcPr>
            <w:tcW w:w="1060" w:type="dxa"/>
            <w:tcBorders>
              <w:top w:val="nil"/>
              <w:left w:val="nil"/>
              <w:bottom w:val="single" w:sz="8"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298 480    </w:t>
            </w:r>
          </w:p>
        </w:tc>
        <w:tc>
          <w:tcPr>
            <w:tcW w:w="1060" w:type="dxa"/>
            <w:tcBorders>
              <w:top w:val="nil"/>
              <w:left w:val="nil"/>
              <w:bottom w:val="single" w:sz="8"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234 850    </w:t>
            </w:r>
          </w:p>
        </w:tc>
        <w:tc>
          <w:tcPr>
            <w:tcW w:w="1060" w:type="dxa"/>
            <w:tcBorders>
              <w:top w:val="nil"/>
              <w:left w:val="nil"/>
              <w:bottom w:val="single" w:sz="8" w:space="0" w:color="auto"/>
              <w:right w:val="single" w:sz="4" w:space="0" w:color="auto"/>
            </w:tcBorders>
            <w:textDirection w:val="lrTb"/>
            <w:vAlign w:val="center"/>
          </w:tcPr>
          <w:p w:rsidR="000604A9" w:rsidRPr="00B56FCF" w:rsidP="00062C83">
            <w:pPr>
              <w:bidi w:val="0"/>
              <w:jc w:val="right"/>
              <w:rPr>
                <w:rFonts w:ascii="Arial Narrow" w:hAnsi="Arial Narrow" w:cs="Arial Narrow"/>
                <w:color w:val="000000"/>
                <w:sz w:val="16"/>
                <w:szCs w:val="16"/>
                <w:lang w:eastAsia="sk-SK"/>
              </w:rPr>
            </w:pPr>
            <w:r w:rsidRPr="00B56FCF" w:rsidR="006F3E2D">
              <w:rPr>
                <w:rFonts w:ascii="Arial Narrow" w:hAnsi="Arial Narrow" w:cs="Arial Narrow"/>
                <w:color w:val="000000"/>
                <w:sz w:val="16"/>
                <w:szCs w:val="16"/>
                <w:lang w:eastAsia="sk-SK"/>
              </w:rPr>
              <w:t>216 628</w:t>
            </w:r>
            <w:r w:rsidRPr="00B56FCF">
              <w:rPr>
                <w:rFonts w:ascii="Arial Narrow" w:hAnsi="Arial Narrow" w:cs="Arial Narrow"/>
                <w:color w:val="000000"/>
                <w:sz w:val="16"/>
                <w:szCs w:val="16"/>
                <w:lang w:eastAsia="sk-SK"/>
              </w:rPr>
              <w:t xml:space="preserve">    </w:t>
            </w:r>
          </w:p>
        </w:tc>
        <w:tc>
          <w:tcPr>
            <w:tcW w:w="1060" w:type="dxa"/>
            <w:tcBorders>
              <w:top w:val="nil"/>
              <w:left w:val="nil"/>
              <w:bottom w:val="single" w:sz="8" w:space="0" w:color="auto"/>
              <w:right w:val="single" w:sz="4" w:space="0" w:color="auto"/>
            </w:tcBorders>
            <w:textDirection w:val="lrTb"/>
            <w:vAlign w:val="center"/>
          </w:tcPr>
          <w:p w:rsidR="000604A9" w:rsidRPr="00B56FCF"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21</w:t>
            </w:r>
            <w:r w:rsidRPr="00B56FCF" w:rsidR="006F3E2D">
              <w:rPr>
                <w:rFonts w:ascii="Arial Narrow" w:hAnsi="Arial Narrow" w:cs="Arial Narrow"/>
                <w:color w:val="000000"/>
                <w:sz w:val="16"/>
                <w:szCs w:val="16"/>
                <w:lang w:eastAsia="sk-SK"/>
              </w:rPr>
              <w:t>4</w:t>
            </w:r>
            <w:r w:rsidRPr="00B56FCF">
              <w:rPr>
                <w:rFonts w:ascii="Arial Narrow" w:hAnsi="Arial Narrow" w:cs="Arial Narrow"/>
                <w:color w:val="000000"/>
                <w:sz w:val="16"/>
                <w:szCs w:val="16"/>
                <w:lang w:eastAsia="sk-SK"/>
              </w:rPr>
              <w:t xml:space="preserve"> 735    </w:t>
            </w:r>
          </w:p>
        </w:tc>
        <w:tc>
          <w:tcPr>
            <w:tcW w:w="977" w:type="dxa"/>
            <w:tcBorders>
              <w:top w:val="nil"/>
              <w:left w:val="nil"/>
              <w:bottom w:val="single" w:sz="8" w:space="0" w:color="auto"/>
              <w:right w:val="single" w:sz="8" w:space="0" w:color="auto"/>
            </w:tcBorders>
            <w:textDirection w:val="lrTb"/>
            <w:vAlign w:val="center"/>
          </w:tcPr>
          <w:p w:rsidR="000604A9" w:rsidRPr="00CC6B02" w:rsidP="006F3E2D">
            <w:pPr>
              <w:bidi w:val="0"/>
              <w:jc w:val="right"/>
              <w:rPr>
                <w:rFonts w:ascii="Arial Narrow" w:hAnsi="Arial Narrow" w:cs="Arial Narrow"/>
                <w:color w:val="000000"/>
                <w:sz w:val="16"/>
                <w:szCs w:val="16"/>
                <w:lang w:eastAsia="sk-SK"/>
              </w:rPr>
            </w:pPr>
            <w:r w:rsidRPr="00B56FCF">
              <w:rPr>
                <w:rFonts w:ascii="Arial Narrow" w:hAnsi="Arial Narrow" w:cs="Arial Narrow"/>
                <w:color w:val="000000"/>
                <w:sz w:val="16"/>
                <w:szCs w:val="16"/>
                <w:lang w:eastAsia="sk-SK"/>
              </w:rPr>
              <w:t xml:space="preserve">      21</w:t>
            </w:r>
            <w:r w:rsidRPr="00B56FCF" w:rsidR="006F3E2D">
              <w:rPr>
                <w:rFonts w:ascii="Arial Narrow" w:hAnsi="Arial Narrow" w:cs="Arial Narrow"/>
                <w:color w:val="000000"/>
                <w:sz w:val="16"/>
                <w:szCs w:val="16"/>
                <w:lang w:eastAsia="sk-SK"/>
              </w:rPr>
              <w:t>5</w:t>
            </w:r>
            <w:r w:rsidRPr="00B56FCF">
              <w:rPr>
                <w:rFonts w:ascii="Arial Narrow" w:hAnsi="Arial Narrow" w:cs="Arial Narrow"/>
                <w:color w:val="000000"/>
                <w:sz w:val="16"/>
                <w:szCs w:val="16"/>
                <w:lang w:eastAsia="sk-SK"/>
              </w:rPr>
              <w:t xml:space="preserve"> 918</w:t>
            </w:r>
            <w:r w:rsidRPr="00CC6B02">
              <w:rPr>
                <w:rFonts w:ascii="Arial Narrow" w:hAnsi="Arial Narrow" w:cs="Arial Narrow"/>
                <w:color w:val="000000"/>
                <w:sz w:val="16"/>
                <w:szCs w:val="16"/>
                <w:lang w:eastAsia="sk-SK"/>
              </w:rPr>
              <w:t xml:space="preserve">    </w:t>
            </w:r>
          </w:p>
        </w:tc>
      </w:tr>
    </w:tbl>
    <w:p w:rsidR="000604A9" w:rsidP="000604A9">
      <w:pPr>
        <w:bidi w:val="0"/>
        <w:ind w:firstLine="708"/>
        <w:jc w:val="both"/>
        <w:rPr>
          <w:rFonts w:ascii="Arial Narrow" w:hAnsi="Arial Narrow" w:cs="Arial Narrow"/>
          <w:b/>
          <w:bCs/>
          <w:sz w:val="22"/>
          <w:szCs w:val="22"/>
        </w:rPr>
      </w:pPr>
    </w:p>
    <w:p w:rsidR="000604A9" w:rsidP="000604A9">
      <w:pPr>
        <w:bidi w:val="0"/>
        <w:ind w:firstLine="708"/>
        <w:jc w:val="both"/>
        <w:rPr>
          <w:rFonts w:ascii="Arial Narrow" w:hAnsi="Arial Narrow" w:cs="Arial Narrow"/>
          <w:sz w:val="22"/>
          <w:szCs w:val="22"/>
        </w:rPr>
      </w:pPr>
      <w:r w:rsidRPr="00BC499A">
        <w:rPr>
          <w:rFonts w:ascii="Arial Narrow" w:hAnsi="Arial Narrow" w:cs="Arial Narrow"/>
          <w:b/>
          <w:bCs/>
          <w:sz w:val="22"/>
          <w:szCs w:val="22"/>
        </w:rPr>
        <w:t xml:space="preserve">A. Príjmy z podnikania a z vlastníctva majetku </w:t>
      </w:r>
      <w:r w:rsidRPr="00BC499A">
        <w:rPr>
          <w:rFonts w:ascii="Arial Narrow" w:hAnsi="Arial Narrow" w:cs="Arial Narrow"/>
          <w:sz w:val="22"/>
          <w:szCs w:val="22"/>
        </w:rPr>
        <w:t xml:space="preserve">sa rozpočtujú vo výške </w:t>
      </w:r>
      <w:r w:rsidR="006F3E2D">
        <w:rPr>
          <w:rFonts w:ascii="Arial Narrow" w:hAnsi="Arial Narrow" w:cs="Arial Narrow"/>
          <w:sz w:val="22"/>
          <w:szCs w:val="22"/>
        </w:rPr>
        <w:t>99</w:t>
      </w:r>
      <w:r>
        <w:rPr>
          <w:rFonts w:ascii="Arial Narrow" w:hAnsi="Arial Narrow" w:cs="Arial Narrow"/>
          <w:sz w:val="22"/>
          <w:szCs w:val="22"/>
        </w:rPr>
        <w:t> 710 tis. eur v roku 2011</w:t>
      </w:r>
      <w:r w:rsidRPr="00BC499A">
        <w:rPr>
          <w:rFonts w:ascii="Arial Narrow" w:hAnsi="Arial Narrow" w:cs="Arial Narrow"/>
          <w:sz w:val="22"/>
          <w:szCs w:val="22"/>
        </w:rPr>
        <w:t>,</w:t>
      </w:r>
      <w:r>
        <w:rPr>
          <w:rFonts w:ascii="Arial Narrow" w:hAnsi="Arial Narrow" w:cs="Arial Narrow"/>
          <w:sz w:val="22"/>
          <w:szCs w:val="22"/>
        </w:rPr>
        <w:t xml:space="preserve">      </w:t>
      </w:r>
      <w:r w:rsidRPr="00BC499A">
        <w:rPr>
          <w:rFonts w:ascii="Arial Narrow" w:hAnsi="Arial Narrow" w:cs="Arial Narrow"/>
          <w:sz w:val="22"/>
          <w:szCs w:val="22"/>
        </w:rPr>
        <w:t xml:space="preserve"> </w:t>
      </w:r>
      <w:r w:rsidR="006F3E2D">
        <w:rPr>
          <w:rFonts w:ascii="Arial Narrow" w:hAnsi="Arial Narrow" w:cs="Arial Narrow"/>
          <w:sz w:val="22"/>
          <w:szCs w:val="22"/>
        </w:rPr>
        <w:t>58</w:t>
      </w:r>
      <w:r>
        <w:rPr>
          <w:rFonts w:ascii="Arial Narrow" w:hAnsi="Arial Narrow" w:cs="Arial Narrow"/>
          <w:sz w:val="22"/>
          <w:szCs w:val="22"/>
        </w:rPr>
        <w:t> 854 tis. eur v roku 2012</w:t>
      </w:r>
      <w:r w:rsidRPr="00BC499A">
        <w:rPr>
          <w:rFonts w:ascii="Arial Narrow" w:hAnsi="Arial Narrow" w:cs="Arial Narrow"/>
          <w:sz w:val="22"/>
          <w:szCs w:val="22"/>
        </w:rPr>
        <w:t xml:space="preserve"> a</w:t>
      </w:r>
      <w:r w:rsidR="006F3E2D">
        <w:rPr>
          <w:rFonts w:ascii="Arial Narrow" w:hAnsi="Arial Narrow" w:cs="Arial Narrow"/>
          <w:sz w:val="22"/>
          <w:szCs w:val="22"/>
        </w:rPr>
        <w:t> 68 763</w:t>
      </w:r>
      <w:r>
        <w:rPr>
          <w:rFonts w:ascii="Arial Narrow" w:hAnsi="Arial Narrow" w:cs="Arial Narrow"/>
          <w:sz w:val="22"/>
          <w:szCs w:val="22"/>
        </w:rPr>
        <w:t xml:space="preserve"> tis. eur v roku 2013</w:t>
      </w:r>
      <w:r w:rsidRPr="00BC499A">
        <w:rPr>
          <w:rFonts w:ascii="Arial Narrow" w:hAnsi="Arial Narrow" w:cs="Arial Narrow"/>
          <w:sz w:val="22"/>
          <w:szCs w:val="22"/>
        </w:rPr>
        <w:t xml:space="preserve"> a vznikajú z vlastníctva majetku a podnikania. Majú podobu dividend,</w:t>
      </w:r>
      <w:r>
        <w:rPr>
          <w:rFonts w:ascii="Arial Narrow" w:hAnsi="Arial Narrow" w:cs="Arial Narrow"/>
          <w:sz w:val="22"/>
          <w:szCs w:val="22"/>
        </w:rPr>
        <w:t xml:space="preserve"> </w:t>
      </w:r>
      <w:r w:rsidRPr="00BC499A">
        <w:rPr>
          <w:rFonts w:ascii="Arial Narrow" w:hAnsi="Arial Narrow" w:cs="Arial Narrow"/>
          <w:sz w:val="22"/>
          <w:szCs w:val="22"/>
        </w:rPr>
        <w:t xml:space="preserve"> nájomného</w:t>
      </w:r>
      <w:r>
        <w:rPr>
          <w:rFonts w:ascii="Arial Narrow" w:hAnsi="Arial Narrow" w:cs="Arial Narrow"/>
          <w:sz w:val="22"/>
          <w:szCs w:val="22"/>
        </w:rPr>
        <w:t xml:space="preserve"> </w:t>
      </w:r>
      <w:r w:rsidRPr="00BC499A">
        <w:rPr>
          <w:rFonts w:ascii="Arial Narrow" w:hAnsi="Arial Narrow" w:cs="Arial Narrow"/>
          <w:sz w:val="22"/>
          <w:szCs w:val="22"/>
        </w:rPr>
        <w:t>z</w:t>
      </w:r>
      <w:r>
        <w:rPr>
          <w:rFonts w:ascii="Arial Narrow" w:hAnsi="Arial Narrow" w:cs="Arial Narrow"/>
          <w:sz w:val="22"/>
          <w:szCs w:val="22"/>
        </w:rPr>
        <w:t xml:space="preserve"> </w:t>
      </w:r>
      <w:r w:rsidRPr="00BC499A">
        <w:rPr>
          <w:rFonts w:ascii="Arial Narrow" w:hAnsi="Arial Narrow" w:cs="Arial Narrow"/>
          <w:sz w:val="22"/>
          <w:szCs w:val="22"/>
        </w:rPr>
        <w:t>prenájmu</w:t>
      </w:r>
      <w:r>
        <w:rPr>
          <w:rFonts w:ascii="Arial Narrow" w:hAnsi="Arial Narrow" w:cs="Arial Narrow"/>
          <w:sz w:val="22"/>
          <w:szCs w:val="22"/>
        </w:rPr>
        <w:t xml:space="preserve"> </w:t>
      </w:r>
      <w:r w:rsidRPr="00BC499A">
        <w:rPr>
          <w:rFonts w:ascii="Arial Narrow" w:hAnsi="Arial Narrow" w:cs="Arial Narrow"/>
          <w:sz w:val="22"/>
          <w:szCs w:val="22"/>
        </w:rPr>
        <w:t>p</w:t>
      </w:r>
      <w:r>
        <w:rPr>
          <w:rFonts w:ascii="Arial Narrow" w:hAnsi="Arial Narrow" w:cs="Arial Narrow"/>
          <w:sz w:val="22"/>
          <w:szCs w:val="22"/>
        </w:rPr>
        <w:t xml:space="preserve">ozemkov, budov, strojov a pod. </w:t>
      </w:r>
      <w:r w:rsidRPr="00194186">
        <w:rPr>
          <w:rFonts w:ascii="Arial Narrow" w:hAnsi="Arial Narrow" w:cs="Arial Narrow"/>
          <w:sz w:val="22"/>
          <w:szCs w:val="22"/>
        </w:rPr>
        <w:t>V</w:t>
      </w:r>
      <w:r w:rsidR="009A4719">
        <w:rPr>
          <w:rFonts w:ascii="Arial Narrow" w:hAnsi="Arial Narrow" w:cs="Arial Narrow"/>
          <w:sz w:val="22"/>
          <w:szCs w:val="22"/>
        </w:rPr>
        <w:t xml:space="preserve"> </w:t>
      </w:r>
      <w:r w:rsidRPr="00194186">
        <w:rPr>
          <w:rFonts w:ascii="Arial Narrow" w:hAnsi="Arial Narrow" w:cs="Arial Narrow"/>
          <w:sz w:val="22"/>
          <w:szCs w:val="22"/>
        </w:rPr>
        <w:t>roku</w:t>
      </w:r>
      <w:r>
        <w:rPr>
          <w:rFonts w:ascii="Arial Narrow" w:hAnsi="Arial Narrow" w:cs="Arial Narrow"/>
          <w:sz w:val="22"/>
          <w:szCs w:val="22"/>
        </w:rPr>
        <w:t> </w:t>
      </w:r>
      <w:r w:rsidRPr="00194186">
        <w:rPr>
          <w:rFonts w:ascii="Arial Narrow" w:hAnsi="Arial Narrow" w:cs="Arial Narrow"/>
          <w:sz w:val="22"/>
          <w:szCs w:val="22"/>
        </w:rPr>
        <w:t>2011</w:t>
      </w:r>
      <w:r>
        <w:rPr>
          <w:rFonts w:ascii="Arial Narrow" w:hAnsi="Arial Narrow" w:cs="Arial Narrow"/>
          <w:sz w:val="22"/>
          <w:szCs w:val="22"/>
        </w:rPr>
        <w:t> </w:t>
      </w:r>
      <w:r w:rsidRPr="00194186">
        <w:rPr>
          <w:rFonts w:ascii="Arial Narrow" w:hAnsi="Arial Narrow" w:cs="Arial Narrow"/>
          <w:sz w:val="22"/>
          <w:szCs w:val="22"/>
        </w:rPr>
        <w:t>dochádza</w:t>
      </w:r>
      <w:r>
        <w:rPr>
          <w:rFonts w:ascii="Arial Narrow" w:hAnsi="Arial Narrow" w:cs="Arial Narrow"/>
          <w:sz w:val="22"/>
          <w:szCs w:val="22"/>
        </w:rPr>
        <w:t xml:space="preserve"> pri uvedených príjmoch </w:t>
      </w:r>
      <w:r w:rsidRPr="00194186">
        <w:rPr>
          <w:rFonts w:ascii="Arial Narrow" w:hAnsi="Arial Narrow" w:cs="Arial Narrow"/>
          <w:sz w:val="22"/>
          <w:szCs w:val="22"/>
        </w:rPr>
        <w:t xml:space="preserve">v porovnaní s očakávanou skutočnosťou </w:t>
      </w:r>
      <w:r>
        <w:rPr>
          <w:rFonts w:ascii="Arial Narrow" w:hAnsi="Arial Narrow" w:cs="Arial Narrow"/>
          <w:sz w:val="22"/>
          <w:szCs w:val="22"/>
        </w:rPr>
        <w:t xml:space="preserve">roku </w:t>
      </w:r>
      <w:r w:rsidRPr="00194186">
        <w:rPr>
          <w:rFonts w:ascii="Arial Narrow" w:hAnsi="Arial Narrow" w:cs="Arial Narrow"/>
          <w:sz w:val="22"/>
          <w:szCs w:val="22"/>
        </w:rPr>
        <w:t>2010 k nárastu o</w:t>
      </w:r>
      <w:r w:rsidR="00AC367B">
        <w:rPr>
          <w:rFonts w:ascii="Arial Narrow" w:hAnsi="Arial Narrow" w:cs="Arial Narrow"/>
          <w:sz w:val="22"/>
          <w:szCs w:val="22"/>
        </w:rPr>
        <w:t> 40</w:t>
      </w:r>
      <w:r>
        <w:rPr>
          <w:rFonts w:ascii="Arial Narrow" w:hAnsi="Arial Narrow" w:cs="Arial Narrow"/>
          <w:sz w:val="22"/>
          <w:szCs w:val="22"/>
        </w:rPr>
        <w:t>,</w:t>
      </w:r>
      <w:r w:rsidR="00AC367B">
        <w:rPr>
          <w:rFonts w:ascii="Arial Narrow" w:hAnsi="Arial Narrow" w:cs="Arial Narrow"/>
          <w:sz w:val="22"/>
          <w:szCs w:val="22"/>
        </w:rPr>
        <w:t>6</w:t>
      </w:r>
      <w:r>
        <w:rPr>
          <w:rFonts w:ascii="Arial Narrow" w:hAnsi="Arial Narrow" w:cs="Arial Narrow"/>
          <w:sz w:val="22"/>
          <w:szCs w:val="22"/>
        </w:rPr>
        <w:t> %. Uvedený nárast vyplýva predovšetkým zo zvýšených príjmov z dividend od spoločnosti Slovak Tele</w:t>
      </w:r>
      <w:r w:rsidR="009F2851">
        <w:rPr>
          <w:rFonts w:ascii="Arial Narrow" w:hAnsi="Arial Narrow" w:cs="Arial Narrow"/>
          <w:sz w:val="22"/>
          <w:szCs w:val="22"/>
        </w:rPr>
        <w:t>k</w:t>
      </w:r>
      <w:r>
        <w:rPr>
          <w:rFonts w:ascii="Arial Narrow" w:hAnsi="Arial Narrow" w:cs="Arial Narrow"/>
          <w:sz w:val="22"/>
          <w:szCs w:val="22"/>
        </w:rPr>
        <w:t>om, a.</w:t>
      </w:r>
      <w:r w:rsidR="00557E85">
        <w:rPr>
          <w:rFonts w:ascii="Arial Narrow" w:hAnsi="Arial Narrow" w:cs="Arial Narrow"/>
          <w:sz w:val="22"/>
          <w:szCs w:val="22"/>
        </w:rPr>
        <w:t xml:space="preserve"> </w:t>
      </w:r>
      <w:r>
        <w:rPr>
          <w:rFonts w:ascii="Arial Narrow" w:hAnsi="Arial Narrow" w:cs="Arial Narrow"/>
          <w:sz w:val="22"/>
          <w:szCs w:val="22"/>
        </w:rPr>
        <w:t xml:space="preserve">s. v pôsobnosti Ministerstva hospodárstva a výstavby SR. </w:t>
      </w:r>
    </w:p>
    <w:p w:rsidR="000604A9" w:rsidP="000604A9">
      <w:pPr>
        <w:bidi w:val="0"/>
        <w:jc w:val="both"/>
        <w:rPr>
          <w:rFonts w:ascii="Arial Narrow" w:hAnsi="Arial Narrow" w:cs="Arial Narrow"/>
          <w:sz w:val="22"/>
          <w:szCs w:val="22"/>
        </w:rPr>
      </w:pPr>
    </w:p>
    <w:tbl>
      <w:tblPr>
        <w:tblStyle w:val="TableNormal"/>
        <w:tblW w:w="9100" w:type="dxa"/>
        <w:tblInd w:w="60" w:type="dxa"/>
        <w:tblCellMar>
          <w:left w:w="70" w:type="dxa"/>
          <w:right w:w="70" w:type="dxa"/>
        </w:tblCellMar>
        <w:tblLook w:val="00A0"/>
      </w:tblPr>
      <w:tblGrid>
        <w:gridCol w:w="3940"/>
        <w:gridCol w:w="860"/>
        <w:gridCol w:w="860"/>
        <w:gridCol w:w="860"/>
        <w:gridCol w:w="860"/>
        <w:gridCol w:w="860"/>
        <w:gridCol w:w="860"/>
      </w:tblGrid>
      <w:tr>
        <w:tblPrEx>
          <w:tblW w:w="9100" w:type="dxa"/>
          <w:tblInd w:w="60" w:type="dxa"/>
          <w:tblCellMar>
            <w:left w:w="70" w:type="dxa"/>
            <w:right w:w="70" w:type="dxa"/>
          </w:tblCellMar>
          <w:tblLook w:val="00A0"/>
        </w:tblPrEx>
        <w:trPr>
          <w:trHeight w:val="340"/>
        </w:trPr>
        <w:tc>
          <w:tcPr>
            <w:tcW w:w="3940"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CC6B02" w:rsidP="00062C83">
            <w:pPr>
              <w:bidi w:val="0"/>
              <w:jc w:val="both"/>
              <w:rPr>
                <w:rFonts w:ascii="Arial Narrow" w:hAnsi="Arial Narrow" w:cs="Arial Narrow"/>
                <w:sz w:val="16"/>
                <w:szCs w:val="16"/>
                <w:lang w:eastAsia="sk-SK"/>
              </w:rPr>
            </w:pPr>
            <w:r w:rsidRPr="00CC6B02">
              <w:rPr>
                <w:rFonts w:ascii="Arial Narrow" w:hAnsi="Arial Narrow" w:cs="Arial Narrow"/>
                <w:sz w:val="16"/>
                <w:szCs w:val="16"/>
                <w:lang w:eastAsia="sk-SK"/>
              </w:rPr>
              <w:t>(v tis. eur)</w:t>
            </w:r>
          </w:p>
        </w:tc>
        <w:tc>
          <w:tcPr>
            <w:tcW w:w="8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2008 S</w:t>
            </w:r>
          </w:p>
        </w:tc>
        <w:tc>
          <w:tcPr>
            <w:tcW w:w="8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2009 S</w:t>
            </w:r>
          </w:p>
        </w:tc>
        <w:tc>
          <w:tcPr>
            <w:tcW w:w="8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2010 OS</w:t>
            </w:r>
          </w:p>
        </w:tc>
        <w:tc>
          <w:tcPr>
            <w:tcW w:w="8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2011 N</w:t>
            </w:r>
          </w:p>
        </w:tc>
        <w:tc>
          <w:tcPr>
            <w:tcW w:w="8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2012 N</w:t>
            </w:r>
          </w:p>
        </w:tc>
        <w:tc>
          <w:tcPr>
            <w:tcW w:w="860"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CC6B02" w:rsidP="00062C83">
            <w:pPr>
              <w:bidi w:val="0"/>
              <w:jc w:val="center"/>
              <w:rPr>
                <w:rFonts w:ascii="Arial Narrow" w:hAnsi="Arial Narrow" w:cs="Arial Narrow"/>
                <w:b/>
                <w:bCs/>
                <w:sz w:val="16"/>
                <w:szCs w:val="16"/>
                <w:lang w:eastAsia="sk-SK"/>
              </w:rPr>
            </w:pPr>
            <w:r w:rsidRPr="00CC6B02">
              <w:rPr>
                <w:rFonts w:ascii="Arial Narrow" w:hAnsi="Arial Narrow" w:cs="Arial Narrow"/>
                <w:b/>
                <w:bCs/>
                <w:sz w:val="16"/>
                <w:szCs w:val="16"/>
                <w:lang w:eastAsia="sk-SK"/>
              </w:rPr>
              <w:t>2013 N</w:t>
            </w:r>
          </w:p>
        </w:tc>
      </w:tr>
      <w:tr>
        <w:tblPrEx>
          <w:tblW w:w="9100" w:type="dxa"/>
          <w:tblInd w:w="60" w:type="dxa"/>
          <w:tblCellMar>
            <w:left w:w="70" w:type="dxa"/>
            <w:right w:w="70" w:type="dxa"/>
          </w:tblCellMar>
          <w:tblLook w:val="00A0"/>
        </w:tblPrEx>
        <w:trPr>
          <w:trHeight w:val="340"/>
        </w:trPr>
        <w:tc>
          <w:tcPr>
            <w:tcW w:w="3940" w:type="dxa"/>
            <w:tcBorders>
              <w:top w:val="single" w:sz="8" w:space="0" w:color="auto"/>
              <w:left w:val="single" w:sz="8" w:space="0" w:color="auto"/>
              <w:bottom w:val="single" w:sz="4" w:space="0" w:color="auto"/>
              <w:right w:val="single" w:sz="4" w:space="0" w:color="auto"/>
            </w:tcBorders>
            <w:shd w:val="clear" w:color="000000" w:fill="BFBFBF"/>
            <w:textDirection w:val="lrTb"/>
            <w:vAlign w:val="center"/>
          </w:tcPr>
          <w:p w:rsidR="000604A9" w:rsidRPr="00CC6B02" w:rsidP="00062C83">
            <w:pPr>
              <w:bidi w:val="0"/>
              <w:jc w:val="both"/>
              <w:rPr>
                <w:rFonts w:ascii="Arial Narrow" w:hAnsi="Arial Narrow" w:cs="Arial Narrow"/>
                <w:b/>
                <w:bCs/>
                <w:sz w:val="16"/>
                <w:szCs w:val="16"/>
                <w:lang w:eastAsia="sk-SK"/>
              </w:rPr>
            </w:pPr>
            <w:r w:rsidRPr="00CC6B02">
              <w:rPr>
                <w:rFonts w:ascii="Arial Narrow" w:hAnsi="Arial Narrow" w:cs="Arial Narrow"/>
                <w:b/>
                <w:bCs/>
                <w:sz w:val="16"/>
                <w:szCs w:val="16"/>
                <w:lang w:eastAsia="sk-SK"/>
              </w:rPr>
              <w:t>Príjmy z podnikania - dividendy</w:t>
            </w:r>
          </w:p>
        </w:tc>
        <w:tc>
          <w:tcPr>
            <w:tcW w:w="8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CC6B02" w:rsidP="00062C83">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 xml:space="preserve">49 299 </w:t>
            </w:r>
          </w:p>
        </w:tc>
        <w:tc>
          <w:tcPr>
            <w:tcW w:w="8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CC6B02" w:rsidP="00062C83">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 xml:space="preserve">137 740 </w:t>
            </w:r>
          </w:p>
        </w:tc>
        <w:tc>
          <w:tcPr>
            <w:tcW w:w="8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CC6B02" w:rsidP="00062C83">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 xml:space="preserve">63 158 </w:t>
            </w:r>
          </w:p>
        </w:tc>
        <w:tc>
          <w:tcPr>
            <w:tcW w:w="8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CC6B02" w:rsidP="00AC367B">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9</w:t>
            </w:r>
            <w:r w:rsidR="00AC367B">
              <w:rPr>
                <w:rFonts w:ascii="Arial Narrow" w:hAnsi="Arial Narrow" w:cs="Arial Narrow"/>
                <w:b/>
                <w:bCs/>
                <w:sz w:val="16"/>
                <w:szCs w:val="16"/>
                <w:lang w:eastAsia="sk-SK"/>
              </w:rPr>
              <w:t>2</w:t>
            </w:r>
            <w:r w:rsidRPr="00CC6B02">
              <w:rPr>
                <w:rFonts w:ascii="Arial Narrow" w:hAnsi="Arial Narrow" w:cs="Arial Narrow"/>
                <w:b/>
                <w:bCs/>
                <w:sz w:val="16"/>
                <w:szCs w:val="16"/>
                <w:lang w:eastAsia="sk-SK"/>
              </w:rPr>
              <w:t xml:space="preserve"> 212 </w:t>
            </w:r>
          </w:p>
        </w:tc>
        <w:tc>
          <w:tcPr>
            <w:tcW w:w="8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CC6B02" w:rsidP="00AC367B">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5</w:t>
            </w:r>
            <w:r w:rsidR="00AC367B">
              <w:rPr>
                <w:rFonts w:ascii="Arial Narrow" w:hAnsi="Arial Narrow" w:cs="Arial Narrow"/>
                <w:b/>
                <w:bCs/>
                <w:sz w:val="16"/>
                <w:szCs w:val="16"/>
                <w:lang w:eastAsia="sk-SK"/>
              </w:rPr>
              <w:t>1</w:t>
            </w:r>
            <w:r w:rsidRPr="00CC6B02">
              <w:rPr>
                <w:rFonts w:ascii="Arial Narrow" w:hAnsi="Arial Narrow" w:cs="Arial Narrow"/>
                <w:b/>
                <w:bCs/>
                <w:sz w:val="16"/>
                <w:szCs w:val="16"/>
                <w:lang w:eastAsia="sk-SK"/>
              </w:rPr>
              <w:t xml:space="preserve"> 261 </w:t>
            </w:r>
          </w:p>
        </w:tc>
        <w:tc>
          <w:tcPr>
            <w:tcW w:w="860" w:type="dxa"/>
            <w:tcBorders>
              <w:top w:val="single" w:sz="8" w:space="0" w:color="auto"/>
              <w:left w:val="nil"/>
              <w:bottom w:val="single" w:sz="4" w:space="0" w:color="auto"/>
              <w:right w:val="single" w:sz="8" w:space="0" w:color="auto"/>
            </w:tcBorders>
            <w:shd w:val="clear" w:color="000000" w:fill="BFBFBF"/>
            <w:textDirection w:val="lrTb"/>
            <w:vAlign w:val="center"/>
          </w:tcPr>
          <w:p w:rsidR="000604A9" w:rsidRPr="00CC6B02" w:rsidP="00AC367B">
            <w:pPr>
              <w:bidi w:val="0"/>
              <w:jc w:val="right"/>
              <w:rPr>
                <w:rFonts w:ascii="Arial Narrow" w:hAnsi="Arial Narrow" w:cs="Arial Narrow"/>
                <w:b/>
                <w:bCs/>
                <w:sz w:val="16"/>
                <w:szCs w:val="16"/>
                <w:lang w:eastAsia="sk-SK"/>
              </w:rPr>
            </w:pPr>
            <w:r w:rsidRPr="00CC6B02">
              <w:rPr>
                <w:rFonts w:ascii="Arial Narrow" w:hAnsi="Arial Narrow" w:cs="Arial Narrow"/>
                <w:b/>
                <w:bCs/>
                <w:sz w:val="16"/>
                <w:szCs w:val="16"/>
                <w:lang w:eastAsia="sk-SK"/>
              </w:rPr>
              <w:t>6</w:t>
            </w:r>
            <w:r w:rsidR="00AC367B">
              <w:rPr>
                <w:rFonts w:ascii="Arial Narrow" w:hAnsi="Arial Narrow" w:cs="Arial Narrow"/>
                <w:b/>
                <w:bCs/>
                <w:sz w:val="16"/>
                <w:szCs w:val="16"/>
                <w:lang w:eastAsia="sk-SK"/>
              </w:rPr>
              <w:t>1</w:t>
            </w:r>
            <w:r w:rsidRPr="00CC6B02">
              <w:rPr>
                <w:rFonts w:ascii="Arial Narrow" w:hAnsi="Arial Narrow" w:cs="Arial Narrow"/>
                <w:b/>
                <w:bCs/>
                <w:sz w:val="16"/>
                <w:szCs w:val="16"/>
                <w:lang w:eastAsia="sk-SK"/>
              </w:rPr>
              <w:t xml:space="preserve"> 163 </w:t>
            </w:r>
          </w:p>
        </w:tc>
      </w:tr>
      <w:tr>
        <w:tblPrEx>
          <w:tblW w:w="9100" w:type="dxa"/>
          <w:tblInd w:w="60" w:type="dxa"/>
          <w:tblCellMar>
            <w:left w:w="70" w:type="dxa"/>
            <w:right w:w="70" w:type="dxa"/>
          </w:tblCellMar>
          <w:tblLook w:val="00A0"/>
        </w:tblPrEx>
        <w:trPr>
          <w:trHeight w:val="340"/>
        </w:trPr>
        <w:tc>
          <w:tcPr>
            <w:tcW w:w="3940" w:type="dxa"/>
            <w:tcBorders>
              <w:top w:val="single" w:sz="4" w:space="0" w:color="auto"/>
              <w:left w:val="single" w:sz="8" w:space="0" w:color="auto"/>
              <w:bottom w:val="single" w:sz="4" w:space="0" w:color="auto"/>
              <w:right w:val="single" w:sz="4" w:space="0" w:color="auto"/>
            </w:tcBorders>
            <w:textDirection w:val="lrTb"/>
            <w:vAlign w:val="center"/>
          </w:tcPr>
          <w:p w:rsidR="000604A9" w:rsidRPr="00CC6B02" w:rsidP="00062C83">
            <w:pPr>
              <w:bidi w:val="0"/>
              <w:jc w:val="both"/>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Ministerstvo financií SR</w:t>
            </w:r>
          </w:p>
        </w:tc>
        <w:tc>
          <w:tcPr>
            <w:tcW w:w="860" w:type="dxa"/>
            <w:tcBorders>
              <w:top w:val="single" w:sz="4" w:space="0" w:color="auto"/>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6 639 </w:t>
            </w:r>
          </w:p>
        </w:tc>
        <w:tc>
          <w:tcPr>
            <w:tcW w:w="860" w:type="dxa"/>
            <w:tcBorders>
              <w:top w:val="single" w:sz="4" w:space="0" w:color="auto"/>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3 735 </w:t>
            </w:r>
          </w:p>
        </w:tc>
        <w:tc>
          <w:tcPr>
            <w:tcW w:w="860" w:type="dxa"/>
            <w:tcBorders>
              <w:top w:val="single" w:sz="4" w:space="0" w:color="auto"/>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15 139 </w:t>
            </w:r>
          </w:p>
        </w:tc>
        <w:tc>
          <w:tcPr>
            <w:tcW w:w="860" w:type="dxa"/>
            <w:tcBorders>
              <w:top w:val="single" w:sz="4" w:space="0" w:color="auto"/>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00AC367B">
              <w:rPr>
                <w:rFonts w:ascii="Arial Narrow" w:hAnsi="Arial Narrow" w:cs="Arial Narrow"/>
                <w:color w:val="000000"/>
                <w:sz w:val="16"/>
                <w:szCs w:val="16"/>
                <w:lang w:eastAsia="sk-SK"/>
              </w:rPr>
              <w:t>3</w:t>
            </w:r>
            <w:r w:rsidRPr="00CC6B02">
              <w:rPr>
                <w:rFonts w:ascii="Arial Narrow" w:hAnsi="Arial Narrow" w:cs="Arial Narrow"/>
                <w:color w:val="000000"/>
                <w:sz w:val="16"/>
                <w:szCs w:val="16"/>
                <w:lang w:eastAsia="sk-SK"/>
              </w:rPr>
              <w:t xml:space="preserve"> 706 </w:t>
            </w:r>
          </w:p>
        </w:tc>
        <w:tc>
          <w:tcPr>
            <w:tcW w:w="860" w:type="dxa"/>
            <w:tcBorders>
              <w:top w:val="single" w:sz="4" w:space="0" w:color="auto"/>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00AC367B">
              <w:rPr>
                <w:rFonts w:ascii="Arial Narrow" w:hAnsi="Arial Narrow" w:cs="Arial Narrow"/>
                <w:color w:val="000000"/>
                <w:sz w:val="16"/>
                <w:szCs w:val="16"/>
                <w:lang w:eastAsia="sk-SK"/>
              </w:rPr>
              <w:t>4</w:t>
            </w:r>
            <w:r w:rsidRPr="00CC6B02">
              <w:rPr>
                <w:rFonts w:ascii="Arial Narrow" w:hAnsi="Arial Narrow" w:cs="Arial Narrow"/>
                <w:color w:val="000000"/>
                <w:sz w:val="16"/>
                <w:szCs w:val="16"/>
                <w:lang w:eastAsia="sk-SK"/>
              </w:rPr>
              <w:t xml:space="preserve"> 096 </w:t>
            </w:r>
          </w:p>
        </w:tc>
        <w:tc>
          <w:tcPr>
            <w:tcW w:w="860" w:type="dxa"/>
            <w:tcBorders>
              <w:top w:val="single" w:sz="4" w:space="0" w:color="auto"/>
              <w:left w:val="nil"/>
              <w:bottom w:val="single" w:sz="4" w:space="0" w:color="auto"/>
              <w:right w:val="single" w:sz="8" w:space="0" w:color="auto"/>
            </w:tcBorders>
            <w:textDirection w:val="lrTb"/>
            <w:vAlign w:val="center"/>
          </w:tcPr>
          <w:p w:rsidR="000604A9" w:rsidRPr="00CC6B02" w:rsidP="00AC367B">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1</w:t>
            </w:r>
            <w:r w:rsidR="00AC367B">
              <w:rPr>
                <w:rFonts w:ascii="Arial Narrow" w:hAnsi="Arial Narrow" w:cs="Arial Narrow"/>
                <w:color w:val="000000"/>
                <w:sz w:val="16"/>
                <w:szCs w:val="16"/>
                <w:lang w:eastAsia="sk-SK"/>
              </w:rPr>
              <w:t>1</w:t>
            </w:r>
            <w:r w:rsidRPr="00CC6B02">
              <w:rPr>
                <w:rFonts w:ascii="Arial Narrow" w:hAnsi="Arial Narrow" w:cs="Arial Narrow"/>
                <w:color w:val="000000"/>
                <w:sz w:val="16"/>
                <w:szCs w:val="16"/>
                <w:lang w:eastAsia="sk-SK"/>
              </w:rPr>
              <w:t xml:space="preserve"> 730 </w:t>
            </w:r>
          </w:p>
        </w:tc>
      </w:tr>
      <w:tr>
        <w:tblPrEx>
          <w:tblW w:w="9100" w:type="dxa"/>
          <w:tblInd w:w="60" w:type="dxa"/>
          <w:tblCellMar>
            <w:left w:w="70" w:type="dxa"/>
            <w:right w:w="70" w:type="dxa"/>
          </w:tblCellMar>
          <w:tblLook w:val="00A0"/>
        </w:tblPrEx>
        <w:trPr>
          <w:trHeight w:val="340"/>
        </w:trPr>
        <w:tc>
          <w:tcPr>
            <w:tcW w:w="3940" w:type="dxa"/>
            <w:tcBorders>
              <w:top w:val="nil"/>
              <w:left w:val="single" w:sz="8" w:space="0" w:color="auto"/>
              <w:bottom w:val="single" w:sz="4" w:space="0" w:color="auto"/>
              <w:right w:val="single" w:sz="4" w:space="0" w:color="auto"/>
            </w:tcBorders>
            <w:textDirection w:val="lrTb"/>
            <w:vAlign w:val="center"/>
          </w:tcPr>
          <w:p w:rsidR="000604A9" w:rsidRPr="00CC6B02" w:rsidP="00062C83">
            <w:pPr>
              <w:bidi w:val="0"/>
              <w:jc w:val="both"/>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Ministerstvo zahraničných vecí SR</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664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604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564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500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500 </w:t>
            </w:r>
          </w:p>
        </w:tc>
        <w:tc>
          <w:tcPr>
            <w:tcW w:w="860" w:type="dxa"/>
            <w:tcBorders>
              <w:top w:val="nil"/>
              <w:left w:val="nil"/>
              <w:bottom w:val="single" w:sz="4" w:space="0" w:color="auto"/>
              <w:right w:val="single" w:sz="8"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500 </w:t>
            </w:r>
          </w:p>
        </w:tc>
      </w:tr>
      <w:tr>
        <w:tblPrEx>
          <w:tblW w:w="9100" w:type="dxa"/>
          <w:tblInd w:w="60" w:type="dxa"/>
          <w:tblCellMar>
            <w:left w:w="70" w:type="dxa"/>
            <w:right w:w="70" w:type="dxa"/>
          </w:tblCellMar>
          <w:tblLook w:val="00A0"/>
        </w:tblPrEx>
        <w:trPr>
          <w:trHeight w:val="340"/>
        </w:trPr>
        <w:tc>
          <w:tcPr>
            <w:tcW w:w="3940" w:type="dxa"/>
            <w:tcBorders>
              <w:top w:val="nil"/>
              <w:left w:val="single" w:sz="8" w:space="0" w:color="auto"/>
              <w:bottom w:val="single" w:sz="4" w:space="0" w:color="auto"/>
              <w:right w:val="single" w:sz="4" w:space="0" w:color="auto"/>
            </w:tcBorders>
            <w:textDirection w:val="lrTb"/>
            <w:vAlign w:val="center"/>
          </w:tcPr>
          <w:p w:rsidR="000604A9" w:rsidRPr="00CC6B02" w:rsidP="00062C83">
            <w:pPr>
              <w:bidi w:val="0"/>
              <w:jc w:val="both"/>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Ministerstvo hospodárstva a výstavby SR</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38 658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133 169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46 859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88 000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46 659 </w:t>
            </w:r>
          </w:p>
        </w:tc>
        <w:tc>
          <w:tcPr>
            <w:tcW w:w="860" w:type="dxa"/>
            <w:tcBorders>
              <w:top w:val="nil"/>
              <w:left w:val="nil"/>
              <w:bottom w:val="single" w:sz="4" w:space="0" w:color="auto"/>
              <w:right w:val="single" w:sz="8"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48 926 </w:t>
            </w:r>
          </w:p>
        </w:tc>
      </w:tr>
      <w:tr>
        <w:tblPrEx>
          <w:tblW w:w="9100" w:type="dxa"/>
          <w:tblInd w:w="60" w:type="dxa"/>
          <w:tblCellMar>
            <w:left w:w="70" w:type="dxa"/>
            <w:right w:w="70" w:type="dxa"/>
          </w:tblCellMar>
          <w:tblLook w:val="00A0"/>
        </w:tblPrEx>
        <w:trPr>
          <w:trHeight w:val="340"/>
        </w:trPr>
        <w:tc>
          <w:tcPr>
            <w:tcW w:w="3940" w:type="dxa"/>
            <w:tcBorders>
              <w:top w:val="nil"/>
              <w:left w:val="single" w:sz="8" w:space="0" w:color="auto"/>
              <w:bottom w:val="single" w:sz="4" w:space="0" w:color="auto"/>
              <w:right w:val="single" w:sz="4" w:space="0" w:color="auto"/>
            </w:tcBorders>
            <w:textDirection w:val="lrTb"/>
            <w:vAlign w:val="center"/>
          </w:tcPr>
          <w:p w:rsidR="000604A9" w:rsidRPr="00CC6B02" w:rsidP="00062C83">
            <w:pPr>
              <w:bidi w:val="0"/>
              <w:jc w:val="both"/>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Ministerstvo práce, sociálnych vecí a rodiny SR</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19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0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7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6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6 </w:t>
            </w:r>
          </w:p>
        </w:tc>
        <w:tc>
          <w:tcPr>
            <w:tcW w:w="860" w:type="dxa"/>
            <w:tcBorders>
              <w:top w:val="nil"/>
              <w:left w:val="nil"/>
              <w:bottom w:val="single" w:sz="4" w:space="0" w:color="auto"/>
              <w:right w:val="single" w:sz="8"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7 </w:t>
            </w:r>
          </w:p>
        </w:tc>
      </w:tr>
      <w:tr>
        <w:tblPrEx>
          <w:tblW w:w="9100" w:type="dxa"/>
          <w:tblInd w:w="60" w:type="dxa"/>
          <w:tblCellMar>
            <w:left w:w="70" w:type="dxa"/>
            <w:right w:w="70" w:type="dxa"/>
          </w:tblCellMar>
          <w:tblLook w:val="00A0"/>
        </w:tblPrEx>
        <w:trPr>
          <w:trHeight w:val="340"/>
        </w:trPr>
        <w:tc>
          <w:tcPr>
            <w:tcW w:w="3940" w:type="dxa"/>
            <w:tcBorders>
              <w:top w:val="nil"/>
              <w:left w:val="single" w:sz="8" w:space="0" w:color="auto"/>
              <w:bottom w:val="single" w:sz="4" w:space="0" w:color="auto"/>
              <w:right w:val="single" w:sz="4" w:space="0" w:color="auto"/>
            </w:tcBorders>
            <w:textDirection w:val="lrTb"/>
            <w:vAlign w:val="center"/>
          </w:tcPr>
          <w:p w:rsidR="000604A9" w:rsidRPr="00CC6B02" w:rsidP="00062C83">
            <w:pPr>
              <w:bidi w:val="0"/>
              <w:jc w:val="both"/>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Ministerstvo dopravy, pôšt a telekomunikácií SR</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3 319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232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589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0 </w:t>
            </w:r>
          </w:p>
        </w:tc>
        <w:tc>
          <w:tcPr>
            <w:tcW w:w="860" w:type="dxa"/>
            <w:tcBorders>
              <w:top w:val="nil"/>
              <w:left w:val="nil"/>
              <w:bottom w:val="single" w:sz="4" w:space="0" w:color="auto"/>
              <w:right w:val="single" w:sz="4"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0 </w:t>
            </w:r>
          </w:p>
        </w:tc>
        <w:tc>
          <w:tcPr>
            <w:tcW w:w="860" w:type="dxa"/>
            <w:tcBorders>
              <w:top w:val="nil"/>
              <w:left w:val="nil"/>
              <w:bottom w:val="single" w:sz="4" w:space="0" w:color="auto"/>
              <w:right w:val="single" w:sz="8" w:space="0" w:color="auto"/>
            </w:tcBorders>
            <w:textDirection w:val="lrTb"/>
            <w:vAlign w:val="center"/>
          </w:tcPr>
          <w:p w:rsidR="000604A9" w:rsidRPr="00CC6B02" w:rsidP="00062C83">
            <w:pPr>
              <w:bidi w:val="0"/>
              <w:jc w:val="right"/>
              <w:rPr>
                <w:rFonts w:ascii="Arial Narrow" w:hAnsi="Arial Narrow" w:cs="Arial Narrow"/>
                <w:color w:val="000000"/>
                <w:sz w:val="16"/>
                <w:szCs w:val="16"/>
                <w:lang w:eastAsia="sk-SK"/>
              </w:rPr>
            </w:pPr>
            <w:r w:rsidRPr="00CC6B02">
              <w:rPr>
                <w:rFonts w:ascii="Arial Narrow" w:hAnsi="Arial Narrow" w:cs="Arial Narrow"/>
                <w:color w:val="000000"/>
                <w:sz w:val="16"/>
                <w:szCs w:val="16"/>
                <w:lang w:eastAsia="sk-SK"/>
              </w:rPr>
              <w:t xml:space="preserve">0 </w:t>
            </w:r>
          </w:p>
        </w:tc>
      </w:tr>
    </w:tbl>
    <w:p w:rsidR="000604A9" w:rsidP="000604A9">
      <w:pPr>
        <w:bidi w:val="0"/>
        <w:ind w:firstLine="709"/>
        <w:jc w:val="both"/>
        <w:rPr>
          <w:rFonts w:ascii="Arial Narrow" w:hAnsi="Arial Narrow" w:cs="Arial Narrow"/>
          <w:sz w:val="22"/>
          <w:szCs w:val="22"/>
        </w:rPr>
      </w:pPr>
    </w:p>
    <w:p w:rsidR="000604A9" w:rsidP="000604A9">
      <w:pPr>
        <w:bidi w:val="0"/>
        <w:ind w:firstLine="709"/>
        <w:jc w:val="both"/>
        <w:rPr>
          <w:rFonts w:ascii="Arial Narrow" w:hAnsi="Arial Narrow" w:cs="Arial Narrow"/>
          <w:sz w:val="22"/>
          <w:szCs w:val="22"/>
        </w:rPr>
      </w:pPr>
      <w:r w:rsidRPr="00BC499A">
        <w:rPr>
          <w:rFonts w:ascii="Arial Narrow" w:hAnsi="Arial Narrow" w:cs="Arial Narrow"/>
          <w:sz w:val="22"/>
          <w:szCs w:val="22"/>
        </w:rPr>
        <w:t>Z vlastníckeho podielu štátu, ktorý je zastúpený príslušnými rezortnými ministerstvami v akciových spoločnostiach s majetkovou účasťou štátu</w:t>
      </w:r>
      <w:r>
        <w:rPr>
          <w:rFonts w:ascii="Arial Narrow" w:hAnsi="Arial Narrow" w:cs="Arial Narrow"/>
          <w:sz w:val="22"/>
          <w:szCs w:val="22"/>
        </w:rPr>
        <w:t>,</w:t>
      </w:r>
      <w:r w:rsidRPr="00BC499A">
        <w:rPr>
          <w:rFonts w:ascii="Arial Narrow" w:hAnsi="Arial Narrow" w:cs="Arial Narrow"/>
          <w:sz w:val="22"/>
          <w:szCs w:val="22"/>
        </w:rPr>
        <w:t xml:space="preserve"> ide predovš</w:t>
      </w:r>
      <w:r>
        <w:rPr>
          <w:rFonts w:ascii="Arial Narrow" w:hAnsi="Arial Narrow" w:cs="Arial Narrow"/>
          <w:sz w:val="22"/>
          <w:szCs w:val="22"/>
        </w:rPr>
        <w:t>etkým o dividendy od spoločností</w:t>
      </w:r>
      <w:r w:rsidRPr="00BC499A">
        <w:rPr>
          <w:rFonts w:ascii="Arial Narrow" w:hAnsi="Arial Narrow" w:cs="Arial Narrow"/>
          <w:sz w:val="22"/>
          <w:szCs w:val="22"/>
        </w:rPr>
        <w:t xml:space="preserve"> </w:t>
      </w:r>
      <w:r>
        <w:rPr>
          <w:rFonts w:ascii="Arial Narrow" w:hAnsi="Arial Narrow" w:cs="Arial Narrow"/>
          <w:sz w:val="22"/>
          <w:szCs w:val="22"/>
        </w:rPr>
        <w:t>Slovak Tele</w:t>
      </w:r>
      <w:r w:rsidR="009F2851">
        <w:rPr>
          <w:rFonts w:ascii="Arial Narrow" w:hAnsi="Arial Narrow" w:cs="Arial Narrow"/>
          <w:sz w:val="22"/>
          <w:szCs w:val="22"/>
        </w:rPr>
        <w:t>k</w:t>
      </w:r>
      <w:r>
        <w:rPr>
          <w:rFonts w:ascii="Arial Narrow" w:hAnsi="Arial Narrow" w:cs="Arial Narrow"/>
          <w:sz w:val="22"/>
          <w:szCs w:val="22"/>
        </w:rPr>
        <w:t>om</w:t>
      </w:r>
      <w:r w:rsidR="00557E85">
        <w:rPr>
          <w:rFonts w:ascii="Arial Narrow" w:hAnsi="Arial Narrow" w:cs="Arial Narrow"/>
          <w:sz w:val="22"/>
          <w:szCs w:val="22"/>
        </w:rPr>
        <w:t>,</w:t>
      </w:r>
      <w:r>
        <w:rPr>
          <w:rFonts w:ascii="Arial Narrow" w:hAnsi="Arial Narrow" w:cs="Arial Narrow"/>
          <w:sz w:val="22"/>
          <w:szCs w:val="22"/>
        </w:rPr>
        <w:t xml:space="preserve"> a. s., </w:t>
      </w:r>
      <w:r w:rsidRPr="00BC499A">
        <w:rPr>
          <w:rFonts w:ascii="Arial Narrow" w:hAnsi="Arial Narrow" w:cs="Arial Narrow"/>
          <w:sz w:val="22"/>
          <w:szCs w:val="22"/>
        </w:rPr>
        <w:t>Jadrová vyraďovacia spoločnosť, a. s. Jaslovské Bohunice</w:t>
      </w:r>
      <w:r w:rsidR="0092542E">
        <w:rPr>
          <w:rFonts w:ascii="Arial Narrow" w:hAnsi="Arial Narrow" w:cs="Arial Narrow"/>
          <w:sz w:val="22"/>
          <w:szCs w:val="22"/>
        </w:rPr>
        <w:t xml:space="preserve"> (v pôsobnosti Ministerstva hospodárstva a výstavby SR), od spoločností</w:t>
      </w:r>
      <w:r w:rsidRPr="00BC499A">
        <w:rPr>
          <w:rFonts w:ascii="Arial Narrow" w:hAnsi="Arial Narrow" w:cs="Arial Narrow"/>
          <w:sz w:val="22"/>
          <w:szCs w:val="22"/>
        </w:rPr>
        <w:t xml:space="preserve"> SZRB, a.</w:t>
      </w:r>
      <w:r>
        <w:rPr>
          <w:rFonts w:ascii="Arial Narrow" w:hAnsi="Arial Narrow" w:cs="Arial Narrow"/>
          <w:sz w:val="22"/>
          <w:szCs w:val="22"/>
        </w:rPr>
        <w:t> </w:t>
      </w:r>
      <w:r w:rsidRPr="00BC499A">
        <w:rPr>
          <w:rFonts w:ascii="Arial Narrow" w:hAnsi="Arial Narrow" w:cs="Arial Narrow"/>
          <w:sz w:val="22"/>
          <w:szCs w:val="22"/>
        </w:rPr>
        <w:t xml:space="preserve">s. </w:t>
      </w:r>
      <w:r w:rsidR="0092542E">
        <w:rPr>
          <w:rFonts w:ascii="Arial Narrow" w:hAnsi="Arial Narrow" w:cs="Arial Narrow"/>
          <w:sz w:val="22"/>
          <w:szCs w:val="22"/>
        </w:rPr>
        <w:t>a Slovenská konsolidačná</w:t>
      </w:r>
      <w:r w:rsidRPr="00BC499A">
        <w:rPr>
          <w:rFonts w:ascii="Arial Narrow" w:hAnsi="Arial Narrow" w:cs="Arial Narrow"/>
          <w:sz w:val="22"/>
          <w:szCs w:val="22"/>
        </w:rPr>
        <w:t>, a. s. (v</w:t>
      </w:r>
      <w:r>
        <w:rPr>
          <w:rFonts w:ascii="Arial Narrow" w:hAnsi="Arial Narrow" w:cs="Arial Narrow"/>
          <w:sz w:val="22"/>
          <w:szCs w:val="22"/>
        </w:rPr>
        <w:t> </w:t>
      </w:r>
      <w:r w:rsidRPr="00BC499A">
        <w:rPr>
          <w:rFonts w:ascii="Arial Narrow" w:hAnsi="Arial Narrow" w:cs="Arial Narrow"/>
          <w:sz w:val="22"/>
          <w:szCs w:val="22"/>
        </w:rPr>
        <w:t>pôsobno</w:t>
      </w:r>
      <w:r>
        <w:rPr>
          <w:rFonts w:ascii="Arial Narrow" w:hAnsi="Arial Narrow" w:cs="Arial Narrow"/>
          <w:sz w:val="22"/>
          <w:szCs w:val="22"/>
        </w:rPr>
        <w:t>sti Ministerstva financií SR)</w:t>
      </w:r>
      <w:r w:rsidRPr="00BC499A">
        <w:rPr>
          <w:rFonts w:ascii="Arial Narrow" w:hAnsi="Arial Narrow" w:cs="Arial Narrow"/>
          <w:sz w:val="22"/>
          <w:szCs w:val="22"/>
        </w:rPr>
        <w:t xml:space="preserve"> a </w:t>
      </w:r>
      <w:r>
        <w:rPr>
          <w:rFonts w:ascii="Arial Narrow" w:hAnsi="Arial Narrow" w:cs="Arial Narrow"/>
          <w:sz w:val="22"/>
          <w:szCs w:val="22"/>
        </w:rPr>
        <w:t>od Správy služieb diplomatickému zboru, a. s. (</w:t>
      </w:r>
      <w:r w:rsidRPr="00BC499A">
        <w:rPr>
          <w:rFonts w:ascii="Arial Narrow" w:hAnsi="Arial Narrow" w:cs="Arial Narrow"/>
          <w:sz w:val="22"/>
          <w:szCs w:val="22"/>
        </w:rPr>
        <w:t>v</w:t>
      </w:r>
      <w:r>
        <w:rPr>
          <w:rFonts w:ascii="Arial Narrow" w:hAnsi="Arial Narrow" w:cs="Arial Narrow"/>
          <w:sz w:val="22"/>
          <w:szCs w:val="22"/>
        </w:rPr>
        <w:t> </w:t>
      </w:r>
      <w:r w:rsidRPr="00BC499A">
        <w:rPr>
          <w:rFonts w:ascii="Arial Narrow" w:hAnsi="Arial Narrow" w:cs="Arial Narrow"/>
          <w:sz w:val="22"/>
          <w:szCs w:val="22"/>
        </w:rPr>
        <w:t xml:space="preserve">pôsobnosti Ministerstva zahraničných vecí SR).  </w:t>
      </w:r>
    </w:p>
    <w:p w:rsidR="000604A9" w:rsidRPr="0072445C" w:rsidP="000604A9">
      <w:pPr>
        <w:bidi w:val="0"/>
        <w:spacing w:line="360" w:lineRule="atLeast"/>
        <w:jc w:val="both"/>
        <w:rPr>
          <w:rFonts w:ascii="Arial Narrow" w:hAnsi="Arial Narrow" w:cs="Arial Narrow"/>
          <w:sz w:val="22"/>
          <w:szCs w:val="22"/>
        </w:rPr>
      </w:pPr>
    </w:p>
    <w:p w:rsidR="0043546E" w:rsidP="000604A9">
      <w:pPr>
        <w:bidi w:val="0"/>
        <w:ind w:firstLine="708"/>
        <w:jc w:val="both"/>
        <w:rPr>
          <w:rFonts w:ascii="Arial Narrow" w:hAnsi="Arial Narrow" w:cs="Arial Narrow"/>
          <w:sz w:val="22"/>
          <w:szCs w:val="22"/>
        </w:rPr>
      </w:pPr>
      <w:r w:rsidRPr="00BC499A" w:rsidR="000604A9">
        <w:rPr>
          <w:rFonts w:ascii="Arial Narrow" w:hAnsi="Arial Narrow" w:cs="Arial Narrow"/>
          <w:b/>
          <w:bCs/>
          <w:sz w:val="22"/>
          <w:szCs w:val="22"/>
        </w:rPr>
        <w:t xml:space="preserve">B. </w:t>
      </w:r>
      <w:r w:rsidRPr="00BC499A" w:rsidR="000604A9">
        <w:rPr>
          <w:rFonts w:ascii="Arial Narrow" w:hAnsi="Arial Narrow" w:cs="Arial Narrow"/>
          <w:sz w:val="22"/>
          <w:szCs w:val="22"/>
        </w:rPr>
        <w:t xml:space="preserve">Pri </w:t>
      </w:r>
      <w:r w:rsidRPr="00BC499A" w:rsidR="000604A9">
        <w:rPr>
          <w:rFonts w:ascii="Arial Narrow" w:hAnsi="Arial Narrow" w:cs="Arial Narrow"/>
          <w:b/>
          <w:bCs/>
          <w:sz w:val="22"/>
          <w:szCs w:val="22"/>
        </w:rPr>
        <w:t>administratívnych</w:t>
      </w:r>
      <w:r w:rsidR="000604A9">
        <w:rPr>
          <w:rFonts w:ascii="Arial Narrow" w:hAnsi="Arial Narrow" w:cs="Arial Narrow"/>
          <w:b/>
          <w:bCs/>
          <w:sz w:val="22"/>
          <w:szCs w:val="22"/>
        </w:rPr>
        <w:t xml:space="preserve"> poplatkoch</w:t>
      </w:r>
      <w:r w:rsidRPr="00BC499A" w:rsidR="000604A9">
        <w:rPr>
          <w:rFonts w:ascii="Arial Narrow" w:hAnsi="Arial Narrow" w:cs="Arial Narrow"/>
          <w:b/>
          <w:bCs/>
          <w:sz w:val="22"/>
          <w:szCs w:val="22"/>
        </w:rPr>
        <w:t xml:space="preserve"> a iných poplatkoch a platbách </w:t>
      </w:r>
      <w:r w:rsidRPr="00BC499A" w:rsidR="000604A9">
        <w:rPr>
          <w:rFonts w:ascii="Arial Narrow" w:hAnsi="Arial Narrow" w:cs="Arial Narrow"/>
          <w:sz w:val="22"/>
          <w:szCs w:val="22"/>
        </w:rPr>
        <w:t xml:space="preserve">výška príjmov závisí od počtu jednotlivých aktov konania v priebehu roka. </w:t>
      </w:r>
      <w:r w:rsidRPr="00194186" w:rsidR="000604A9">
        <w:rPr>
          <w:rFonts w:ascii="Arial Narrow" w:hAnsi="Arial Narrow" w:cs="Arial Narrow"/>
          <w:sz w:val="22"/>
          <w:szCs w:val="22"/>
        </w:rPr>
        <w:tab/>
        <w:t xml:space="preserve">V roku 2011 dochádza v porovnaní s očakávanou skutočnosťou </w:t>
      </w:r>
      <w:r w:rsidR="000604A9">
        <w:rPr>
          <w:rFonts w:ascii="Arial Narrow" w:hAnsi="Arial Narrow" w:cs="Arial Narrow"/>
          <w:sz w:val="22"/>
          <w:szCs w:val="22"/>
        </w:rPr>
        <w:t xml:space="preserve">roku </w:t>
      </w:r>
      <w:r w:rsidRPr="00194186" w:rsidR="000604A9">
        <w:rPr>
          <w:rFonts w:ascii="Arial Narrow" w:hAnsi="Arial Narrow" w:cs="Arial Narrow"/>
          <w:sz w:val="22"/>
          <w:szCs w:val="22"/>
        </w:rPr>
        <w:t xml:space="preserve">2010 k nárastu </w:t>
      </w:r>
      <w:r w:rsidR="000604A9">
        <w:rPr>
          <w:rFonts w:ascii="Arial Narrow" w:hAnsi="Arial Narrow" w:cs="Arial Narrow"/>
          <w:sz w:val="22"/>
          <w:szCs w:val="22"/>
        </w:rPr>
        <w:t xml:space="preserve">týchto príjmov </w:t>
      </w:r>
      <w:r w:rsidRPr="00194186" w:rsidR="000604A9">
        <w:rPr>
          <w:rFonts w:ascii="Arial Narrow" w:hAnsi="Arial Narrow" w:cs="Arial Narrow"/>
          <w:sz w:val="22"/>
          <w:szCs w:val="22"/>
        </w:rPr>
        <w:t xml:space="preserve"> o </w:t>
      </w:r>
      <w:r w:rsidR="000604A9">
        <w:rPr>
          <w:rFonts w:ascii="Arial Narrow" w:hAnsi="Arial Narrow" w:cs="Arial Narrow"/>
          <w:sz w:val="22"/>
          <w:szCs w:val="22"/>
        </w:rPr>
        <w:t>9</w:t>
      </w:r>
      <w:r w:rsidRPr="00194186" w:rsidR="000604A9">
        <w:rPr>
          <w:rFonts w:ascii="Arial Narrow" w:hAnsi="Arial Narrow" w:cs="Arial Narrow"/>
          <w:sz w:val="22"/>
          <w:szCs w:val="22"/>
        </w:rPr>
        <w:t>,</w:t>
      </w:r>
      <w:r w:rsidR="000604A9">
        <w:rPr>
          <w:rFonts w:ascii="Arial Narrow" w:hAnsi="Arial Narrow" w:cs="Arial Narrow"/>
          <w:sz w:val="22"/>
          <w:szCs w:val="22"/>
        </w:rPr>
        <w:t>5</w:t>
      </w:r>
      <w:r w:rsidRPr="00194186" w:rsidR="000604A9">
        <w:rPr>
          <w:rFonts w:ascii="Arial Narrow" w:hAnsi="Arial Narrow" w:cs="Arial Narrow"/>
          <w:sz w:val="22"/>
          <w:szCs w:val="22"/>
        </w:rPr>
        <w:t xml:space="preserve"> %. </w:t>
      </w:r>
    </w:p>
    <w:p w:rsidR="000604A9" w:rsidP="000604A9">
      <w:pPr>
        <w:bidi w:val="0"/>
        <w:ind w:firstLine="708"/>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2800"/>
        <w:gridCol w:w="1060"/>
        <w:gridCol w:w="1060"/>
        <w:gridCol w:w="1060"/>
        <w:gridCol w:w="1060"/>
        <w:gridCol w:w="1050"/>
        <w:gridCol w:w="992"/>
      </w:tblGrid>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sz w:val="16"/>
                <w:szCs w:val="16"/>
                <w:lang w:eastAsia="sk-SK"/>
              </w:rPr>
            </w:pPr>
            <w:r w:rsidRPr="00F31A44">
              <w:rPr>
                <w:rFonts w:ascii="Arial Narrow" w:hAnsi="Arial Narrow" w:cs="Arial Narrow"/>
                <w:sz w:val="16"/>
                <w:szCs w:val="16"/>
                <w:lang w:eastAsia="sk-SK"/>
              </w:rPr>
              <w:t>(v tis. eur)</w:t>
            </w:r>
          </w:p>
        </w:tc>
        <w:tc>
          <w:tcPr>
            <w:tcW w:w="1060" w:type="dxa"/>
            <w:tcBorders>
              <w:top w:val="single" w:sz="8" w:space="0" w:color="auto"/>
              <w:left w:val="single" w:sz="4" w:space="0" w:color="auto"/>
              <w:bottom w:val="single" w:sz="8" w:space="0" w:color="auto"/>
              <w:right w:val="single" w:sz="4"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2008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2009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2010 OS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2011 N</w:t>
            </w:r>
          </w:p>
        </w:tc>
        <w:tc>
          <w:tcPr>
            <w:tcW w:w="105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2012 N</w:t>
            </w:r>
          </w:p>
        </w:tc>
        <w:tc>
          <w:tcPr>
            <w:tcW w:w="992"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F31A44" w:rsidP="00062C83">
            <w:pPr>
              <w:bidi w:val="0"/>
              <w:jc w:val="center"/>
              <w:rPr>
                <w:rFonts w:ascii="Arial Narrow" w:hAnsi="Arial Narrow" w:cs="Arial Narrow"/>
                <w:b/>
                <w:bCs/>
                <w:sz w:val="16"/>
                <w:szCs w:val="16"/>
                <w:lang w:eastAsia="sk-SK"/>
              </w:rPr>
            </w:pPr>
            <w:r w:rsidRPr="00F31A44">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Administratívne poplatky</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178 630</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160 180</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161 754</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177 457</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177 198</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176 944</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v tom: súdne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23 654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28 545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30 890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27 008</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27 008</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27 008</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tržby z predaja kolkových známok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132 115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102 386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101 451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113 171</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113 171</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113 171</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puncové poplatky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0</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0</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0</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913</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913</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913</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ostatné poplatky</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22 861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29 249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29 346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36 329</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36 070</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35 819</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licencie</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Pr>
                <w:rFonts w:ascii="Arial Narrow" w:hAnsi="Arial Narrow" w:cs="Arial Narrow"/>
                <w:color w:val="000000"/>
                <w:sz w:val="16"/>
                <w:szCs w:val="16"/>
                <w:lang w:eastAsia="sk-SK"/>
              </w:rPr>
              <w:t>0</w:t>
            </w:r>
            <w:r w:rsidRPr="00F31A44">
              <w:rPr>
                <w:rFonts w:ascii="Arial Narrow" w:hAnsi="Arial Narrow" w:cs="Arial Narrow"/>
                <w:color w:val="000000"/>
                <w:sz w:val="16"/>
                <w:szCs w:val="16"/>
                <w:lang w:eastAsia="sk-SK"/>
              </w:rPr>
              <w:t>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Pr>
                <w:rFonts w:ascii="Arial Narrow" w:hAnsi="Arial Narrow" w:cs="Arial Narrow"/>
                <w:color w:val="000000"/>
                <w:sz w:val="16"/>
                <w:szCs w:val="16"/>
                <w:lang w:eastAsia="sk-SK"/>
              </w:rPr>
              <w:t>0</w:t>
            </w:r>
            <w:r w:rsidRPr="00F31A44">
              <w:rPr>
                <w:rFonts w:ascii="Arial Narrow" w:hAnsi="Arial Narrow" w:cs="Arial Narrow"/>
                <w:color w:val="000000"/>
                <w:sz w:val="16"/>
                <w:szCs w:val="16"/>
                <w:lang w:eastAsia="sk-SK"/>
              </w:rPr>
              <w:t>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 xml:space="preserve">              67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36</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36</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color w:val="000000"/>
                <w:sz w:val="16"/>
                <w:szCs w:val="16"/>
                <w:lang w:eastAsia="sk-SK"/>
              </w:rPr>
            </w:pPr>
            <w:r w:rsidRPr="00F31A44">
              <w:rPr>
                <w:rFonts w:ascii="Arial Narrow" w:hAnsi="Arial Narrow" w:cs="Arial Narrow"/>
                <w:color w:val="000000"/>
                <w:sz w:val="16"/>
                <w:szCs w:val="16"/>
                <w:lang w:eastAsia="sk-SK"/>
              </w:rPr>
              <w:t>33</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Pokuty, penále a iné sankcie</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57 565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62 960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74 186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61 434</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61 785</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62 532</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F31A44" w:rsidP="00062C83">
            <w:pPr>
              <w:bidi w:val="0"/>
              <w:jc w:val="both"/>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Poplatky a platby z nepriemyselného a náhodného predaja a služieb</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59 620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57 854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29 255    </w:t>
            </w:r>
          </w:p>
        </w:tc>
        <w:tc>
          <w:tcPr>
            <w:tcW w:w="106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51 390</w:t>
            </w:r>
          </w:p>
        </w:tc>
        <w:tc>
          <w:tcPr>
            <w:tcW w:w="1050"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52 892</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53 014</w:t>
            </w:r>
          </w:p>
        </w:tc>
      </w:tr>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8" w:space="0" w:color="auto"/>
              <w:right w:val="single" w:sz="8" w:space="0" w:color="auto"/>
            </w:tcBorders>
            <w:shd w:val="clear" w:color="000000" w:fill="BFBFBF"/>
            <w:textDirection w:val="lrTb"/>
            <w:vAlign w:val="center"/>
          </w:tcPr>
          <w:p w:rsidR="000604A9" w:rsidRPr="00F31A44" w:rsidP="00062C83">
            <w:pPr>
              <w:bidi w:val="0"/>
              <w:jc w:val="both"/>
              <w:rPr>
                <w:rFonts w:ascii="Arial Narrow" w:hAnsi="Arial Narrow" w:cs="Arial Narrow"/>
                <w:b/>
                <w:bCs/>
                <w:color w:val="000000"/>
                <w:sz w:val="16"/>
                <w:szCs w:val="16"/>
                <w:lang w:eastAsia="sk-SK"/>
              </w:rPr>
            </w:pPr>
            <w:r w:rsidRPr="00984D06">
              <w:rPr>
                <w:rFonts w:ascii="Arial Narrow" w:hAnsi="Arial Narrow" w:cs="Arial Narrow"/>
                <w:b/>
                <w:bCs/>
                <w:color w:val="000000"/>
                <w:sz w:val="16"/>
                <w:szCs w:val="16"/>
                <w:lang w:eastAsia="sk-SK"/>
              </w:rPr>
              <w:t>Spolu</w:t>
            </w:r>
          </w:p>
        </w:tc>
        <w:tc>
          <w:tcPr>
            <w:tcW w:w="1060"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295 815    </w:t>
            </w:r>
          </w:p>
        </w:tc>
        <w:tc>
          <w:tcPr>
            <w:tcW w:w="1060"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 xml:space="preserve">      280 994    </w:t>
            </w:r>
          </w:p>
        </w:tc>
        <w:tc>
          <w:tcPr>
            <w:tcW w:w="1060"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265 195</w:t>
            </w:r>
          </w:p>
        </w:tc>
        <w:tc>
          <w:tcPr>
            <w:tcW w:w="1060"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290 281</w:t>
            </w:r>
          </w:p>
        </w:tc>
        <w:tc>
          <w:tcPr>
            <w:tcW w:w="1050"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291 875</w:t>
            </w:r>
          </w:p>
        </w:tc>
        <w:tc>
          <w:tcPr>
            <w:tcW w:w="992"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F31A44" w:rsidP="00062C83">
            <w:pPr>
              <w:bidi w:val="0"/>
              <w:jc w:val="right"/>
              <w:rPr>
                <w:rFonts w:ascii="Arial Narrow" w:hAnsi="Arial Narrow" w:cs="Arial Narrow"/>
                <w:b/>
                <w:bCs/>
                <w:color w:val="000000"/>
                <w:sz w:val="16"/>
                <w:szCs w:val="16"/>
                <w:lang w:eastAsia="sk-SK"/>
              </w:rPr>
            </w:pPr>
            <w:r w:rsidRPr="00F31A44">
              <w:rPr>
                <w:rFonts w:ascii="Arial Narrow" w:hAnsi="Arial Narrow" w:cs="Arial Narrow"/>
                <w:b/>
                <w:bCs/>
                <w:color w:val="000000"/>
                <w:sz w:val="16"/>
                <w:szCs w:val="16"/>
                <w:lang w:eastAsia="sk-SK"/>
              </w:rPr>
              <w:t>292 490</w:t>
            </w:r>
          </w:p>
        </w:tc>
      </w:tr>
    </w:tbl>
    <w:p w:rsidR="000604A9" w:rsidRPr="00E062F2" w:rsidP="000604A9">
      <w:pPr>
        <w:bidi w:val="0"/>
        <w:ind w:firstLine="708"/>
        <w:jc w:val="both"/>
        <w:rPr>
          <w:rFonts w:ascii="Arial Narrow" w:hAnsi="Arial Narrow" w:cs="Arial Narrow"/>
          <w:sz w:val="22"/>
          <w:szCs w:val="22"/>
        </w:rPr>
      </w:pPr>
      <w:r w:rsidRPr="00E062F2">
        <w:rPr>
          <w:rFonts w:ascii="Arial Narrow" w:hAnsi="Arial Narrow" w:cs="Arial Narrow"/>
          <w:sz w:val="22"/>
          <w:szCs w:val="22"/>
        </w:rPr>
        <w:t>Najväčší výnos z príjmov z administratívnych poplatkov a platieb bude v období rozpočtového rámca 20</w:t>
      </w:r>
      <w:r>
        <w:rPr>
          <w:rFonts w:ascii="Arial Narrow" w:hAnsi="Arial Narrow" w:cs="Arial Narrow"/>
          <w:sz w:val="22"/>
          <w:szCs w:val="22"/>
        </w:rPr>
        <w:t>11</w:t>
      </w:r>
      <w:r w:rsidRPr="00E062F2">
        <w:rPr>
          <w:rFonts w:ascii="Arial Narrow" w:hAnsi="Arial Narrow" w:cs="Arial Narrow"/>
          <w:sz w:val="22"/>
          <w:szCs w:val="22"/>
        </w:rPr>
        <w:t xml:space="preserve"> až 20</w:t>
      </w:r>
      <w:r>
        <w:rPr>
          <w:rFonts w:ascii="Arial Narrow" w:hAnsi="Arial Narrow" w:cs="Arial Narrow"/>
          <w:sz w:val="22"/>
          <w:szCs w:val="22"/>
        </w:rPr>
        <w:t>13</w:t>
      </w:r>
      <w:r w:rsidRPr="00E062F2">
        <w:rPr>
          <w:rFonts w:ascii="Arial Narrow" w:hAnsi="Arial Narrow" w:cs="Arial Narrow"/>
          <w:sz w:val="22"/>
          <w:szCs w:val="22"/>
        </w:rPr>
        <w:t xml:space="preserve"> v kapitolách Všeobecn</w:t>
      </w:r>
      <w:r>
        <w:rPr>
          <w:rFonts w:ascii="Arial Narrow" w:hAnsi="Arial Narrow" w:cs="Arial Narrow"/>
          <w:sz w:val="22"/>
          <w:szCs w:val="22"/>
        </w:rPr>
        <w:t>ej</w:t>
      </w:r>
      <w:r w:rsidRPr="00E062F2">
        <w:rPr>
          <w:rFonts w:ascii="Arial Narrow" w:hAnsi="Arial Narrow" w:cs="Arial Narrow"/>
          <w:sz w:val="22"/>
          <w:szCs w:val="22"/>
        </w:rPr>
        <w:t xml:space="preserve"> pokladničn</w:t>
      </w:r>
      <w:r>
        <w:rPr>
          <w:rFonts w:ascii="Arial Narrow" w:hAnsi="Arial Narrow" w:cs="Arial Narrow"/>
          <w:sz w:val="22"/>
          <w:szCs w:val="22"/>
        </w:rPr>
        <w:t>ej</w:t>
      </w:r>
      <w:r w:rsidRPr="00E062F2">
        <w:rPr>
          <w:rFonts w:ascii="Arial Narrow" w:hAnsi="Arial Narrow" w:cs="Arial Narrow"/>
          <w:sz w:val="22"/>
          <w:szCs w:val="22"/>
        </w:rPr>
        <w:t xml:space="preserve"> správ</w:t>
      </w:r>
      <w:r>
        <w:rPr>
          <w:rFonts w:ascii="Arial Narrow" w:hAnsi="Arial Narrow" w:cs="Arial Narrow"/>
          <w:sz w:val="22"/>
          <w:szCs w:val="22"/>
        </w:rPr>
        <w:t>y</w:t>
      </w:r>
      <w:r w:rsidRPr="00E062F2">
        <w:rPr>
          <w:rFonts w:ascii="Arial Narrow" w:hAnsi="Arial Narrow" w:cs="Arial Narrow"/>
          <w:sz w:val="22"/>
          <w:szCs w:val="22"/>
        </w:rPr>
        <w:t>, Ministerstv</w:t>
      </w:r>
      <w:r>
        <w:rPr>
          <w:rFonts w:ascii="Arial Narrow" w:hAnsi="Arial Narrow" w:cs="Arial Narrow"/>
          <w:sz w:val="22"/>
          <w:szCs w:val="22"/>
        </w:rPr>
        <w:t>a</w:t>
      </w:r>
      <w:r w:rsidRPr="00E062F2">
        <w:rPr>
          <w:rFonts w:ascii="Arial Narrow" w:hAnsi="Arial Narrow" w:cs="Arial Narrow"/>
          <w:sz w:val="22"/>
          <w:szCs w:val="22"/>
        </w:rPr>
        <w:t xml:space="preserve"> vnútra SR, Ministerstv</w:t>
      </w:r>
      <w:r>
        <w:rPr>
          <w:rFonts w:ascii="Arial Narrow" w:hAnsi="Arial Narrow" w:cs="Arial Narrow"/>
          <w:sz w:val="22"/>
          <w:szCs w:val="22"/>
        </w:rPr>
        <w:t>a</w:t>
      </w:r>
      <w:r w:rsidRPr="00E062F2">
        <w:rPr>
          <w:rFonts w:ascii="Arial Narrow" w:hAnsi="Arial Narrow" w:cs="Arial Narrow"/>
          <w:sz w:val="22"/>
          <w:szCs w:val="22"/>
        </w:rPr>
        <w:t xml:space="preserve"> práce, sociálnych vecí a rodiny SR a Ministerstv</w:t>
      </w:r>
      <w:r>
        <w:rPr>
          <w:rFonts w:ascii="Arial Narrow" w:hAnsi="Arial Narrow" w:cs="Arial Narrow"/>
          <w:sz w:val="22"/>
          <w:szCs w:val="22"/>
        </w:rPr>
        <w:t>a</w:t>
      </w:r>
      <w:r w:rsidRPr="00E062F2">
        <w:rPr>
          <w:rFonts w:ascii="Arial Narrow" w:hAnsi="Arial Narrow" w:cs="Arial Narrow"/>
          <w:sz w:val="22"/>
          <w:szCs w:val="22"/>
        </w:rPr>
        <w:t xml:space="preserve"> dop</w:t>
      </w:r>
      <w:r>
        <w:rPr>
          <w:rFonts w:ascii="Arial Narrow" w:hAnsi="Arial Narrow" w:cs="Arial Narrow"/>
          <w:sz w:val="22"/>
          <w:szCs w:val="22"/>
        </w:rPr>
        <w:t>ravy, pôšt a telekomunikácií SR a ide o tržby z predaja kolkových známok a ostatné (správne) poplatky.</w:t>
      </w:r>
    </w:p>
    <w:p w:rsidR="000604A9" w:rsidP="000604A9">
      <w:pPr>
        <w:bidi w:val="0"/>
        <w:jc w:val="both"/>
        <w:rPr>
          <w:rFonts w:ascii="Arial Narrow" w:hAnsi="Arial Narrow" w:cs="Arial Narrow"/>
          <w:sz w:val="22"/>
          <w:szCs w:val="22"/>
        </w:rPr>
      </w:pPr>
      <w:r w:rsidRPr="00BC499A">
        <w:rPr>
          <w:rFonts w:ascii="Arial Narrow" w:hAnsi="Arial Narrow" w:cs="Arial Narrow"/>
          <w:sz w:val="22"/>
          <w:szCs w:val="22"/>
        </w:rPr>
        <w:tab/>
      </w:r>
    </w:p>
    <w:p w:rsidR="000604A9" w:rsidP="000604A9">
      <w:pPr>
        <w:bidi w:val="0"/>
        <w:ind w:firstLine="708"/>
        <w:jc w:val="both"/>
        <w:rPr>
          <w:rFonts w:ascii="Arial Narrow" w:hAnsi="Arial Narrow" w:cs="Arial Narrow"/>
          <w:sz w:val="22"/>
          <w:szCs w:val="22"/>
        </w:rPr>
      </w:pPr>
      <w:r w:rsidRPr="00BC499A">
        <w:rPr>
          <w:rFonts w:ascii="Arial Narrow" w:hAnsi="Arial Narrow" w:cs="Arial Narrow"/>
          <w:b/>
          <w:bCs/>
          <w:sz w:val="22"/>
          <w:szCs w:val="22"/>
        </w:rPr>
        <w:t>C.</w:t>
      </w:r>
      <w:r w:rsidRPr="00BC499A">
        <w:rPr>
          <w:rFonts w:ascii="Arial Narrow" w:hAnsi="Arial Narrow" w:cs="Arial Narrow"/>
          <w:sz w:val="22"/>
          <w:szCs w:val="22"/>
        </w:rPr>
        <w:t xml:space="preserve"> Výška</w:t>
      </w:r>
      <w:r w:rsidRPr="00BC499A">
        <w:rPr>
          <w:rFonts w:ascii="Arial Narrow" w:hAnsi="Arial Narrow" w:cs="Arial Narrow"/>
          <w:b/>
          <w:bCs/>
          <w:sz w:val="22"/>
          <w:szCs w:val="22"/>
        </w:rPr>
        <w:t xml:space="preserve"> kapitálových príjmov </w:t>
      </w:r>
      <w:r w:rsidRPr="00BC499A">
        <w:rPr>
          <w:rFonts w:ascii="Arial Narrow" w:hAnsi="Arial Narrow" w:cs="Arial Narrow"/>
          <w:sz w:val="22"/>
          <w:szCs w:val="22"/>
        </w:rPr>
        <w:t>závisí od objemu nadbytočného hnuteľného a nehnuteľného majetku v správe jednotlivých kapitol</w:t>
      </w:r>
      <w:r>
        <w:rPr>
          <w:rFonts w:ascii="Arial Narrow" w:hAnsi="Arial Narrow" w:cs="Arial Narrow"/>
          <w:sz w:val="22"/>
          <w:szCs w:val="22"/>
        </w:rPr>
        <w:t xml:space="preserve"> štátneho rozpočtu</w:t>
      </w:r>
      <w:r w:rsidRPr="00BC499A">
        <w:rPr>
          <w:rFonts w:ascii="Arial Narrow" w:hAnsi="Arial Narrow" w:cs="Arial Narrow"/>
          <w:sz w:val="22"/>
          <w:szCs w:val="22"/>
        </w:rPr>
        <w:t xml:space="preserve">, ktorý bude predmetom predaja v príslušných rozpočtových rokoch. </w:t>
      </w:r>
      <w:r w:rsidRPr="005C4D41">
        <w:rPr>
          <w:rFonts w:ascii="Arial Narrow" w:hAnsi="Arial Narrow" w:cs="Arial Narrow"/>
          <w:sz w:val="22"/>
          <w:szCs w:val="22"/>
        </w:rPr>
        <w:t>V</w:t>
      </w:r>
      <w:r>
        <w:rPr>
          <w:rFonts w:ascii="Arial Narrow" w:hAnsi="Arial Narrow" w:cs="Arial Narrow"/>
          <w:sz w:val="22"/>
          <w:szCs w:val="22"/>
        </w:rPr>
        <w:t xml:space="preserve"> roku 2011 sa predpokladá objem týchto príjmov vo výške 16 661 tis. eur. Najvyšší podiel z týchto príjmov sa predpokladá v kapitolách  Ministerstva vnútra SR, Ministerstva obrany SR a Kancelárie prezidenta SR. </w:t>
      </w:r>
    </w:p>
    <w:p w:rsidR="000604A9" w:rsidP="000604A9">
      <w:pPr>
        <w:bidi w:val="0"/>
        <w:jc w:val="both"/>
        <w:rPr>
          <w:rFonts w:ascii="Arial Narrow" w:hAnsi="Arial Narrow" w:cs="Arial Narrow"/>
          <w:sz w:val="22"/>
          <w:szCs w:val="22"/>
        </w:rPr>
      </w:pPr>
      <w:r w:rsidRPr="00194186">
        <w:rPr>
          <w:rFonts w:ascii="Arial Narrow" w:hAnsi="Arial Narrow" w:cs="Arial Narrow"/>
          <w:sz w:val="22"/>
          <w:szCs w:val="22"/>
        </w:rPr>
        <w:t>V roku 2011 dochádza v porovnaní s očakávanou skutočnosťou</w:t>
      </w:r>
      <w:r>
        <w:rPr>
          <w:rFonts w:ascii="Arial Narrow" w:hAnsi="Arial Narrow" w:cs="Arial Narrow"/>
          <w:sz w:val="22"/>
          <w:szCs w:val="22"/>
        </w:rPr>
        <w:t xml:space="preserve"> roku </w:t>
      </w:r>
      <w:r w:rsidRPr="00194186">
        <w:rPr>
          <w:rFonts w:ascii="Arial Narrow" w:hAnsi="Arial Narrow" w:cs="Arial Narrow"/>
          <w:sz w:val="22"/>
          <w:szCs w:val="22"/>
        </w:rPr>
        <w:t>2010 k </w:t>
      </w:r>
      <w:r>
        <w:rPr>
          <w:rFonts w:ascii="Arial Narrow" w:hAnsi="Arial Narrow" w:cs="Arial Narrow"/>
          <w:sz w:val="22"/>
          <w:szCs w:val="22"/>
        </w:rPr>
        <w:t>poklesu</w:t>
      </w:r>
      <w:r w:rsidRPr="00194186">
        <w:rPr>
          <w:rFonts w:ascii="Arial Narrow" w:hAnsi="Arial Narrow" w:cs="Arial Narrow"/>
          <w:sz w:val="22"/>
          <w:szCs w:val="22"/>
        </w:rPr>
        <w:t xml:space="preserve"> </w:t>
      </w:r>
      <w:r>
        <w:rPr>
          <w:rFonts w:ascii="Arial Narrow" w:hAnsi="Arial Narrow" w:cs="Arial Narrow"/>
          <w:sz w:val="22"/>
          <w:szCs w:val="22"/>
        </w:rPr>
        <w:t xml:space="preserve">týchto príjmov </w:t>
      </w:r>
      <w:r w:rsidRPr="00194186">
        <w:rPr>
          <w:rFonts w:ascii="Arial Narrow" w:hAnsi="Arial Narrow" w:cs="Arial Narrow"/>
          <w:sz w:val="22"/>
          <w:szCs w:val="22"/>
        </w:rPr>
        <w:t>o </w:t>
      </w:r>
      <w:r>
        <w:rPr>
          <w:rFonts w:ascii="Arial Narrow" w:hAnsi="Arial Narrow" w:cs="Arial Narrow"/>
          <w:sz w:val="22"/>
          <w:szCs w:val="22"/>
        </w:rPr>
        <w:t>41</w:t>
      </w:r>
      <w:r w:rsidRPr="00194186">
        <w:rPr>
          <w:rFonts w:ascii="Arial Narrow" w:hAnsi="Arial Narrow" w:cs="Arial Narrow"/>
          <w:sz w:val="22"/>
          <w:szCs w:val="22"/>
        </w:rPr>
        <w:t>,</w:t>
      </w:r>
      <w:r>
        <w:rPr>
          <w:rFonts w:ascii="Arial Narrow" w:hAnsi="Arial Narrow" w:cs="Arial Narrow"/>
          <w:sz w:val="22"/>
          <w:szCs w:val="22"/>
        </w:rPr>
        <w:t xml:space="preserve">1 %, nakoľko sa rozpočtujú iba reálne dosiahnuteľné príjmy oproti roku 2010, kedy boli tieto príjmy nadhodnotené.  </w:t>
      </w:r>
      <w:r w:rsidRPr="00194186">
        <w:rPr>
          <w:rFonts w:ascii="Arial Narrow" w:hAnsi="Arial Narrow" w:cs="Arial Narrow"/>
          <w:sz w:val="22"/>
          <w:szCs w:val="22"/>
        </w:rPr>
        <w:t xml:space="preserve"> </w:t>
      </w:r>
    </w:p>
    <w:p w:rsidR="000604A9" w:rsidP="000604A9">
      <w:pPr>
        <w:bidi w:val="0"/>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2704"/>
        <w:gridCol w:w="992"/>
        <w:gridCol w:w="1134"/>
        <w:gridCol w:w="1134"/>
        <w:gridCol w:w="1134"/>
        <w:gridCol w:w="962"/>
        <w:gridCol w:w="1022"/>
      </w:tblGrid>
      <w:tr>
        <w:tblPrEx>
          <w:tblW w:w="9082" w:type="dxa"/>
          <w:tblInd w:w="60" w:type="dxa"/>
          <w:tblCellMar>
            <w:left w:w="70" w:type="dxa"/>
            <w:right w:w="70" w:type="dxa"/>
          </w:tblCellMar>
          <w:tblLook w:val="00A0"/>
        </w:tblPrEx>
        <w:trPr>
          <w:trHeight w:val="340"/>
        </w:trPr>
        <w:tc>
          <w:tcPr>
            <w:tcW w:w="2704" w:type="dxa"/>
            <w:tcBorders>
              <w:top w:val="single" w:sz="8" w:space="0" w:color="auto"/>
              <w:left w:val="single" w:sz="8" w:space="0" w:color="auto"/>
              <w:bottom w:val="single" w:sz="8" w:space="0" w:color="auto"/>
              <w:right w:val="single" w:sz="8" w:space="0" w:color="auto"/>
            </w:tcBorders>
            <w:shd w:val="clear" w:color="000000" w:fill="FFFFFF"/>
            <w:textDirection w:val="lrTb"/>
            <w:vAlign w:val="center"/>
          </w:tcPr>
          <w:p w:rsidR="000604A9" w:rsidRPr="00E4339E" w:rsidP="00062C83">
            <w:pPr>
              <w:bidi w:val="0"/>
              <w:jc w:val="both"/>
              <w:rPr>
                <w:rFonts w:ascii="Arial Narrow" w:hAnsi="Arial Narrow" w:cs="Arial Narrow"/>
                <w:sz w:val="16"/>
                <w:szCs w:val="16"/>
                <w:lang w:eastAsia="sk-SK"/>
              </w:rPr>
            </w:pPr>
            <w:r w:rsidRPr="00E4339E">
              <w:rPr>
                <w:rFonts w:ascii="Arial Narrow" w:hAnsi="Arial Narrow" w:cs="Arial Narrow"/>
                <w:sz w:val="16"/>
                <w:szCs w:val="16"/>
                <w:lang w:eastAsia="sk-SK"/>
              </w:rPr>
              <w:t>(v tis. eur)</w:t>
            </w:r>
          </w:p>
        </w:tc>
        <w:tc>
          <w:tcPr>
            <w:tcW w:w="992" w:type="dxa"/>
            <w:tcBorders>
              <w:top w:val="single" w:sz="8" w:space="0" w:color="auto"/>
              <w:left w:val="single" w:sz="4" w:space="0" w:color="auto"/>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2008 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2009 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2010 OS</w:t>
            </w:r>
          </w:p>
        </w:tc>
        <w:tc>
          <w:tcPr>
            <w:tcW w:w="1134"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2011 N</w:t>
            </w:r>
          </w:p>
        </w:tc>
        <w:tc>
          <w:tcPr>
            <w:tcW w:w="962"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2012 N</w:t>
            </w:r>
          </w:p>
        </w:tc>
        <w:tc>
          <w:tcPr>
            <w:tcW w:w="1022"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2704" w:type="dxa"/>
            <w:tcBorders>
              <w:top w:val="single" w:sz="8" w:space="0" w:color="auto"/>
              <w:left w:val="single" w:sz="8" w:space="0" w:color="auto"/>
              <w:bottom w:val="single" w:sz="8" w:space="0" w:color="auto"/>
              <w:right w:val="single" w:sz="8" w:space="0" w:color="auto"/>
            </w:tcBorders>
            <w:shd w:val="clear" w:color="000000" w:fill="BFBFBF"/>
            <w:textDirection w:val="lrTb"/>
            <w:vAlign w:val="center"/>
          </w:tcPr>
          <w:p w:rsidR="000604A9" w:rsidRPr="00E4339E" w:rsidP="00062C83">
            <w:pPr>
              <w:bidi w:val="0"/>
              <w:jc w:val="both"/>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Kapitálové príjmy</w:t>
            </w:r>
          </w:p>
        </w:tc>
        <w:tc>
          <w:tcPr>
            <w:tcW w:w="992"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29 453</w:t>
            </w:r>
          </w:p>
        </w:tc>
        <w:tc>
          <w:tcPr>
            <w:tcW w:w="1134"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17 172</w:t>
            </w:r>
          </w:p>
        </w:tc>
        <w:tc>
          <w:tcPr>
            <w:tcW w:w="1134"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28 280</w:t>
            </w:r>
          </w:p>
        </w:tc>
        <w:tc>
          <w:tcPr>
            <w:tcW w:w="1134"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16 661</w:t>
            </w:r>
          </w:p>
        </w:tc>
        <w:tc>
          <w:tcPr>
            <w:tcW w:w="962"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14 768</w:t>
            </w:r>
          </w:p>
        </w:tc>
        <w:tc>
          <w:tcPr>
            <w:tcW w:w="1022"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15 086</w:t>
            </w:r>
          </w:p>
        </w:tc>
      </w:tr>
      <w:tr>
        <w:tblPrEx>
          <w:tblW w:w="9082" w:type="dxa"/>
          <w:tblInd w:w="60" w:type="dxa"/>
          <w:tblCellMar>
            <w:left w:w="70" w:type="dxa"/>
            <w:right w:w="70" w:type="dxa"/>
          </w:tblCellMar>
          <w:tblLook w:val="00A0"/>
        </w:tblPrEx>
        <w:trPr>
          <w:trHeight w:val="340"/>
        </w:trPr>
        <w:tc>
          <w:tcPr>
            <w:tcW w:w="2704"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E4339E" w:rsidP="00062C83">
            <w:pPr>
              <w:bidi w:val="0"/>
              <w:jc w:val="both"/>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 z predaja kapitálových aktív</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21 898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11 228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21 210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10 930</w:t>
            </w:r>
          </w:p>
        </w:tc>
        <w:tc>
          <w:tcPr>
            <w:tcW w:w="96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9 122</w:t>
            </w:r>
          </w:p>
        </w:tc>
        <w:tc>
          <w:tcPr>
            <w:tcW w:w="102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9 461</w:t>
            </w:r>
          </w:p>
        </w:tc>
      </w:tr>
      <w:tr>
        <w:tblPrEx>
          <w:tblW w:w="9082" w:type="dxa"/>
          <w:tblInd w:w="60" w:type="dxa"/>
          <w:tblCellMar>
            <w:left w:w="70" w:type="dxa"/>
            <w:right w:w="70" w:type="dxa"/>
          </w:tblCellMar>
          <w:tblLook w:val="00A0"/>
        </w:tblPrEx>
        <w:trPr>
          <w:trHeight w:val="340"/>
        </w:trPr>
        <w:tc>
          <w:tcPr>
            <w:tcW w:w="2704"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E4339E" w:rsidP="00062C83">
            <w:pPr>
              <w:bidi w:val="0"/>
              <w:jc w:val="both"/>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 z predaja pozemkov a nehmotných aktív</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7309</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5 406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7 070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5 731</w:t>
            </w:r>
          </w:p>
        </w:tc>
        <w:tc>
          <w:tcPr>
            <w:tcW w:w="96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5 646</w:t>
            </w:r>
          </w:p>
        </w:tc>
        <w:tc>
          <w:tcPr>
            <w:tcW w:w="102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5 625</w:t>
            </w:r>
          </w:p>
        </w:tc>
      </w:tr>
      <w:tr>
        <w:tblPrEx>
          <w:tblW w:w="9082" w:type="dxa"/>
          <w:tblInd w:w="60" w:type="dxa"/>
          <w:tblCellMar>
            <w:left w:w="70" w:type="dxa"/>
            <w:right w:w="70" w:type="dxa"/>
          </w:tblCellMar>
          <w:tblLook w:val="00A0"/>
        </w:tblPrEx>
        <w:trPr>
          <w:trHeight w:val="340"/>
        </w:trPr>
        <w:tc>
          <w:tcPr>
            <w:tcW w:w="2704" w:type="dxa"/>
            <w:tcBorders>
              <w:top w:val="nil"/>
              <w:left w:val="single" w:sz="8" w:space="0" w:color="auto"/>
              <w:bottom w:val="single" w:sz="8" w:space="0" w:color="auto"/>
              <w:right w:val="single" w:sz="8" w:space="0" w:color="auto"/>
            </w:tcBorders>
            <w:shd w:val="clear" w:color="000000" w:fill="FFFFFF"/>
            <w:textDirection w:val="lrTb"/>
            <w:vAlign w:val="center"/>
          </w:tcPr>
          <w:p w:rsidR="000604A9" w:rsidRPr="00E4339E" w:rsidP="00062C83">
            <w:pPr>
              <w:bidi w:val="0"/>
              <w:jc w:val="both"/>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ďalšie kapitálové príjmy</w:t>
            </w:r>
          </w:p>
        </w:tc>
        <w:tc>
          <w:tcPr>
            <w:tcW w:w="99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246</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538    </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0</w:t>
            </w:r>
          </w:p>
        </w:tc>
        <w:tc>
          <w:tcPr>
            <w:tcW w:w="1134"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0</w:t>
            </w:r>
          </w:p>
        </w:tc>
        <w:tc>
          <w:tcPr>
            <w:tcW w:w="96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0</w:t>
            </w:r>
          </w:p>
        </w:tc>
        <w:tc>
          <w:tcPr>
            <w:tcW w:w="1022" w:type="dxa"/>
            <w:tcBorders>
              <w:top w:val="nil"/>
              <w:left w:val="nil"/>
              <w:bottom w:val="single" w:sz="8" w:space="0" w:color="auto"/>
              <w:right w:val="single" w:sz="8"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0</w:t>
            </w:r>
          </w:p>
        </w:tc>
      </w:tr>
    </w:tbl>
    <w:p w:rsidR="000604A9" w:rsidP="000604A9">
      <w:pPr>
        <w:bidi w:val="0"/>
        <w:jc w:val="both"/>
        <w:rPr>
          <w:rFonts w:ascii="Arial Narrow" w:hAnsi="Arial Narrow" w:cs="Arial Narrow"/>
          <w:sz w:val="22"/>
          <w:szCs w:val="22"/>
        </w:rPr>
      </w:pPr>
    </w:p>
    <w:p w:rsidR="000604A9" w:rsidP="00C07070">
      <w:pPr>
        <w:bidi w:val="0"/>
        <w:ind w:firstLine="708"/>
        <w:jc w:val="both"/>
        <w:rPr>
          <w:rFonts w:ascii="Arial Narrow" w:hAnsi="Arial Narrow" w:cs="Arial Narrow"/>
          <w:sz w:val="22"/>
          <w:szCs w:val="22"/>
        </w:rPr>
      </w:pPr>
      <w:r w:rsidR="00C07070">
        <w:rPr>
          <w:rFonts w:ascii="Arial Narrow" w:hAnsi="Arial Narrow" w:cs="Arial Narrow"/>
          <w:b/>
          <w:bCs/>
          <w:sz w:val="22"/>
          <w:szCs w:val="22"/>
        </w:rPr>
        <w:t>D. Ú</w:t>
      </w:r>
      <w:r w:rsidRPr="00B56FCF">
        <w:rPr>
          <w:rFonts w:ascii="Arial Narrow" w:hAnsi="Arial Narrow" w:cs="Arial Narrow"/>
          <w:b/>
          <w:bCs/>
          <w:sz w:val="22"/>
          <w:szCs w:val="22"/>
        </w:rPr>
        <w:t xml:space="preserve">roky z tuzemských a zahraničných úverov, pôžičiek, návratných finančných výpomocí a vkladov </w:t>
      </w:r>
      <w:r w:rsidRPr="00B56FCF">
        <w:rPr>
          <w:rFonts w:ascii="Arial Narrow" w:hAnsi="Arial Narrow" w:cs="Arial Narrow"/>
          <w:sz w:val="22"/>
          <w:szCs w:val="22"/>
        </w:rPr>
        <w:t xml:space="preserve">sa v rozpočtovom období 2011 až 2013 rozpočtujú vo výške </w:t>
      </w:r>
      <w:r w:rsidRPr="00B56FCF" w:rsidR="007842C9">
        <w:rPr>
          <w:rFonts w:ascii="Arial Narrow" w:hAnsi="Arial Narrow" w:cs="Arial Narrow"/>
          <w:sz w:val="22"/>
          <w:szCs w:val="22"/>
        </w:rPr>
        <w:t>79 803</w:t>
      </w:r>
      <w:r w:rsidRPr="00B56FCF">
        <w:rPr>
          <w:rFonts w:ascii="Arial Narrow" w:hAnsi="Arial Narrow" w:cs="Arial Narrow"/>
          <w:sz w:val="22"/>
          <w:szCs w:val="22"/>
        </w:rPr>
        <w:t xml:space="preserve"> tis. eur, 1</w:t>
      </w:r>
      <w:r w:rsidRPr="00B56FCF" w:rsidR="007842C9">
        <w:rPr>
          <w:rFonts w:ascii="Arial Narrow" w:hAnsi="Arial Narrow" w:cs="Arial Narrow"/>
          <w:sz w:val="22"/>
          <w:szCs w:val="22"/>
        </w:rPr>
        <w:t>12 817</w:t>
      </w:r>
      <w:r w:rsidRPr="00B56FCF">
        <w:rPr>
          <w:rFonts w:ascii="Arial Narrow" w:hAnsi="Arial Narrow" w:cs="Arial Narrow"/>
          <w:sz w:val="22"/>
          <w:szCs w:val="22"/>
        </w:rPr>
        <w:t> tis. eur a</w:t>
      </w:r>
      <w:r w:rsidRPr="00B56FCF" w:rsidR="007842C9">
        <w:rPr>
          <w:rFonts w:ascii="Arial Narrow" w:hAnsi="Arial Narrow" w:cs="Arial Narrow"/>
          <w:sz w:val="22"/>
          <w:szCs w:val="22"/>
        </w:rPr>
        <w:t xml:space="preserve">         </w:t>
      </w:r>
      <w:r w:rsidRPr="00B56FCF">
        <w:rPr>
          <w:rFonts w:ascii="Arial Narrow" w:hAnsi="Arial Narrow" w:cs="Arial Narrow"/>
          <w:sz w:val="22"/>
          <w:szCs w:val="22"/>
        </w:rPr>
        <w:t>1</w:t>
      </w:r>
      <w:r w:rsidRPr="00B56FCF" w:rsidR="007842C9">
        <w:rPr>
          <w:rFonts w:ascii="Arial Narrow" w:hAnsi="Arial Narrow" w:cs="Arial Narrow"/>
          <w:sz w:val="22"/>
          <w:szCs w:val="22"/>
        </w:rPr>
        <w:t>23 944</w:t>
      </w:r>
      <w:r w:rsidRPr="00B56FCF">
        <w:rPr>
          <w:rFonts w:ascii="Arial Narrow" w:hAnsi="Arial Narrow" w:cs="Arial Narrow"/>
          <w:sz w:val="22"/>
          <w:szCs w:val="22"/>
        </w:rPr>
        <w:t>  tis. eur. V roku 2011 dochádza v porovnaní s očakávanou skutočnosťou roku 2010 k nárastu uvedených príjmov o </w:t>
      </w:r>
      <w:r w:rsidRPr="00B56FCF" w:rsidR="007842C9">
        <w:rPr>
          <w:rFonts w:ascii="Arial Narrow" w:hAnsi="Arial Narrow" w:cs="Arial Narrow"/>
          <w:sz w:val="22"/>
          <w:szCs w:val="22"/>
        </w:rPr>
        <w:t>34</w:t>
      </w:r>
      <w:r w:rsidRPr="00B56FCF">
        <w:rPr>
          <w:rFonts w:ascii="Arial Narrow" w:hAnsi="Arial Narrow" w:cs="Arial Narrow"/>
          <w:sz w:val="22"/>
          <w:szCs w:val="22"/>
        </w:rPr>
        <w:t>,0 %</w:t>
      </w:r>
      <w:r w:rsidR="007579E1">
        <w:rPr>
          <w:rFonts w:ascii="Arial Narrow" w:hAnsi="Arial Narrow" w:cs="Arial Narrow"/>
          <w:sz w:val="22"/>
          <w:szCs w:val="22"/>
        </w:rPr>
        <w:t xml:space="preserve"> </w:t>
      </w:r>
      <w:r w:rsidRPr="00B56FCF">
        <w:rPr>
          <w:rFonts w:ascii="Arial Narrow" w:hAnsi="Arial Narrow" w:cs="Arial Narrow"/>
          <w:sz w:val="22"/>
          <w:szCs w:val="22"/>
        </w:rPr>
        <w:t>v súvislosti s predpokladanou zlepšujúcou sa situáciou na finančnom trhu a príjmov z návratných finančných výpomocí.</w:t>
      </w:r>
      <w:r w:rsidR="00C07070">
        <w:rPr>
          <w:rFonts w:ascii="Arial Narrow" w:hAnsi="Arial Narrow" w:cs="Arial Narrow"/>
          <w:sz w:val="22"/>
          <w:szCs w:val="22"/>
        </w:rPr>
        <w:t xml:space="preserve"> </w:t>
      </w:r>
      <w:r>
        <w:rPr>
          <w:rFonts w:ascii="Arial Narrow" w:hAnsi="Arial Narrow" w:cs="Arial Narrow"/>
          <w:sz w:val="22"/>
          <w:szCs w:val="22"/>
        </w:rPr>
        <w:t>V rámci  úrokov n</w:t>
      </w:r>
      <w:r w:rsidRPr="00BC499A">
        <w:rPr>
          <w:rFonts w:ascii="Arial Narrow" w:hAnsi="Arial Narrow" w:cs="Arial Narrow"/>
          <w:sz w:val="22"/>
          <w:szCs w:val="22"/>
        </w:rPr>
        <w:t>ajväčší podiel tvoria</w:t>
      </w:r>
      <w:r>
        <w:rPr>
          <w:rFonts w:ascii="Arial Narrow" w:hAnsi="Arial Narrow" w:cs="Arial Narrow"/>
          <w:sz w:val="22"/>
          <w:szCs w:val="22"/>
        </w:rPr>
        <w:t>:</w:t>
      </w:r>
    </w:p>
    <w:p w:rsidR="000604A9" w:rsidP="00BE7180">
      <w:pPr>
        <w:numPr>
          <w:numId w:val="6"/>
        </w:numPr>
        <w:bidi w:val="0"/>
        <w:ind w:left="360"/>
        <w:jc w:val="both"/>
        <w:rPr>
          <w:rFonts w:ascii="Arial Narrow" w:hAnsi="Arial Narrow" w:cs="Arial Narrow"/>
          <w:sz w:val="22"/>
          <w:szCs w:val="22"/>
        </w:rPr>
      </w:pPr>
      <w:r w:rsidRPr="00B95E43">
        <w:rPr>
          <w:rFonts w:ascii="Arial Narrow" w:hAnsi="Arial Narrow" w:cs="Arial Narrow"/>
          <w:sz w:val="22"/>
          <w:szCs w:val="22"/>
        </w:rPr>
        <w:t>úrokové príjmy štátneho dlhu zo zhodnocovania dočasne voľných finančných prostriedkov na peňažnom trhu</w:t>
      </w:r>
      <w:r>
        <w:rPr>
          <w:rFonts w:ascii="Arial Narrow" w:hAnsi="Arial Narrow" w:cs="Arial Narrow"/>
          <w:sz w:val="22"/>
          <w:szCs w:val="22"/>
        </w:rPr>
        <w:t xml:space="preserve">; </w:t>
      </w:r>
    </w:p>
    <w:p w:rsidR="000604A9" w:rsidRPr="00BC499A" w:rsidP="00BE7180">
      <w:pPr>
        <w:numPr>
          <w:numId w:val="6"/>
        </w:numPr>
        <w:bidi w:val="0"/>
        <w:ind w:left="360"/>
        <w:jc w:val="both"/>
        <w:rPr>
          <w:rFonts w:ascii="Arial Narrow" w:hAnsi="Arial Narrow" w:cs="Arial Narrow"/>
          <w:sz w:val="22"/>
          <w:szCs w:val="22"/>
        </w:rPr>
      </w:pPr>
      <w:r w:rsidRPr="00B95E43">
        <w:rPr>
          <w:rFonts w:ascii="Arial Narrow" w:hAnsi="Arial Narrow" w:cs="Arial Narrow"/>
          <w:sz w:val="22"/>
          <w:szCs w:val="22"/>
        </w:rPr>
        <w:t>úroky z kreditných zostatkov peňažných prostriedkov vedených na účtoch Štátnej pokladnice</w:t>
      </w:r>
      <w:r w:rsidRPr="00BC499A">
        <w:rPr>
          <w:rFonts w:ascii="Arial Narrow" w:hAnsi="Arial Narrow" w:cs="Arial Narrow"/>
          <w:sz w:val="22"/>
          <w:szCs w:val="22"/>
        </w:rPr>
        <w:t xml:space="preserve"> v Národnej banke Slovenska, banke alebo pobočke zahraničnej banky vrátane úrokov z finančných operácií vykonaných Štátnou pokladnicou s klientom Štátny dlh znížené o úroky platené Štátnou pokladnicou a výnosy z finančných operácií zabezpečovaných Štátnou pokladnicou znížené o úroky plat</w:t>
      </w:r>
      <w:r>
        <w:rPr>
          <w:rFonts w:ascii="Arial Narrow" w:hAnsi="Arial Narrow" w:cs="Arial Narrow"/>
          <w:sz w:val="22"/>
          <w:szCs w:val="22"/>
        </w:rPr>
        <w:t>e</w:t>
      </w:r>
      <w:r w:rsidRPr="00BC499A">
        <w:rPr>
          <w:rFonts w:ascii="Arial Narrow" w:hAnsi="Arial Narrow" w:cs="Arial Narrow"/>
          <w:sz w:val="22"/>
          <w:szCs w:val="22"/>
        </w:rPr>
        <w:t xml:space="preserve">né Štátnou pokladnicou a príjmy z poplatkov za služby poskytované Štátnou pokladnicou znížené o náklady súvisiace s ich poskytnutím. </w:t>
      </w:r>
    </w:p>
    <w:p w:rsidR="000604A9" w:rsidRPr="00BC499A" w:rsidP="000604A9">
      <w:pPr>
        <w:bidi w:val="0"/>
        <w:jc w:val="both"/>
        <w:rPr>
          <w:rFonts w:ascii="Arial Narrow" w:hAnsi="Arial Narrow" w:cs="Arial Narrow"/>
          <w:sz w:val="22"/>
          <w:szCs w:val="22"/>
        </w:rPr>
      </w:pPr>
    </w:p>
    <w:p w:rsidR="000604A9" w:rsidRPr="00BC499A" w:rsidP="000604A9">
      <w:pPr>
        <w:bidi w:val="0"/>
        <w:jc w:val="both"/>
        <w:rPr>
          <w:rFonts w:ascii="Arial Narrow" w:hAnsi="Arial Narrow" w:cs="Arial Narrow"/>
          <w:sz w:val="22"/>
          <w:szCs w:val="22"/>
        </w:rPr>
      </w:pPr>
      <w:r w:rsidRPr="00BC499A">
        <w:rPr>
          <w:rFonts w:ascii="Arial Narrow" w:hAnsi="Arial Narrow" w:cs="Arial Narrow"/>
          <w:sz w:val="22"/>
          <w:szCs w:val="22"/>
        </w:rPr>
        <w:tab/>
        <w:t>Ďalej sem patria úroky z poskytnutých návratných finančných výpomoc</w:t>
      </w:r>
      <w:r>
        <w:rPr>
          <w:rFonts w:ascii="Arial Narrow" w:hAnsi="Arial Narrow" w:cs="Arial Narrow"/>
          <w:sz w:val="22"/>
          <w:szCs w:val="22"/>
        </w:rPr>
        <w:t>í – úroky z úverov poskytnutých m</w:t>
      </w:r>
      <w:r w:rsidRPr="00BC499A">
        <w:rPr>
          <w:rFonts w:ascii="Arial Narrow" w:hAnsi="Arial Narrow" w:cs="Arial Narrow"/>
          <w:sz w:val="22"/>
          <w:szCs w:val="22"/>
        </w:rPr>
        <w:t>estu Košice</w:t>
      </w:r>
      <w:r w:rsidR="00141173">
        <w:rPr>
          <w:rFonts w:ascii="Arial Narrow" w:hAnsi="Arial Narrow" w:cs="Arial Narrow"/>
          <w:sz w:val="22"/>
          <w:szCs w:val="22"/>
        </w:rPr>
        <w:t>,</w:t>
      </w:r>
      <w:r>
        <w:rPr>
          <w:rFonts w:ascii="Arial Narrow" w:hAnsi="Arial Narrow" w:cs="Arial Narrow"/>
          <w:sz w:val="22"/>
          <w:szCs w:val="22"/>
        </w:rPr>
        <w:t xml:space="preserve"> Bra</w:t>
      </w:r>
      <w:r w:rsidR="00141173">
        <w:rPr>
          <w:rFonts w:ascii="Arial Narrow" w:hAnsi="Arial Narrow" w:cs="Arial Narrow"/>
          <w:sz w:val="22"/>
          <w:szCs w:val="22"/>
        </w:rPr>
        <w:t xml:space="preserve">tislavskému samosprávnemu kraju </w:t>
      </w:r>
      <w:r w:rsidRPr="00BC499A">
        <w:rPr>
          <w:rFonts w:ascii="Arial Narrow" w:hAnsi="Arial Narrow" w:cs="Arial Narrow"/>
          <w:sz w:val="22"/>
          <w:szCs w:val="22"/>
        </w:rPr>
        <w:t>a úroky z realizovaných štátnych záruk</w:t>
      </w:r>
      <w:r>
        <w:rPr>
          <w:rFonts w:ascii="Arial Narrow" w:hAnsi="Arial Narrow" w:cs="Arial Narrow"/>
          <w:sz w:val="22"/>
          <w:szCs w:val="22"/>
        </w:rPr>
        <w:t xml:space="preserve"> –</w:t>
      </w:r>
      <w:r w:rsidRPr="00BC499A">
        <w:rPr>
          <w:rFonts w:ascii="Arial Narrow" w:hAnsi="Arial Narrow" w:cs="Arial Narrow"/>
          <w:sz w:val="22"/>
          <w:szCs w:val="22"/>
        </w:rPr>
        <w:t xml:space="preserve"> Vodohospodárska výstavba, š. p.</w:t>
      </w:r>
      <w:r>
        <w:rPr>
          <w:rFonts w:ascii="Arial Narrow" w:hAnsi="Arial Narrow" w:cs="Arial Narrow"/>
          <w:sz w:val="22"/>
          <w:szCs w:val="22"/>
        </w:rPr>
        <w:t>,</w:t>
      </w:r>
      <w:r w:rsidRPr="00BC499A">
        <w:rPr>
          <w:rFonts w:ascii="Arial Narrow" w:hAnsi="Arial Narrow" w:cs="Arial Narrow"/>
          <w:sz w:val="22"/>
          <w:szCs w:val="22"/>
        </w:rPr>
        <w:t xml:space="preserve"> v zmysle platných splátkových kalendárov.  </w:t>
      </w:r>
    </w:p>
    <w:p w:rsidR="00C07070" w:rsidP="000604A9">
      <w:pPr>
        <w:tabs>
          <w:tab w:val="left" w:pos="1620"/>
        </w:tabs>
        <w:bidi w:val="0"/>
        <w:ind w:firstLine="708"/>
        <w:jc w:val="both"/>
        <w:rPr>
          <w:rFonts w:ascii="Arial Narrow" w:hAnsi="Arial Narrow" w:cs="Arial Narrow"/>
          <w:sz w:val="22"/>
          <w:szCs w:val="22"/>
        </w:rPr>
      </w:pPr>
    </w:p>
    <w:p w:rsidR="000604A9" w:rsidP="000604A9">
      <w:pPr>
        <w:tabs>
          <w:tab w:val="left" w:pos="1620"/>
        </w:tabs>
        <w:bidi w:val="0"/>
        <w:ind w:firstLine="708"/>
        <w:jc w:val="both"/>
        <w:rPr>
          <w:rFonts w:ascii="Arial Narrow" w:hAnsi="Arial Narrow" w:cs="Arial Narrow"/>
          <w:sz w:val="22"/>
          <w:szCs w:val="22"/>
        </w:rPr>
      </w:pPr>
      <w:r>
        <w:rPr>
          <w:rFonts w:ascii="Arial Narrow" w:hAnsi="Arial Narrow" w:cs="Arial Narrow"/>
          <w:sz w:val="22"/>
          <w:szCs w:val="22"/>
        </w:rPr>
        <w:t>Ú</w:t>
      </w:r>
      <w:r w:rsidRPr="00BC499A">
        <w:rPr>
          <w:rFonts w:ascii="Arial Narrow" w:hAnsi="Arial Narrow" w:cs="Arial Narrow"/>
          <w:sz w:val="22"/>
          <w:szCs w:val="22"/>
        </w:rPr>
        <w:t>roky zo zahraničných úverov, pôžičiek, návratných finančných výpomocí a vkladov tvoria najmä úroky z vládnych úverov poskytnutých do zahraničia</w:t>
      </w:r>
      <w:r>
        <w:rPr>
          <w:rFonts w:ascii="Arial Narrow" w:hAnsi="Arial Narrow" w:cs="Arial Narrow"/>
          <w:sz w:val="22"/>
          <w:szCs w:val="22"/>
        </w:rPr>
        <w:t>.</w:t>
      </w:r>
      <w:r w:rsidRPr="00BC499A">
        <w:rPr>
          <w:rFonts w:ascii="Arial Narrow" w:hAnsi="Arial Narrow" w:cs="Arial Narrow"/>
          <w:sz w:val="22"/>
          <w:szCs w:val="22"/>
        </w:rPr>
        <w:t xml:space="preserve"> Sú príjmami kapitoly Všeobecná pokladničná správa. </w:t>
      </w:r>
      <w:r w:rsidRPr="003D4829">
        <w:rPr>
          <w:rFonts w:ascii="Arial Narrow" w:hAnsi="Arial Narrow" w:cs="Arial Narrow"/>
          <w:sz w:val="22"/>
          <w:szCs w:val="22"/>
        </w:rPr>
        <w:t xml:space="preserve">V rámci kapitoly Ministerstva zahraničných vecí SR </w:t>
      </w:r>
      <w:r>
        <w:rPr>
          <w:rFonts w:ascii="Arial Narrow" w:hAnsi="Arial Narrow" w:cs="Arial Narrow"/>
          <w:sz w:val="22"/>
          <w:szCs w:val="22"/>
        </w:rPr>
        <w:t xml:space="preserve">a Ministerstva obrany SR </w:t>
      </w:r>
      <w:r w:rsidRPr="003D4829">
        <w:rPr>
          <w:rFonts w:ascii="Arial Narrow" w:hAnsi="Arial Narrow" w:cs="Arial Narrow"/>
          <w:sz w:val="22"/>
          <w:szCs w:val="22"/>
        </w:rPr>
        <w:t xml:space="preserve">ide o kreditné úroky účtov zastupiteľských úradov Slovenskej republiky v zahraničí. </w:t>
      </w:r>
    </w:p>
    <w:p w:rsidR="0043546E" w:rsidP="000604A9">
      <w:pPr>
        <w:tabs>
          <w:tab w:val="left" w:pos="1620"/>
        </w:tabs>
        <w:bidi w:val="0"/>
        <w:ind w:firstLine="708"/>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2800"/>
        <w:gridCol w:w="1060"/>
        <w:gridCol w:w="1060"/>
        <w:gridCol w:w="1060"/>
        <w:gridCol w:w="1060"/>
        <w:gridCol w:w="1060"/>
        <w:gridCol w:w="982"/>
      </w:tblGrid>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(v tis. eur)</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2008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2009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2010 OS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2011 N</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2012 N</w:t>
            </w:r>
          </w:p>
        </w:tc>
        <w:tc>
          <w:tcPr>
            <w:tcW w:w="982"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B56FCF" w:rsidP="00062C83">
            <w:pPr>
              <w:bidi w:val="0"/>
              <w:jc w:val="center"/>
              <w:rPr>
                <w:rFonts w:ascii="Arial Narrow" w:hAnsi="Arial Narrow" w:cs="Arial Narrow"/>
                <w:b/>
                <w:bCs/>
                <w:sz w:val="16"/>
                <w:szCs w:val="16"/>
                <w:lang w:eastAsia="sk-SK"/>
              </w:rPr>
            </w:pPr>
            <w:r w:rsidRPr="00B56FCF">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4"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Z úverov a pôžičiek</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418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192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253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498</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498</w:t>
            </w:r>
          </w:p>
        </w:tc>
        <w:tc>
          <w:tcPr>
            <w:tcW w:w="982" w:type="dxa"/>
            <w:tcBorders>
              <w:top w:val="nil"/>
              <w:left w:val="nil"/>
              <w:bottom w:val="single" w:sz="4"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498</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4"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 xml:space="preserve">Úroky z finančných operácií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95 622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53 719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31 344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47 910</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59 736</w:t>
            </w:r>
          </w:p>
        </w:tc>
        <w:tc>
          <w:tcPr>
            <w:tcW w:w="982" w:type="dxa"/>
            <w:tcBorders>
              <w:top w:val="nil"/>
              <w:left w:val="nil"/>
              <w:bottom w:val="single" w:sz="4"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54 221</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4"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Úroky z účtov fin. hospodárenia zo ŠP</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128 195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18 347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4 502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19 965</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41 886</w:t>
            </w:r>
          </w:p>
        </w:tc>
        <w:tc>
          <w:tcPr>
            <w:tcW w:w="982" w:type="dxa"/>
            <w:tcBorders>
              <w:top w:val="nil"/>
              <w:left w:val="nil"/>
              <w:bottom w:val="single" w:sz="4"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59 257</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4"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Úroky z návratných fin</w:t>
            </w:r>
            <w:r w:rsidRPr="00B56FCF" w:rsidR="00141173">
              <w:rPr>
                <w:rFonts w:ascii="Arial Narrow" w:hAnsi="Arial Narrow" w:cs="Arial Narrow"/>
                <w:sz w:val="16"/>
                <w:szCs w:val="16"/>
                <w:lang w:eastAsia="sk-SK"/>
              </w:rPr>
              <w:t>ančných</w:t>
            </w:r>
            <w:r w:rsidRPr="00B56FCF">
              <w:rPr>
                <w:rFonts w:ascii="Arial Narrow" w:hAnsi="Arial Narrow" w:cs="Arial Narrow"/>
                <w:sz w:val="16"/>
                <w:szCs w:val="16"/>
                <w:lang w:eastAsia="sk-SK"/>
              </w:rPr>
              <w:t xml:space="preserve"> výpomocí a štátnych záruk</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13 440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17 883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22 867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sidR="009D6BA1">
              <w:rPr>
                <w:rFonts w:ascii="Arial Narrow" w:hAnsi="Arial Narrow" w:cs="Arial Narrow"/>
                <w:sz w:val="16"/>
                <w:szCs w:val="16"/>
                <w:lang w:eastAsia="sk-SK"/>
              </w:rPr>
              <w:t>11 393</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sidR="009D6BA1">
              <w:rPr>
                <w:rFonts w:ascii="Arial Narrow" w:hAnsi="Arial Narrow" w:cs="Arial Narrow"/>
                <w:sz w:val="16"/>
                <w:szCs w:val="16"/>
                <w:lang w:eastAsia="sk-SK"/>
              </w:rPr>
              <w:t>10 673</w:t>
            </w:r>
          </w:p>
        </w:tc>
        <w:tc>
          <w:tcPr>
            <w:tcW w:w="982" w:type="dxa"/>
            <w:tcBorders>
              <w:top w:val="nil"/>
              <w:left w:val="nil"/>
              <w:bottom w:val="single" w:sz="4"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sidR="009D6BA1">
              <w:rPr>
                <w:rFonts w:ascii="Arial Narrow" w:hAnsi="Arial Narrow" w:cs="Arial Narrow"/>
                <w:sz w:val="16"/>
                <w:szCs w:val="16"/>
                <w:lang w:eastAsia="sk-SK"/>
              </w:rPr>
              <w:t>9 953</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4"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Ostatné domáce úroky</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0</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0</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11    </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0</w:t>
            </w:r>
          </w:p>
        </w:tc>
        <w:tc>
          <w:tcPr>
            <w:tcW w:w="1060" w:type="dxa"/>
            <w:tcBorders>
              <w:top w:val="nil"/>
              <w:left w:val="nil"/>
              <w:bottom w:val="single" w:sz="4"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0</w:t>
            </w:r>
          </w:p>
        </w:tc>
        <w:tc>
          <w:tcPr>
            <w:tcW w:w="982" w:type="dxa"/>
            <w:tcBorders>
              <w:top w:val="nil"/>
              <w:left w:val="nil"/>
              <w:bottom w:val="single" w:sz="4"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0</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4" w:space="0" w:color="auto"/>
            </w:tcBorders>
            <w:shd w:val="clear" w:color="000000" w:fill="FFFFFF"/>
            <w:textDirection w:val="lrTb"/>
            <w:vAlign w:val="center"/>
          </w:tcPr>
          <w:p w:rsidR="000604A9" w:rsidRPr="00B56FCF" w:rsidP="00062C83">
            <w:pPr>
              <w:bidi w:val="0"/>
              <w:jc w:val="both"/>
              <w:rPr>
                <w:rFonts w:ascii="Arial Narrow" w:hAnsi="Arial Narrow" w:cs="Arial Narrow"/>
                <w:sz w:val="16"/>
                <w:szCs w:val="16"/>
                <w:lang w:eastAsia="sk-SK"/>
              </w:rPr>
            </w:pPr>
            <w:r w:rsidRPr="00B56FCF">
              <w:rPr>
                <w:rFonts w:ascii="Arial Narrow" w:hAnsi="Arial Narrow" w:cs="Arial Narrow"/>
                <w:sz w:val="16"/>
                <w:szCs w:val="16"/>
                <w:lang w:eastAsia="sk-SK"/>
              </w:rPr>
              <w:t>Úroky z vládnych úverov poskytnutých do zahraničia</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482    </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4 584    </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 xml:space="preserve">            594    </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37</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24</w:t>
            </w:r>
          </w:p>
        </w:tc>
        <w:tc>
          <w:tcPr>
            <w:tcW w:w="982" w:type="dxa"/>
            <w:tcBorders>
              <w:top w:val="nil"/>
              <w:left w:val="nil"/>
              <w:bottom w:val="single" w:sz="8" w:space="0" w:color="auto"/>
              <w:right w:val="single" w:sz="8" w:space="0" w:color="auto"/>
            </w:tcBorders>
            <w:shd w:val="clear" w:color="000000" w:fill="FFFFFF"/>
            <w:textDirection w:val="lrTb"/>
            <w:vAlign w:val="center"/>
          </w:tcPr>
          <w:p w:rsidR="000604A9" w:rsidRPr="00B56FCF" w:rsidP="00062C83">
            <w:pPr>
              <w:bidi w:val="0"/>
              <w:jc w:val="right"/>
              <w:rPr>
                <w:rFonts w:ascii="Arial Narrow" w:hAnsi="Arial Narrow" w:cs="Arial Narrow"/>
                <w:sz w:val="16"/>
                <w:szCs w:val="16"/>
                <w:lang w:eastAsia="sk-SK"/>
              </w:rPr>
            </w:pPr>
            <w:r w:rsidRPr="00B56FCF">
              <w:rPr>
                <w:rFonts w:ascii="Arial Narrow" w:hAnsi="Arial Narrow" w:cs="Arial Narrow"/>
                <w:sz w:val="16"/>
                <w:szCs w:val="16"/>
                <w:lang w:eastAsia="sk-SK"/>
              </w:rPr>
              <w:t>15</w:t>
            </w:r>
          </w:p>
        </w:tc>
      </w:tr>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8" w:space="0" w:color="auto"/>
              <w:right w:val="single" w:sz="4" w:space="0" w:color="auto"/>
            </w:tcBorders>
            <w:shd w:val="clear" w:color="000000" w:fill="BFBFBF"/>
            <w:textDirection w:val="lrTb"/>
            <w:vAlign w:val="center"/>
          </w:tcPr>
          <w:p w:rsidR="000604A9" w:rsidRPr="00B56FCF" w:rsidP="00062C83">
            <w:pPr>
              <w:bidi w:val="0"/>
              <w:jc w:val="both"/>
              <w:rPr>
                <w:rFonts w:ascii="Arial Narrow" w:hAnsi="Arial Narrow" w:cs="Arial Narrow"/>
                <w:b/>
                <w:bCs/>
                <w:sz w:val="16"/>
                <w:szCs w:val="16"/>
                <w:lang w:eastAsia="sk-SK"/>
              </w:rPr>
            </w:pPr>
            <w:r w:rsidRPr="00B56FCF">
              <w:rPr>
                <w:rFonts w:ascii="Arial Narrow" w:hAnsi="Arial Narrow" w:cs="Arial Narrow"/>
                <w:b/>
                <w:bCs/>
                <w:sz w:val="16"/>
                <w:szCs w:val="16"/>
                <w:lang w:eastAsia="sk-SK"/>
              </w:rPr>
              <w:t>Spolu</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sz w:val="16"/>
                <w:szCs w:val="16"/>
                <w:lang w:eastAsia="sk-SK"/>
              </w:rPr>
            </w:pPr>
            <w:r w:rsidRPr="00B56FCF">
              <w:rPr>
                <w:rFonts w:ascii="Arial Narrow" w:hAnsi="Arial Narrow" w:cs="Arial Narrow"/>
                <w:b/>
                <w:bCs/>
                <w:sz w:val="16"/>
                <w:szCs w:val="16"/>
                <w:lang w:eastAsia="sk-SK"/>
              </w:rPr>
              <w:t>238 157</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sz w:val="16"/>
                <w:szCs w:val="16"/>
                <w:lang w:eastAsia="sk-SK"/>
              </w:rPr>
            </w:pPr>
            <w:r w:rsidRPr="00B56FCF">
              <w:rPr>
                <w:rFonts w:ascii="Arial Narrow" w:hAnsi="Arial Narrow" w:cs="Arial Narrow"/>
                <w:b/>
                <w:bCs/>
                <w:sz w:val="16"/>
                <w:szCs w:val="16"/>
                <w:lang w:eastAsia="sk-SK"/>
              </w:rPr>
              <w:t>94 725</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sz w:val="16"/>
                <w:szCs w:val="16"/>
                <w:lang w:eastAsia="sk-SK"/>
              </w:rPr>
            </w:pPr>
            <w:r w:rsidRPr="00B56FCF">
              <w:rPr>
                <w:rFonts w:ascii="Arial Narrow" w:hAnsi="Arial Narrow" w:cs="Arial Narrow"/>
                <w:b/>
                <w:bCs/>
                <w:sz w:val="16"/>
                <w:szCs w:val="16"/>
                <w:lang w:eastAsia="sk-SK"/>
              </w:rPr>
              <w:t>59 571</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sz w:val="16"/>
                <w:szCs w:val="16"/>
                <w:lang w:eastAsia="sk-SK"/>
              </w:rPr>
            </w:pPr>
            <w:r w:rsidRPr="00B56FCF" w:rsidR="009D6BA1">
              <w:rPr>
                <w:rFonts w:ascii="Arial Narrow" w:hAnsi="Arial Narrow" w:cs="Arial Narrow"/>
                <w:b/>
                <w:bCs/>
                <w:sz w:val="16"/>
                <w:szCs w:val="16"/>
                <w:lang w:eastAsia="sk-SK"/>
              </w:rPr>
              <w:t>79 803</w:t>
            </w:r>
          </w:p>
        </w:tc>
        <w:tc>
          <w:tcPr>
            <w:tcW w:w="1060" w:type="dxa"/>
            <w:tcBorders>
              <w:top w:val="single" w:sz="8" w:space="0" w:color="auto"/>
              <w:left w:val="nil"/>
              <w:bottom w:val="single" w:sz="8" w:space="0" w:color="auto"/>
              <w:right w:val="single" w:sz="4" w:space="0" w:color="auto"/>
            </w:tcBorders>
            <w:shd w:val="clear" w:color="000000" w:fill="BFBFBF"/>
            <w:textDirection w:val="lrTb"/>
            <w:vAlign w:val="center"/>
          </w:tcPr>
          <w:p w:rsidR="000604A9" w:rsidRPr="00B56FCF" w:rsidP="00062C83">
            <w:pPr>
              <w:bidi w:val="0"/>
              <w:jc w:val="right"/>
              <w:rPr>
                <w:rFonts w:ascii="Arial Narrow" w:hAnsi="Arial Narrow" w:cs="Arial Narrow"/>
                <w:b/>
                <w:bCs/>
                <w:sz w:val="16"/>
                <w:szCs w:val="16"/>
                <w:lang w:eastAsia="sk-SK"/>
              </w:rPr>
            </w:pPr>
            <w:r w:rsidRPr="00B56FCF" w:rsidR="009D6BA1">
              <w:rPr>
                <w:rFonts w:ascii="Arial Narrow" w:hAnsi="Arial Narrow" w:cs="Arial Narrow"/>
                <w:b/>
                <w:bCs/>
                <w:sz w:val="16"/>
                <w:szCs w:val="16"/>
                <w:lang w:eastAsia="sk-SK"/>
              </w:rPr>
              <w:t>112 817</w:t>
            </w:r>
          </w:p>
        </w:tc>
        <w:tc>
          <w:tcPr>
            <w:tcW w:w="982" w:type="dxa"/>
            <w:tcBorders>
              <w:top w:val="single" w:sz="8" w:space="0" w:color="auto"/>
              <w:left w:val="nil"/>
              <w:bottom w:val="single" w:sz="8" w:space="0" w:color="auto"/>
              <w:right w:val="single" w:sz="8" w:space="0" w:color="auto"/>
            </w:tcBorders>
            <w:shd w:val="clear" w:color="000000" w:fill="BFBFBF"/>
            <w:textDirection w:val="lrTb"/>
            <w:vAlign w:val="center"/>
          </w:tcPr>
          <w:p w:rsidR="000604A9" w:rsidRPr="00CC6B02" w:rsidP="00062C83">
            <w:pPr>
              <w:bidi w:val="0"/>
              <w:jc w:val="right"/>
              <w:rPr>
                <w:rFonts w:ascii="Arial Narrow" w:hAnsi="Arial Narrow" w:cs="Arial Narrow"/>
                <w:b/>
                <w:bCs/>
                <w:sz w:val="16"/>
                <w:szCs w:val="16"/>
                <w:lang w:eastAsia="sk-SK"/>
              </w:rPr>
            </w:pPr>
            <w:r w:rsidRPr="00B56FCF" w:rsidR="009D6BA1">
              <w:rPr>
                <w:rFonts w:ascii="Arial Narrow" w:hAnsi="Arial Narrow" w:cs="Arial Narrow"/>
                <w:b/>
                <w:bCs/>
                <w:sz w:val="16"/>
                <w:szCs w:val="16"/>
                <w:lang w:eastAsia="sk-SK"/>
              </w:rPr>
              <w:t>123 944</w:t>
            </w:r>
          </w:p>
        </w:tc>
      </w:tr>
    </w:tbl>
    <w:p w:rsidR="000604A9" w:rsidP="000604A9">
      <w:pPr>
        <w:tabs>
          <w:tab w:val="left" w:pos="1620"/>
        </w:tabs>
        <w:bidi w:val="0"/>
        <w:ind w:firstLine="708"/>
        <w:jc w:val="both"/>
        <w:rPr>
          <w:rFonts w:ascii="Arial Narrow" w:hAnsi="Arial Narrow" w:cs="Arial Narrow"/>
          <w:sz w:val="22"/>
          <w:szCs w:val="22"/>
        </w:rPr>
      </w:pPr>
    </w:p>
    <w:p w:rsidR="000604A9" w:rsidP="000604A9">
      <w:pPr>
        <w:bidi w:val="0"/>
        <w:ind w:firstLine="708"/>
        <w:jc w:val="both"/>
        <w:rPr>
          <w:rFonts w:ascii="Arial Narrow" w:hAnsi="Arial Narrow" w:cs="Arial Narrow"/>
          <w:sz w:val="22"/>
          <w:szCs w:val="22"/>
        </w:rPr>
      </w:pPr>
      <w:r w:rsidRPr="00BC499A">
        <w:rPr>
          <w:rFonts w:ascii="Arial Narrow" w:hAnsi="Arial Narrow" w:cs="Arial Narrow"/>
          <w:b/>
          <w:bCs/>
          <w:sz w:val="22"/>
          <w:szCs w:val="22"/>
        </w:rPr>
        <w:t xml:space="preserve">E. </w:t>
      </w:r>
      <w:r w:rsidRPr="000F3ADF" w:rsidR="000F3ADF">
        <w:rPr>
          <w:rFonts w:ascii="Arial Narrow" w:hAnsi="Arial Narrow" w:cs="Arial Narrow"/>
          <w:bCs/>
          <w:sz w:val="22"/>
          <w:szCs w:val="22"/>
        </w:rPr>
        <w:t>V rámci</w:t>
      </w:r>
      <w:r w:rsidR="000F3ADF">
        <w:rPr>
          <w:rFonts w:ascii="Arial Narrow" w:hAnsi="Arial Narrow" w:cs="Arial Narrow"/>
          <w:b/>
          <w:bCs/>
          <w:sz w:val="22"/>
          <w:szCs w:val="22"/>
        </w:rPr>
        <w:t xml:space="preserve"> </w:t>
      </w:r>
      <w:r w:rsidRPr="000F3ADF" w:rsidR="000F3ADF">
        <w:rPr>
          <w:rFonts w:ascii="Arial Narrow" w:hAnsi="Arial Narrow" w:cs="Arial Narrow"/>
          <w:b/>
          <w:bCs/>
          <w:sz w:val="22"/>
          <w:szCs w:val="22"/>
        </w:rPr>
        <w:t>i</w:t>
      </w:r>
      <w:r w:rsidRPr="000F3ADF">
        <w:rPr>
          <w:rFonts w:ascii="Arial Narrow" w:hAnsi="Arial Narrow" w:cs="Arial Narrow"/>
          <w:b/>
          <w:bCs/>
          <w:sz w:val="22"/>
          <w:szCs w:val="22"/>
        </w:rPr>
        <w:t>n</w:t>
      </w:r>
      <w:r w:rsidRPr="000F3ADF" w:rsidR="000F3ADF">
        <w:rPr>
          <w:rFonts w:ascii="Arial Narrow" w:hAnsi="Arial Narrow" w:cs="Arial Narrow"/>
          <w:b/>
          <w:bCs/>
          <w:sz w:val="22"/>
          <w:szCs w:val="22"/>
        </w:rPr>
        <w:t>ých</w:t>
      </w:r>
      <w:r w:rsidRPr="000F3ADF">
        <w:rPr>
          <w:rFonts w:ascii="Arial Narrow" w:hAnsi="Arial Narrow" w:cs="Arial Narrow"/>
          <w:b/>
          <w:bCs/>
          <w:sz w:val="22"/>
          <w:szCs w:val="22"/>
        </w:rPr>
        <w:t xml:space="preserve"> nedaňov</w:t>
      </w:r>
      <w:r w:rsidRPr="000F3ADF" w:rsidR="000F3ADF">
        <w:rPr>
          <w:rFonts w:ascii="Arial Narrow" w:hAnsi="Arial Narrow" w:cs="Arial Narrow"/>
          <w:b/>
          <w:bCs/>
          <w:sz w:val="22"/>
          <w:szCs w:val="22"/>
        </w:rPr>
        <w:t>ých</w:t>
      </w:r>
      <w:r w:rsidRPr="000F3ADF">
        <w:rPr>
          <w:rFonts w:ascii="Arial Narrow" w:hAnsi="Arial Narrow" w:cs="Arial Narrow"/>
          <w:b/>
          <w:bCs/>
          <w:sz w:val="22"/>
          <w:szCs w:val="22"/>
        </w:rPr>
        <w:t xml:space="preserve"> príjm</w:t>
      </w:r>
      <w:r w:rsidRPr="000F3ADF" w:rsidR="000F3ADF">
        <w:rPr>
          <w:rFonts w:ascii="Arial Narrow" w:hAnsi="Arial Narrow" w:cs="Arial Narrow"/>
          <w:b/>
          <w:bCs/>
          <w:sz w:val="22"/>
          <w:szCs w:val="22"/>
        </w:rPr>
        <w:t>ov</w:t>
      </w:r>
      <w:r w:rsidRPr="000F3ADF">
        <w:rPr>
          <w:rFonts w:ascii="Arial Narrow" w:hAnsi="Arial Narrow" w:cs="Arial Narrow"/>
          <w:sz w:val="22"/>
          <w:szCs w:val="22"/>
        </w:rPr>
        <w:t xml:space="preserve"> </w:t>
      </w:r>
      <w:r w:rsidRPr="000F3ADF" w:rsidR="000F3ADF">
        <w:rPr>
          <w:rFonts w:ascii="Arial Narrow" w:hAnsi="Arial Narrow" w:cs="Arial Narrow"/>
          <w:sz w:val="22"/>
          <w:szCs w:val="22"/>
        </w:rPr>
        <w:t xml:space="preserve">predstavujú najväčší objem príjmy z hazardných hier, ktoré sú rozpočtované v kapitole Všeobecná pokladničná správa. </w:t>
      </w:r>
      <w:r w:rsidR="000F3ADF">
        <w:rPr>
          <w:rFonts w:ascii="Arial Narrow" w:hAnsi="Arial Narrow" w:cs="Arial Narrow"/>
          <w:sz w:val="22"/>
          <w:szCs w:val="22"/>
        </w:rPr>
        <w:t xml:space="preserve">Ďalej sem patria </w:t>
      </w:r>
      <w:r w:rsidRPr="000F3ADF">
        <w:rPr>
          <w:rFonts w:ascii="Arial Narrow" w:hAnsi="Arial Narrow" w:cs="Arial Narrow"/>
          <w:sz w:val="22"/>
          <w:szCs w:val="22"/>
        </w:rPr>
        <w:t xml:space="preserve">vrátené neoprávnene použité alebo zadržané finančné prostriedky a ostatné príjmy. </w:t>
      </w:r>
    </w:p>
    <w:p w:rsidR="000604A9" w:rsidP="000604A9">
      <w:pPr>
        <w:bidi w:val="0"/>
        <w:jc w:val="both"/>
        <w:rPr>
          <w:rFonts w:ascii="Arial Narrow" w:hAnsi="Arial Narrow" w:cs="Arial Narrow"/>
          <w:sz w:val="22"/>
          <w:szCs w:val="22"/>
        </w:rPr>
      </w:pPr>
    </w:p>
    <w:p w:rsidR="000604A9" w:rsidP="000604A9">
      <w:pPr>
        <w:bidi w:val="0"/>
        <w:jc w:val="both"/>
        <w:rPr>
          <w:rFonts w:ascii="Arial Narrow" w:hAnsi="Arial Narrow" w:cs="Arial Narrow"/>
          <w:sz w:val="22"/>
          <w:szCs w:val="22"/>
        </w:rPr>
      </w:pPr>
      <w:r>
        <w:rPr>
          <w:rFonts w:ascii="Arial Narrow" w:hAnsi="Arial Narrow" w:cs="Arial Narrow"/>
          <w:sz w:val="22"/>
          <w:szCs w:val="22"/>
        </w:rPr>
        <w:tab/>
        <w:t xml:space="preserve">V rozpočtovom období 2011 až 2013 sa  predpokladajú tieto príjmy vo výške: </w:t>
      </w:r>
    </w:p>
    <w:p w:rsidR="000604A9" w:rsidP="000604A9">
      <w:pPr>
        <w:bidi w:val="0"/>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2800"/>
        <w:gridCol w:w="1060"/>
        <w:gridCol w:w="1060"/>
        <w:gridCol w:w="1060"/>
        <w:gridCol w:w="1060"/>
        <w:gridCol w:w="1060"/>
        <w:gridCol w:w="982"/>
      </w:tblGrid>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E4339E" w:rsidP="00062C83">
            <w:pPr>
              <w:bidi w:val="0"/>
              <w:jc w:val="both"/>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(v tis. eur)</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2008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2009 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2010 OS</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2011 N</w:t>
            </w:r>
          </w:p>
        </w:tc>
        <w:tc>
          <w:tcPr>
            <w:tcW w:w="106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2012 N</w:t>
            </w:r>
          </w:p>
        </w:tc>
        <w:tc>
          <w:tcPr>
            <w:tcW w:w="982"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E4339E" w:rsidP="00062C83">
            <w:pPr>
              <w:bidi w:val="0"/>
              <w:jc w:val="center"/>
              <w:rPr>
                <w:rFonts w:ascii="Arial Narrow" w:hAnsi="Arial Narrow" w:cs="Arial Narrow"/>
                <w:b/>
                <w:bCs/>
                <w:sz w:val="16"/>
                <w:szCs w:val="16"/>
                <w:lang w:eastAsia="sk-SK"/>
              </w:rPr>
            </w:pPr>
            <w:r w:rsidRPr="00E4339E">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2800" w:type="dxa"/>
            <w:tcBorders>
              <w:top w:val="single" w:sz="8" w:space="0" w:color="auto"/>
              <w:left w:val="single" w:sz="8" w:space="0" w:color="auto"/>
              <w:bottom w:val="single" w:sz="4" w:space="0" w:color="auto"/>
              <w:right w:val="single" w:sz="4" w:space="0" w:color="auto"/>
            </w:tcBorders>
            <w:shd w:val="clear" w:color="000000" w:fill="BFBFBF"/>
            <w:textDirection w:val="lrTb"/>
            <w:vAlign w:val="center"/>
          </w:tcPr>
          <w:p w:rsidR="000604A9" w:rsidRPr="00E4339E" w:rsidP="00062C83">
            <w:pPr>
              <w:bidi w:val="0"/>
              <w:jc w:val="both"/>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Iné nedaňové príjmy</w:t>
            </w:r>
          </w:p>
        </w:tc>
        <w:tc>
          <w:tcPr>
            <w:tcW w:w="10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 xml:space="preserve">      235 260    </w:t>
            </w:r>
          </w:p>
        </w:tc>
        <w:tc>
          <w:tcPr>
            <w:tcW w:w="10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 xml:space="preserve">      298 480    </w:t>
            </w:r>
          </w:p>
        </w:tc>
        <w:tc>
          <w:tcPr>
            <w:tcW w:w="10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E4339E" w:rsidP="00062C83">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 xml:space="preserve">      234 850    </w:t>
            </w:r>
          </w:p>
        </w:tc>
        <w:tc>
          <w:tcPr>
            <w:tcW w:w="10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E4339E" w:rsidP="009D6BA1">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21</w:t>
            </w:r>
            <w:r w:rsidR="009D6BA1">
              <w:rPr>
                <w:rFonts w:ascii="Arial Narrow" w:hAnsi="Arial Narrow" w:cs="Arial Narrow"/>
                <w:b/>
                <w:bCs/>
                <w:color w:val="000000"/>
                <w:sz w:val="16"/>
                <w:szCs w:val="16"/>
                <w:lang w:eastAsia="sk-SK"/>
              </w:rPr>
              <w:t>6</w:t>
            </w:r>
            <w:r w:rsidRPr="00E4339E">
              <w:rPr>
                <w:rFonts w:ascii="Arial Narrow" w:hAnsi="Arial Narrow" w:cs="Arial Narrow"/>
                <w:b/>
                <w:bCs/>
                <w:color w:val="000000"/>
                <w:sz w:val="16"/>
                <w:szCs w:val="16"/>
                <w:lang w:eastAsia="sk-SK"/>
              </w:rPr>
              <w:t xml:space="preserve"> 628</w:t>
            </w:r>
          </w:p>
        </w:tc>
        <w:tc>
          <w:tcPr>
            <w:tcW w:w="1060" w:type="dxa"/>
            <w:tcBorders>
              <w:top w:val="single" w:sz="8" w:space="0" w:color="auto"/>
              <w:left w:val="nil"/>
              <w:bottom w:val="single" w:sz="4" w:space="0" w:color="auto"/>
              <w:right w:val="single" w:sz="4" w:space="0" w:color="auto"/>
            </w:tcBorders>
            <w:shd w:val="clear" w:color="000000" w:fill="BFBFBF"/>
            <w:textDirection w:val="lrTb"/>
            <w:vAlign w:val="center"/>
          </w:tcPr>
          <w:p w:rsidR="000604A9" w:rsidRPr="00E4339E" w:rsidP="009D6BA1">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21</w:t>
            </w:r>
            <w:r w:rsidR="009D6BA1">
              <w:rPr>
                <w:rFonts w:ascii="Arial Narrow" w:hAnsi="Arial Narrow" w:cs="Arial Narrow"/>
                <w:b/>
                <w:bCs/>
                <w:color w:val="000000"/>
                <w:sz w:val="16"/>
                <w:szCs w:val="16"/>
                <w:lang w:eastAsia="sk-SK"/>
              </w:rPr>
              <w:t>4</w:t>
            </w:r>
            <w:r w:rsidRPr="00E4339E">
              <w:rPr>
                <w:rFonts w:ascii="Arial Narrow" w:hAnsi="Arial Narrow" w:cs="Arial Narrow"/>
                <w:b/>
                <w:bCs/>
                <w:color w:val="000000"/>
                <w:sz w:val="16"/>
                <w:szCs w:val="16"/>
                <w:lang w:eastAsia="sk-SK"/>
              </w:rPr>
              <w:t xml:space="preserve"> 735</w:t>
            </w:r>
          </w:p>
        </w:tc>
        <w:tc>
          <w:tcPr>
            <w:tcW w:w="982" w:type="dxa"/>
            <w:tcBorders>
              <w:top w:val="single" w:sz="8" w:space="0" w:color="auto"/>
              <w:left w:val="nil"/>
              <w:bottom w:val="single" w:sz="4" w:space="0" w:color="auto"/>
              <w:right w:val="single" w:sz="8" w:space="0" w:color="auto"/>
            </w:tcBorders>
            <w:shd w:val="clear" w:color="000000" w:fill="BFBFBF"/>
            <w:textDirection w:val="lrTb"/>
            <w:vAlign w:val="center"/>
          </w:tcPr>
          <w:p w:rsidR="000604A9" w:rsidRPr="00E4339E" w:rsidP="009D6BA1">
            <w:pPr>
              <w:bidi w:val="0"/>
              <w:jc w:val="right"/>
              <w:rPr>
                <w:rFonts w:ascii="Arial Narrow" w:hAnsi="Arial Narrow" w:cs="Arial Narrow"/>
                <w:b/>
                <w:bCs/>
                <w:color w:val="000000"/>
                <w:sz w:val="16"/>
                <w:szCs w:val="16"/>
                <w:lang w:eastAsia="sk-SK"/>
              </w:rPr>
            </w:pPr>
            <w:r w:rsidRPr="00E4339E">
              <w:rPr>
                <w:rFonts w:ascii="Arial Narrow" w:hAnsi="Arial Narrow" w:cs="Arial Narrow"/>
                <w:b/>
                <w:bCs/>
                <w:color w:val="000000"/>
                <w:sz w:val="16"/>
                <w:szCs w:val="16"/>
                <w:lang w:eastAsia="sk-SK"/>
              </w:rPr>
              <w:t>21</w:t>
            </w:r>
            <w:r w:rsidR="009D6BA1">
              <w:rPr>
                <w:rFonts w:ascii="Arial Narrow" w:hAnsi="Arial Narrow" w:cs="Arial Narrow"/>
                <w:b/>
                <w:bCs/>
                <w:color w:val="000000"/>
                <w:sz w:val="16"/>
                <w:szCs w:val="16"/>
                <w:lang w:eastAsia="sk-SK"/>
              </w:rPr>
              <w:t>5</w:t>
            </w:r>
            <w:r w:rsidRPr="00E4339E">
              <w:rPr>
                <w:rFonts w:ascii="Arial Narrow" w:hAnsi="Arial Narrow" w:cs="Arial Narrow"/>
                <w:b/>
                <w:bCs/>
                <w:color w:val="000000"/>
                <w:sz w:val="16"/>
                <w:szCs w:val="16"/>
                <w:lang w:eastAsia="sk-SK"/>
              </w:rPr>
              <w:t xml:space="preserve"> 918</w:t>
            </w:r>
          </w:p>
        </w:tc>
      </w:tr>
      <w:tr>
        <w:tblPrEx>
          <w:tblW w:w="9082" w:type="dxa"/>
          <w:tblInd w:w="60" w:type="dxa"/>
          <w:tblCellMar>
            <w:left w:w="70" w:type="dxa"/>
            <w:right w:w="70" w:type="dxa"/>
          </w:tblCellMar>
          <w:tblLook w:val="00A0"/>
        </w:tblPrEx>
        <w:trPr>
          <w:trHeight w:val="340"/>
        </w:trPr>
        <w:tc>
          <w:tcPr>
            <w:tcW w:w="2800" w:type="dxa"/>
            <w:tcBorders>
              <w:top w:val="nil"/>
              <w:left w:val="single" w:sz="8" w:space="0" w:color="auto"/>
              <w:bottom w:val="single" w:sz="8" w:space="0" w:color="auto"/>
              <w:right w:val="single" w:sz="4" w:space="0" w:color="auto"/>
            </w:tcBorders>
            <w:shd w:val="clear" w:color="000000" w:fill="FFFFFF"/>
            <w:noWrap/>
            <w:textDirection w:val="lrTb"/>
            <w:vAlign w:val="center"/>
          </w:tcPr>
          <w:p w:rsidR="000604A9" w:rsidRPr="003F66E8" w:rsidP="00062C83">
            <w:pPr>
              <w:bidi w:val="0"/>
              <w:rPr>
                <w:rFonts w:ascii="Arial Narrow" w:hAnsi="Arial Narrow" w:cs="Arial Narrow"/>
                <w:color w:val="000000"/>
                <w:sz w:val="16"/>
                <w:szCs w:val="16"/>
                <w:lang w:eastAsia="sk-SK"/>
              </w:rPr>
            </w:pPr>
            <w:r w:rsidRPr="003F66E8">
              <w:rPr>
                <w:rFonts w:ascii="Arial Narrow" w:hAnsi="Arial Narrow" w:cs="Arial Narrow"/>
                <w:color w:val="000000"/>
                <w:sz w:val="16"/>
                <w:szCs w:val="16"/>
                <w:lang w:eastAsia="sk-SK"/>
              </w:rPr>
              <w:t xml:space="preserve">        z toho:  z odvodu z hazardných hier</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108 093    </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 xml:space="preserve">      112 955    </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E4339E" w:rsidP="00062C83">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108 649</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E4339E" w:rsidP="009D6BA1">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10</w:t>
            </w:r>
            <w:r w:rsidR="009D6BA1">
              <w:rPr>
                <w:rFonts w:ascii="Arial Narrow" w:hAnsi="Arial Narrow" w:cs="Arial Narrow"/>
                <w:color w:val="000000"/>
                <w:sz w:val="16"/>
                <w:szCs w:val="16"/>
                <w:lang w:eastAsia="sk-SK"/>
              </w:rPr>
              <w:t>6</w:t>
            </w:r>
            <w:r w:rsidRPr="00E4339E">
              <w:rPr>
                <w:rFonts w:ascii="Arial Narrow" w:hAnsi="Arial Narrow" w:cs="Arial Narrow"/>
                <w:color w:val="000000"/>
                <w:sz w:val="16"/>
                <w:szCs w:val="16"/>
                <w:lang w:eastAsia="sk-SK"/>
              </w:rPr>
              <w:t xml:space="preserve"> 845</w:t>
            </w:r>
          </w:p>
        </w:tc>
        <w:tc>
          <w:tcPr>
            <w:tcW w:w="1060" w:type="dxa"/>
            <w:tcBorders>
              <w:top w:val="nil"/>
              <w:left w:val="nil"/>
              <w:bottom w:val="single" w:sz="8" w:space="0" w:color="auto"/>
              <w:right w:val="single" w:sz="4" w:space="0" w:color="auto"/>
            </w:tcBorders>
            <w:shd w:val="clear" w:color="000000" w:fill="FFFFFF"/>
            <w:textDirection w:val="lrTb"/>
            <w:vAlign w:val="center"/>
          </w:tcPr>
          <w:p w:rsidR="000604A9" w:rsidRPr="00E4339E" w:rsidP="009D6BA1">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10</w:t>
            </w:r>
            <w:r w:rsidR="009D6BA1">
              <w:rPr>
                <w:rFonts w:ascii="Arial Narrow" w:hAnsi="Arial Narrow" w:cs="Arial Narrow"/>
                <w:color w:val="000000"/>
                <w:sz w:val="16"/>
                <w:szCs w:val="16"/>
                <w:lang w:eastAsia="sk-SK"/>
              </w:rPr>
              <w:t>6</w:t>
            </w:r>
            <w:r w:rsidRPr="00E4339E">
              <w:rPr>
                <w:rFonts w:ascii="Arial Narrow" w:hAnsi="Arial Narrow" w:cs="Arial Narrow"/>
                <w:color w:val="000000"/>
                <w:sz w:val="16"/>
                <w:szCs w:val="16"/>
                <w:lang w:eastAsia="sk-SK"/>
              </w:rPr>
              <w:t xml:space="preserve"> 845</w:t>
            </w:r>
          </w:p>
        </w:tc>
        <w:tc>
          <w:tcPr>
            <w:tcW w:w="982" w:type="dxa"/>
            <w:tcBorders>
              <w:top w:val="nil"/>
              <w:left w:val="nil"/>
              <w:bottom w:val="single" w:sz="8" w:space="0" w:color="auto"/>
              <w:right w:val="single" w:sz="8" w:space="0" w:color="auto"/>
            </w:tcBorders>
            <w:shd w:val="clear" w:color="000000" w:fill="FFFFFF"/>
            <w:textDirection w:val="lrTb"/>
            <w:vAlign w:val="center"/>
          </w:tcPr>
          <w:p w:rsidR="000604A9" w:rsidRPr="00E4339E" w:rsidP="009D6BA1">
            <w:pPr>
              <w:bidi w:val="0"/>
              <w:jc w:val="right"/>
              <w:rPr>
                <w:rFonts w:ascii="Arial Narrow" w:hAnsi="Arial Narrow" w:cs="Arial Narrow"/>
                <w:color w:val="000000"/>
                <w:sz w:val="16"/>
                <w:szCs w:val="16"/>
                <w:lang w:eastAsia="sk-SK"/>
              </w:rPr>
            </w:pPr>
            <w:r w:rsidRPr="00E4339E">
              <w:rPr>
                <w:rFonts w:ascii="Arial Narrow" w:hAnsi="Arial Narrow" w:cs="Arial Narrow"/>
                <w:color w:val="000000"/>
                <w:sz w:val="16"/>
                <w:szCs w:val="16"/>
                <w:lang w:eastAsia="sk-SK"/>
              </w:rPr>
              <w:t>10</w:t>
            </w:r>
            <w:r w:rsidR="009D6BA1">
              <w:rPr>
                <w:rFonts w:ascii="Arial Narrow" w:hAnsi="Arial Narrow" w:cs="Arial Narrow"/>
                <w:color w:val="000000"/>
                <w:sz w:val="16"/>
                <w:szCs w:val="16"/>
                <w:lang w:eastAsia="sk-SK"/>
              </w:rPr>
              <w:t>6</w:t>
            </w:r>
            <w:r w:rsidRPr="00E4339E">
              <w:rPr>
                <w:rFonts w:ascii="Arial Narrow" w:hAnsi="Arial Narrow" w:cs="Arial Narrow"/>
                <w:color w:val="000000"/>
                <w:sz w:val="16"/>
                <w:szCs w:val="16"/>
                <w:lang w:eastAsia="sk-SK"/>
              </w:rPr>
              <w:t xml:space="preserve"> 845</w:t>
            </w:r>
          </w:p>
        </w:tc>
      </w:tr>
    </w:tbl>
    <w:p w:rsidR="000604A9" w:rsidP="000604A9">
      <w:pPr>
        <w:bidi w:val="0"/>
        <w:jc w:val="both"/>
        <w:rPr>
          <w:rFonts w:ascii="Arial Narrow" w:hAnsi="Arial Narrow" w:cs="Arial Narrow"/>
          <w:sz w:val="22"/>
          <w:szCs w:val="22"/>
        </w:rPr>
      </w:pPr>
    </w:p>
    <w:p w:rsidR="000604A9" w:rsidRPr="00194186" w:rsidP="000604A9">
      <w:pPr>
        <w:bidi w:val="0"/>
        <w:jc w:val="both"/>
        <w:rPr>
          <w:rFonts w:ascii="Arial Narrow" w:hAnsi="Arial Narrow" w:cs="Arial Narrow"/>
          <w:sz w:val="22"/>
          <w:szCs w:val="22"/>
        </w:rPr>
      </w:pPr>
      <w:r w:rsidRPr="00194186">
        <w:rPr>
          <w:rFonts w:ascii="Arial Narrow" w:hAnsi="Arial Narrow" w:cs="Arial Narrow"/>
          <w:sz w:val="22"/>
          <w:szCs w:val="22"/>
        </w:rPr>
        <w:tab/>
        <w:t>V roku 2011 dochádza  v porovnaní s očakávanou skutočnosťou</w:t>
      </w:r>
      <w:r>
        <w:rPr>
          <w:rFonts w:ascii="Arial Narrow" w:hAnsi="Arial Narrow" w:cs="Arial Narrow"/>
          <w:sz w:val="22"/>
          <w:szCs w:val="22"/>
        </w:rPr>
        <w:t xml:space="preserve"> roku</w:t>
      </w:r>
      <w:r w:rsidRPr="00194186">
        <w:rPr>
          <w:rFonts w:ascii="Arial Narrow" w:hAnsi="Arial Narrow" w:cs="Arial Narrow"/>
          <w:sz w:val="22"/>
          <w:szCs w:val="22"/>
        </w:rPr>
        <w:t xml:space="preserve"> 2010 k </w:t>
      </w:r>
      <w:r>
        <w:rPr>
          <w:rFonts w:ascii="Arial Narrow" w:hAnsi="Arial Narrow" w:cs="Arial Narrow"/>
          <w:sz w:val="22"/>
          <w:szCs w:val="22"/>
        </w:rPr>
        <w:t>poklesu</w:t>
      </w:r>
      <w:r w:rsidRPr="00194186">
        <w:rPr>
          <w:rFonts w:ascii="Arial Narrow" w:hAnsi="Arial Narrow" w:cs="Arial Narrow"/>
          <w:sz w:val="22"/>
          <w:szCs w:val="22"/>
        </w:rPr>
        <w:t xml:space="preserve"> i</w:t>
      </w:r>
      <w:r>
        <w:rPr>
          <w:rFonts w:ascii="Arial Narrow" w:hAnsi="Arial Narrow" w:cs="Arial Narrow"/>
          <w:sz w:val="22"/>
          <w:szCs w:val="22"/>
        </w:rPr>
        <w:t>ných nedaňových príjmov</w:t>
      </w:r>
      <w:r w:rsidRPr="00194186">
        <w:rPr>
          <w:rFonts w:ascii="Arial Narrow" w:hAnsi="Arial Narrow" w:cs="Arial Narrow"/>
          <w:sz w:val="22"/>
          <w:szCs w:val="22"/>
        </w:rPr>
        <w:t xml:space="preserve"> o</w:t>
      </w:r>
      <w:r w:rsidR="009D6BA1">
        <w:rPr>
          <w:rFonts w:ascii="Arial Narrow" w:hAnsi="Arial Narrow" w:cs="Arial Narrow"/>
          <w:sz w:val="22"/>
          <w:szCs w:val="22"/>
        </w:rPr>
        <w:t> 7,</w:t>
      </w:r>
      <w:r>
        <w:rPr>
          <w:rFonts w:ascii="Arial Narrow" w:hAnsi="Arial Narrow" w:cs="Arial Narrow"/>
          <w:sz w:val="22"/>
          <w:szCs w:val="22"/>
        </w:rPr>
        <w:t>8</w:t>
      </w:r>
      <w:r w:rsidRPr="00194186">
        <w:rPr>
          <w:rFonts w:ascii="Arial Narrow" w:hAnsi="Arial Narrow" w:cs="Arial Narrow"/>
          <w:sz w:val="22"/>
          <w:szCs w:val="22"/>
        </w:rPr>
        <w:t xml:space="preserve"> %.</w:t>
      </w:r>
      <w:r>
        <w:rPr>
          <w:rFonts w:ascii="Arial Narrow" w:hAnsi="Arial Narrow" w:cs="Arial Narrow"/>
          <w:sz w:val="22"/>
          <w:szCs w:val="22"/>
        </w:rPr>
        <w:t xml:space="preserve"> </w:t>
      </w:r>
      <w:r w:rsidRPr="00194186">
        <w:rPr>
          <w:rFonts w:ascii="Arial Narrow" w:hAnsi="Arial Narrow" w:cs="Arial Narrow"/>
          <w:sz w:val="22"/>
          <w:szCs w:val="22"/>
        </w:rPr>
        <w:t xml:space="preserve"> </w:t>
      </w:r>
    </w:p>
    <w:p w:rsidR="000604A9" w:rsidP="000604A9">
      <w:pPr>
        <w:bidi w:val="0"/>
        <w:jc w:val="both"/>
        <w:rPr>
          <w:rFonts w:ascii="Arial Narrow" w:hAnsi="Arial Narrow" w:cs="Arial Narrow"/>
          <w:sz w:val="22"/>
          <w:szCs w:val="22"/>
        </w:rPr>
      </w:pPr>
    </w:p>
    <w:p w:rsidR="000604A9" w:rsidP="000604A9">
      <w:pPr>
        <w:bidi w:val="0"/>
        <w:jc w:val="both"/>
        <w:rPr>
          <w:rFonts w:ascii="Arial Narrow" w:hAnsi="Arial Narrow" w:cs="Arial Narrow"/>
          <w:b/>
          <w:bCs/>
          <w:sz w:val="22"/>
          <w:szCs w:val="22"/>
        </w:rPr>
      </w:pPr>
      <w:r w:rsidRPr="00BC499A">
        <w:rPr>
          <w:rFonts w:ascii="Arial Narrow" w:hAnsi="Arial Narrow" w:cs="Arial Narrow"/>
          <w:sz w:val="22"/>
          <w:szCs w:val="22"/>
        </w:rPr>
        <w:tab/>
        <w:t>Výška</w:t>
      </w:r>
      <w:r w:rsidR="000F3ADF">
        <w:rPr>
          <w:rFonts w:ascii="Arial Narrow" w:hAnsi="Arial Narrow" w:cs="Arial Narrow"/>
          <w:sz w:val="22"/>
          <w:szCs w:val="22"/>
        </w:rPr>
        <w:t xml:space="preserve"> príjmov z neoprávnene použitých, alebo zadržaných finančných prostriedkov </w:t>
      </w:r>
      <w:r w:rsidRPr="00BC499A">
        <w:rPr>
          <w:rFonts w:ascii="Arial Narrow" w:hAnsi="Arial Narrow" w:cs="Arial Narrow"/>
          <w:sz w:val="22"/>
          <w:szCs w:val="22"/>
        </w:rPr>
        <w:t>je v priebehu rozpočtového roka ovplyvnená objemom vrátených finančných prostriedkov od neziskových organizácií, rozpočtových organizácií, obcí a ostatných príjmov, medzi kt</w:t>
      </w:r>
      <w:r>
        <w:rPr>
          <w:rFonts w:ascii="Arial Narrow" w:hAnsi="Arial Narrow" w:cs="Arial Narrow"/>
          <w:sz w:val="22"/>
          <w:szCs w:val="22"/>
        </w:rPr>
        <w:t>oré patria najmä odvody a vratky.</w:t>
      </w:r>
      <w:r w:rsidRPr="00BC499A">
        <w:rPr>
          <w:rFonts w:ascii="Arial Narrow" w:hAnsi="Arial Narrow" w:cs="Arial Narrow"/>
          <w:sz w:val="22"/>
          <w:szCs w:val="22"/>
        </w:rPr>
        <w:t xml:space="preserve"> </w:t>
      </w:r>
    </w:p>
    <w:p w:rsidR="000604A9" w:rsidP="000604A9">
      <w:pPr>
        <w:bidi w:val="0"/>
        <w:jc w:val="both"/>
        <w:rPr>
          <w:rFonts w:ascii="Arial Narrow" w:hAnsi="Arial Narrow" w:cs="Arial Narrow"/>
          <w:b/>
          <w:bCs/>
          <w:sz w:val="22"/>
          <w:szCs w:val="22"/>
        </w:rPr>
      </w:pPr>
    </w:p>
    <w:p w:rsidR="000604A9" w:rsidP="000604A9">
      <w:pPr>
        <w:bidi w:val="0"/>
        <w:jc w:val="both"/>
        <w:rPr>
          <w:rFonts w:ascii="Arial Narrow" w:hAnsi="Arial Narrow" w:cs="Arial Narrow"/>
          <w:b/>
          <w:bCs/>
          <w:sz w:val="22"/>
          <w:szCs w:val="22"/>
        </w:rPr>
      </w:pPr>
      <w:r>
        <w:rPr>
          <w:rFonts w:ascii="Arial Narrow" w:hAnsi="Arial Narrow" w:cs="Arial Narrow"/>
          <w:b/>
          <w:bCs/>
          <w:sz w:val="22"/>
          <w:szCs w:val="22"/>
        </w:rPr>
        <w:t>Tuzemské transfery</w:t>
      </w:r>
    </w:p>
    <w:p w:rsidR="000604A9" w:rsidP="000604A9">
      <w:pPr>
        <w:bidi w:val="0"/>
        <w:jc w:val="both"/>
        <w:rPr>
          <w:rFonts w:ascii="Arial Narrow" w:hAnsi="Arial Narrow" w:cs="Arial Narrow"/>
          <w:b/>
          <w:bCs/>
          <w:sz w:val="22"/>
          <w:szCs w:val="22"/>
        </w:rPr>
      </w:pPr>
    </w:p>
    <w:p w:rsidR="000604A9" w:rsidP="000604A9">
      <w:pPr>
        <w:bidi w:val="0"/>
        <w:ind w:firstLine="708"/>
        <w:jc w:val="both"/>
        <w:rPr>
          <w:rFonts w:ascii="Arial Narrow" w:hAnsi="Arial Narrow" w:cs="Arial Narrow"/>
          <w:sz w:val="22"/>
          <w:szCs w:val="22"/>
        </w:rPr>
      </w:pPr>
      <w:r w:rsidRPr="00737DE3">
        <w:rPr>
          <w:rFonts w:ascii="Arial Narrow" w:hAnsi="Arial Narrow" w:cs="Arial Narrow"/>
          <w:sz w:val="22"/>
          <w:szCs w:val="22"/>
        </w:rPr>
        <w:t xml:space="preserve">Rozpočtujú sa tu </w:t>
      </w:r>
      <w:r>
        <w:rPr>
          <w:rFonts w:ascii="Arial Narrow" w:hAnsi="Arial Narrow" w:cs="Arial Narrow"/>
          <w:sz w:val="22"/>
          <w:szCs w:val="22"/>
        </w:rPr>
        <w:t xml:space="preserve"> </w:t>
      </w:r>
      <w:r w:rsidRPr="00737DE3">
        <w:rPr>
          <w:rFonts w:ascii="Arial Narrow" w:hAnsi="Arial Narrow" w:cs="Arial Narrow"/>
          <w:sz w:val="22"/>
          <w:szCs w:val="22"/>
        </w:rPr>
        <w:t xml:space="preserve">transfery v rámci verejnej správy. Ide o prostriedky zo štátnych finančných aktív vo výške 298 204 tis. </w:t>
      </w:r>
      <w:r>
        <w:rPr>
          <w:rFonts w:ascii="Arial Narrow" w:hAnsi="Arial Narrow" w:cs="Arial Narrow"/>
          <w:sz w:val="22"/>
          <w:szCs w:val="22"/>
        </w:rPr>
        <w:t>eur.</w:t>
      </w:r>
      <w:r w:rsidRPr="00737DE3">
        <w:rPr>
          <w:rFonts w:ascii="Arial Narrow" w:hAnsi="Arial Narrow" w:cs="Arial Narrow"/>
          <w:sz w:val="22"/>
          <w:szCs w:val="22"/>
        </w:rPr>
        <w:t xml:space="preserve"> Sú to príjmy z dividend </w:t>
      </w:r>
      <w:r>
        <w:rPr>
          <w:rFonts w:ascii="Arial Narrow" w:hAnsi="Arial Narrow" w:cs="Arial Narrow"/>
          <w:sz w:val="22"/>
          <w:szCs w:val="22"/>
        </w:rPr>
        <w:t xml:space="preserve">podnikov </w:t>
      </w:r>
      <w:r w:rsidRPr="00BC499A">
        <w:rPr>
          <w:rFonts w:ascii="Arial Narrow" w:hAnsi="Arial Narrow" w:cs="Arial Narrow"/>
          <w:sz w:val="22"/>
          <w:szCs w:val="22"/>
        </w:rPr>
        <w:t>s majetkovou účasťou Fondu národného majetku SR</w:t>
      </w:r>
      <w:r>
        <w:rPr>
          <w:rFonts w:ascii="Arial Narrow" w:hAnsi="Arial Narrow" w:cs="Arial Narrow"/>
          <w:sz w:val="22"/>
          <w:szCs w:val="22"/>
        </w:rPr>
        <w:t>,</w:t>
      </w:r>
      <w:r w:rsidRPr="00BC499A">
        <w:rPr>
          <w:rFonts w:ascii="Arial Narrow" w:hAnsi="Arial Narrow" w:cs="Arial Narrow"/>
          <w:sz w:val="22"/>
          <w:szCs w:val="22"/>
        </w:rPr>
        <w:t xml:space="preserve"> ktoré sa po posilnení štátnych finančných aktív stanú príjmom štátneho rozpočtu.  </w:t>
      </w:r>
    </w:p>
    <w:p w:rsidR="000604A9" w:rsidP="000604A9">
      <w:pPr>
        <w:bidi w:val="0"/>
        <w:jc w:val="both"/>
        <w:rPr>
          <w:rFonts w:ascii="Arial Narrow" w:hAnsi="Arial Narrow" w:cs="Arial Narrow"/>
          <w:sz w:val="22"/>
          <w:szCs w:val="22"/>
        </w:rPr>
      </w:pPr>
    </w:p>
    <w:tbl>
      <w:tblPr>
        <w:tblStyle w:val="TableNormal"/>
        <w:tblW w:w="9082" w:type="dxa"/>
        <w:tblInd w:w="60" w:type="dxa"/>
        <w:tblCellMar>
          <w:left w:w="0" w:type="dxa"/>
          <w:right w:w="0" w:type="dxa"/>
        </w:tblCellMar>
        <w:tblLook w:val="00A0"/>
      </w:tblPr>
      <w:tblGrid>
        <w:gridCol w:w="3554"/>
        <w:gridCol w:w="851"/>
        <w:gridCol w:w="992"/>
        <w:gridCol w:w="850"/>
        <w:gridCol w:w="993"/>
        <w:gridCol w:w="850"/>
        <w:gridCol w:w="992"/>
      </w:tblGrid>
      <w:tr>
        <w:tblPrEx>
          <w:tblW w:w="9082" w:type="dxa"/>
          <w:tblInd w:w="60" w:type="dxa"/>
          <w:tblCellMar>
            <w:left w:w="0" w:type="dxa"/>
            <w:right w:w="0" w:type="dxa"/>
          </w:tblCellMar>
          <w:tblLook w:val="00A0"/>
        </w:tblPrEx>
        <w:trPr>
          <w:trHeight w:val="340"/>
        </w:trPr>
        <w:tc>
          <w:tcPr>
            <w:tcW w:w="355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textDirection w:val="lrTb"/>
            <w:vAlign w:val="center"/>
          </w:tcPr>
          <w:p w:rsidR="0032398F">
            <w:pPr>
              <w:bidi w:val="0"/>
              <w:jc w:val="both"/>
              <w:rPr>
                <w:rFonts w:ascii="Arial Narrow" w:hAnsi="Arial Narrow" w:cs="Arial Narrow"/>
                <w:color w:val="000000"/>
                <w:sz w:val="16"/>
                <w:szCs w:val="16"/>
              </w:rPr>
            </w:pPr>
            <w:r>
              <w:rPr>
                <w:rFonts w:ascii="Arial Narrow" w:hAnsi="Arial Narrow" w:cs="Arial Narrow"/>
                <w:color w:val="000000"/>
                <w:sz w:val="16"/>
                <w:szCs w:val="16"/>
              </w:rPr>
              <w:t>(v tis. eur)</w:t>
            </w:r>
          </w:p>
        </w:tc>
        <w:tc>
          <w:tcPr>
            <w:tcW w:w="85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2008 S</w:t>
            </w:r>
          </w:p>
        </w:tc>
        <w:tc>
          <w:tcPr>
            <w:tcW w:w="99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2009 S</w:t>
            </w:r>
          </w:p>
        </w:tc>
        <w:tc>
          <w:tcPr>
            <w:tcW w:w="85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2010 OS</w:t>
            </w:r>
          </w:p>
        </w:tc>
        <w:tc>
          <w:tcPr>
            <w:tcW w:w="99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2011 N</w:t>
            </w:r>
          </w:p>
        </w:tc>
        <w:tc>
          <w:tcPr>
            <w:tcW w:w="85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2012 N</w:t>
            </w:r>
          </w:p>
        </w:tc>
        <w:tc>
          <w:tcPr>
            <w:tcW w:w="99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textDirection w:val="lrTb"/>
            <w:vAlign w:val="center"/>
          </w:tcPr>
          <w:p w:rsidR="0032398F">
            <w:pPr>
              <w:bidi w:val="0"/>
              <w:jc w:val="center"/>
              <w:rPr>
                <w:rFonts w:ascii="Arial Narrow" w:hAnsi="Arial Narrow" w:cs="Arial Narrow"/>
                <w:b/>
                <w:bCs/>
                <w:sz w:val="16"/>
                <w:szCs w:val="16"/>
              </w:rPr>
            </w:pPr>
            <w:r>
              <w:rPr>
                <w:rFonts w:ascii="Arial Narrow" w:hAnsi="Arial Narrow" w:cs="Arial Narrow"/>
                <w:b/>
                <w:bCs/>
                <w:sz w:val="16"/>
                <w:szCs w:val="16"/>
              </w:rPr>
              <w:t>2013 N</w:t>
            </w:r>
          </w:p>
        </w:tc>
      </w:tr>
      <w:tr>
        <w:tblPrEx>
          <w:tblW w:w="9082" w:type="dxa"/>
          <w:tblInd w:w="60" w:type="dxa"/>
          <w:tblCellMar>
            <w:left w:w="0" w:type="dxa"/>
            <w:right w:w="0" w:type="dxa"/>
          </w:tblCellMar>
          <w:tblLook w:val="00A0"/>
        </w:tblPrEx>
        <w:trPr>
          <w:trHeight w:val="340"/>
        </w:trPr>
        <w:tc>
          <w:tcPr>
            <w:tcW w:w="3554" w:type="dxa"/>
            <w:tcBorders>
              <w:top w:val="nil"/>
              <w:left w:val="single" w:sz="8" w:space="0" w:color="auto"/>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rPr>
                <w:rFonts w:ascii="Arial Narrow" w:hAnsi="Arial Narrow" w:cs="Arial Narrow"/>
                <w:color w:val="000000"/>
                <w:sz w:val="16"/>
                <w:szCs w:val="16"/>
              </w:rPr>
            </w:pPr>
            <w:r>
              <w:rPr>
                <w:rFonts w:ascii="Arial Narrow" w:hAnsi="Arial Narrow" w:cs="Arial Narrow"/>
                <w:color w:val="000000"/>
                <w:sz w:val="16"/>
                <w:szCs w:val="16"/>
              </w:rPr>
              <w:t>Dividendy realizované prostredníctvom  FNM</w:t>
            </w:r>
          </w:p>
        </w:tc>
        <w:tc>
          <w:tcPr>
            <w:tcW w:w="851"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555 469</w:t>
            </w:r>
          </w:p>
        </w:tc>
        <w:tc>
          <w:tcPr>
            <w:tcW w:w="992"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531 879</w:t>
            </w:r>
          </w:p>
        </w:tc>
        <w:tc>
          <w:tcPr>
            <w:tcW w:w="850"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540 914</w:t>
            </w:r>
          </w:p>
        </w:tc>
        <w:tc>
          <w:tcPr>
            <w:tcW w:w="993"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298 204</w:t>
            </w:r>
          </w:p>
        </w:tc>
        <w:tc>
          <w:tcPr>
            <w:tcW w:w="850"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283 036</w:t>
            </w:r>
          </w:p>
        </w:tc>
        <w:tc>
          <w:tcPr>
            <w:tcW w:w="992"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278 684</w:t>
            </w:r>
          </w:p>
        </w:tc>
      </w:tr>
      <w:tr>
        <w:tblPrEx>
          <w:tblW w:w="9082" w:type="dxa"/>
          <w:tblInd w:w="60" w:type="dxa"/>
          <w:tblCellMar>
            <w:left w:w="0" w:type="dxa"/>
            <w:right w:w="0" w:type="dxa"/>
          </w:tblCellMar>
          <w:tblLook w:val="00A0"/>
        </w:tblPrEx>
        <w:trPr>
          <w:trHeight w:val="340"/>
        </w:trPr>
        <w:tc>
          <w:tcPr>
            <w:tcW w:w="3554" w:type="dxa"/>
            <w:tcBorders>
              <w:top w:val="nil"/>
              <w:left w:val="single" w:sz="8" w:space="0" w:color="auto"/>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rPr>
                <w:rFonts w:ascii="Arial Narrow" w:hAnsi="Arial Narrow" w:cs="Arial Narrow"/>
                <w:color w:val="000000"/>
                <w:sz w:val="16"/>
                <w:szCs w:val="16"/>
              </w:rPr>
            </w:pPr>
            <w:r>
              <w:rPr>
                <w:rFonts w:ascii="Arial Narrow" w:hAnsi="Arial Narrow" w:cs="Arial Narrow"/>
                <w:color w:val="000000"/>
                <w:sz w:val="16"/>
                <w:szCs w:val="16"/>
              </w:rPr>
              <w:t>    z toho: riadne dividendy</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413 0</w:t>
            </w:r>
            <w:r>
              <w:rPr>
                <w:rFonts w:ascii="Arial Narrow" w:hAnsi="Arial Narrow" w:cs="Arial Narrow"/>
                <w:color w:val="1F497D"/>
                <w:sz w:val="16"/>
                <w:szCs w:val="16"/>
              </w:rPr>
              <w:t>02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466 328</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414 502</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298 204</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283 036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278 684</w:t>
            </w:r>
          </w:p>
        </w:tc>
      </w:tr>
      <w:tr>
        <w:tblPrEx>
          <w:tblW w:w="9082" w:type="dxa"/>
          <w:tblInd w:w="60" w:type="dxa"/>
          <w:tblCellMar>
            <w:left w:w="0" w:type="dxa"/>
            <w:right w:w="0" w:type="dxa"/>
          </w:tblCellMar>
          <w:tblLook w:val="00A0"/>
        </w:tblPrEx>
        <w:trPr>
          <w:trHeight w:val="340"/>
        </w:trPr>
        <w:tc>
          <w:tcPr>
            <w:tcW w:w="3554" w:type="dxa"/>
            <w:tcBorders>
              <w:top w:val="nil"/>
              <w:left w:val="single" w:sz="8" w:space="0" w:color="auto"/>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rPr>
                <w:rFonts w:ascii="Arial Narrow" w:hAnsi="Arial Narrow" w:cs="Arial Narrow"/>
                <w:color w:val="000000"/>
                <w:sz w:val="16"/>
                <w:szCs w:val="16"/>
              </w:rPr>
            </w:pPr>
            <w:r>
              <w:rPr>
                <w:rFonts w:ascii="Arial Narrow" w:hAnsi="Arial Narrow" w:cs="Arial Narrow"/>
                <w:color w:val="000000"/>
                <w:sz w:val="16"/>
                <w:szCs w:val="16"/>
              </w:rPr>
              <w:t>                mimoriadne dividendy</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142 4</w:t>
            </w:r>
            <w:r>
              <w:rPr>
                <w:rFonts w:ascii="Arial Narrow" w:hAnsi="Arial Narrow" w:cs="Arial Narrow"/>
                <w:color w:val="1F497D"/>
                <w:sz w:val="16"/>
                <w:szCs w:val="16"/>
              </w:rPr>
              <w:t>67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65 551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126 412</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textDirection w:val="lrTb"/>
            <w:vAlign w:val="center"/>
          </w:tcPr>
          <w:p w:rsidR="0032398F">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r>
    </w:tbl>
    <w:p w:rsidR="009F68DF" w:rsidP="009F68DF">
      <w:pPr>
        <w:bidi w:val="0"/>
        <w:rPr>
          <w:rFonts w:ascii="Arial Narrow" w:hAnsi="Arial Narrow" w:cs="Arial Narrow"/>
          <w:highlight w:val="yellow"/>
        </w:rPr>
      </w:pPr>
    </w:p>
    <w:p w:rsidR="009F68DF" w:rsidRPr="00386303" w:rsidP="009F68DF">
      <w:pPr>
        <w:bidi w:val="0"/>
        <w:ind w:firstLine="708"/>
        <w:jc w:val="both"/>
        <w:rPr>
          <w:rFonts w:ascii="Arial Narrow" w:hAnsi="Arial Narrow" w:cs="Arial Narrow"/>
          <w:sz w:val="22"/>
          <w:szCs w:val="22"/>
        </w:rPr>
      </w:pPr>
      <w:r w:rsidRPr="000D7887">
        <w:rPr>
          <w:rFonts w:ascii="Arial Narrow" w:hAnsi="Arial Narrow" w:cs="Arial Narrow"/>
          <w:sz w:val="22"/>
          <w:szCs w:val="22"/>
        </w:rPr>
        <w:t>Výšk</w:t>
      </w:r>
      <w:r w:rsidRPr="000D7887" w:rsidR="000D7887">
        <w:rPr>
          <w:rFonts w:ascii="Arial Narrow" w:hAnsi="Arial Narrow" w:cs="Arial Narrow"/>
          <w:sz w:val="22"/>
          <w:szCs w:val="22"/>
        </w:rPr>
        <w:t>a</w:t>
      </w:r>
      <w:r w:rsidRPr="000D7887">
        <w:rPr>
          <w:rFonts w:ascii="Arial Narrow" w:hAnsi="Arial Narrow" w:cs="Arial Narrow"/>
          <w:sz w:val="22"/>
          <w:szCs w:val="22"/>
        </w:rPr>
        <w:t xml:space="preserve"> dividend v jednotlivých rokoc</w:t>
      </w:r>
      <w:r w:rsidRPr="000D7887" w:rsidR="002C4A29">
        <w:rPr>
          <w:rFonts w:ascii="Arial Narrow" w:hAnsi="Arial Narrow" w:cs="Arial Narrow"/>
          <w:sz w:val="22"/>
          <w:szCs w:val="22"/>
        </w:rPr>
        <w:t xml:space="preserve">h </w:t>
      </w:r>
      <w:r w:rsidRPr="000D7887" w:rsidR="000D7887">
        <w:rPr>
          <w:rFonts w:ascii="Arial Narrow" w:hAnsi="Arial Narrow" w:cs="Arial Narrow"/>
          <w:sz w:val="22"/>
          <w:szCs w:val="22"/>
        </w:rPr>
        <w:t xml:space="preserve">závisí od </w:t>
      </w:r>
      <w:r w:rsidRPr="000D7887" w:rsidR="002C4A29">
        <w:rPr>
          <w:rFonts w:ascii="Arial Narrow" w:hAnsi="Arial Narrow" w:cs="Arial Narrow"/>
          <w:sz w:val="22"/>
          <w:szCs w:val="22"/>
        </w:rPr>
        <w:t>ziskovos</w:t>
      </w:r>
      <w:r w:rsidRPr="000D7887" w:rsidR="000D7887">
        <w:rPr>
          <w:rFonts w:ascii="Arial Narrow" w:hAnsi="Arial Narrow" w:cs="Arial Narrow"/>
          <w:sz w:val="22"/>
          <w:szCs w:val="22"/>
        </w:rPr>
        <w:t>ti</w:t>
      </w:r>
      <w:r w:rsidRPr="000D7887" w:rsidR="002C4A29">
        <w:rPr>
          <w:rFonts w:ascii="Arial Narrow" w:hAnsi="Arial Narrow" w:cs="Arial Narrow"/>
          <w:sz w:val="22"/>
          <w:szCs w:val="22"/>
        </w:rPr>
        <w:t xml:space="preserve"> podnikov s majetkovou účasťou Fondu národného majetku SR, </w:t>
      </w:r>
      <w:r w:rsidRPr="000D7887" w:rsidR="000D7887">
        <w:rPr>
          <w:rFonts w:ascii="Arial Narrow" w:hAnsi="Arial Narrow" w:cs="Arial Narrow"/>
          <w:sz w:val="22"/>
          <w:szCs w:val="22"/>
        </w:rPr>
        <w:t>ktorá je ovplyvnená</w:t>
      </w:r>
      <w:r w:rsidRPr="000D7887">
        <w:rPr>
          <w:rFonts w:ascii="Arial Narrow" w:hAnsi="Arial Narrow" w:cs="Arial Narrow"/>
          <w:sz w:val="22"/>
          <w:szCs w:val="22"/>
        </w:rPr>
        <w:t xml:space="preserve"> konkurenci</w:t>
      </w:r>
      <w:r w:rsidRPr="000D7887" w:rsidR="000D7887">
        <w:rPr>
          <w:rFonts w:ascii="Arial Narrow" w:hAnsi="Arial Narrow" w:cs="Arial Narrow"/>
          <w:sz w:val="22"/>
          <w:szCs w:val="22"/>
        </w:rPr>
        <w:t>ou</w:t>
      </w:r>
      <w:r w:rsidRPr="000D7887">
        <w:rPr>
          <w:rFonts w:ascii="Arial Narrow" w:hAnsi="Arial Narrow" w:cs="Arial Narrow"/>
          <w:sz w:val="22"/>
          <w:szCs w:val="22"/>
        </w:rPr>
        <w:t xml:space="preserve"> na trhu s plynom a elektrickou energiou.</w:t>
      </w:r>
    </w:p>
    <w:p w:rsidR="000604A9" w:rsidRPr="00386303" w:rsidP="000604A9">
      <w:pPr>
        <w:bidi w:val="0"/>
        <w:jc w:val="center"/>
        <w:rPr>
          <w:rFonts w:ascii="Arial Narrow" w:hAnsi="Arial Narrow" w:cs="Arial Narrow"/>
          <w:sz w:val="22"/>
          <w:szCs w:val="22"/>
        </w:rPr>
      </w:pPr>
    </w:p>
    <w:p w:rsidR="000604A9" w:rsidP="000604A9">
      <w:pPr>
        <w:bidi w:val="0"/>
        <w:ind w:firstLine="708"/>
        <w:jc w:val="both"/>
        <w:rPr>
          <w:rFonts w:ascii="Arial Narrow" w:hAnsi="Arial Narrow" w:cs="Arial Narrow"/>
          <w:sz w:val="22"/>
          <w:szCs w:val="22"/>
        </w:rPr>
      </w:pPr>
      <w:r>
        <w:rPr>
          <w:rFonts w:ascii="Arial Narrow" w:hAnsi="Arial Narrow" w:cs="Arial Narrow"/>
          <w:sz w:val="22"/>
          <w:szCs w:val="22"/>
        </w:rPr>
        <w:t xml:space="preserve">V roku 2011 dochádza k poklesu týchto príjmov v porovnaní s očakávanou skutočnosťou roku 2010 o 44,9 %, a to z dôvodu, že </w:t>
      </w:r>
      <w:r w:rsidR="0082282A">
        <w:rPr>
          <w:rFonts w:ascii="Arial Narrow" w:hAnsi="Arial Narrow" w:cs="Arial Narrow"/>
          <w:sz w:val="22"/>
          <w:szCs w:val="22"/>
        </w:rPr>
        <w:t xml:space="preserve">v roku 2010 boli dosiahnuté mimoriadne dividendy z titulu precenenia </w:t>
      </w:r>
      <w:r w:rsidR="00B47F31">
        <w:rPr>
          <w:rFonts w:ascii="Arial Narrow" w:hAnsi="Arial Narrow" w:cs="Arial Narrow"/>
          <w:sz w:val="22"/>
          <w:szCs w:val="22"/>
        </w:rPr>
        <w:t xml:space="preserve">majetku </w:t>
      </w:r>
      <w:r w:rsidR="0082282A">
        <w:rPr>
          <w:rFonts w:ascii="Arial Narrow" w:hAnsi="Arial Narrow" w:cs="Arial Narrow"/>
          <w:sz w:val="22"/>
          <w:szCs w:val="22"/>
        </w:rPr>
        <w:t>vo výške 126,4 mil. eur od spoločnosti SPP, a. s. a vyšší objem riadnych di</w:t>
      </w:r>
      <w:r w:rsidR="00874E83">
        <w:rPr>
          <w:rFonts w:ascii="Arial Narrow" w:hAnsi="Arial Narrow" w:cs="Arial Narrow"/>
          <w:sz w:val="22"/>
          <w:szCs w:val="22"/>
        </w:rPr>
        <w:t>vidend od ostatných spoločností s majetkovou účasťou FNM SR</w:t>
      </w:r>
      <w:r w:rsidR="0082282A">
        <w:rPr>
          <w:rFonts w:ascii="Arial Narrow" w:hAnsi="Arial Narrow" w:cs="Arial Narrow"/>
          <w:sz w:val="22"/>
          <w:szCs w:val="22"/>
        </w:rPr>
        <w:t xml:space="preserve"> vo výške 39,6 mil. eur. </w:t>
      </w:r>
      <w:r>
        <w:rPr>
          <w:rFonts w:ascii="Arial Narrow" w:hAnsi="Arial Narrow" w:cs="Arial Narrow"/>
          <w:sz w:val="22"/>
          <w:szCs w:val="22"/>
        </w:rPr>
        <w:t>Rovnako výplata mimoriadnych dividend ovplyvnila aj skutočnosť v roku 2008</w:t>
      </w:r>
      <w:r w:rsidR="0082282A">
        <w:rPr>
          <w:rFonts w:ascii="Arial Narrow" w:hAnsi="Arial Narrow" w:cs="Arial Narrow"/>
          <w:sz w:val="22"/>
          <w:szCs w:val="22"/>
        </w:rPr>
        <w:t xml:space="preserve"> v sume 142 46</w:t>
      </w:r>
      <w:r w:rsidR="00111051">
        <w:rPr>
          <w:rFonts w:ascii="Arial Narrow" w:hAnsi="Arial Narrow" w:cs="Arial Narrow"/>
          <w:sz w:val="22"/>
          <w:szCs w:val="22"/>
        </w:rPr>
        <w:t>7</w:t>
      </w:r>
      <w:r w:rsidR="0082282A">
        <w:rPr>
          <w:rFonts w:ascii="Arial Narrow" w:hAnsi="Arial Narrow" w:cs="Arial Narrow"/>
          <w:sz w:val="22"/>
          <w:szCs w:val="22"/>
        </w:rPr>
        <w:t xml:space="preserve"> tis. eur</w:t>
      </w:r>
      <w:r>
        <w:rPr>
          <w:rFonts w:ascii="Arial Narrow" w:hAnsi="Arial Narrow" w:cs="Arial Narrow"/>
          <w:sz w:val="22"/>
          <w:szCs w:val="22"/>
        </w:rPr>
        <w:t xml:space="preserve"> a v roku 2009</w:t>
      </w:r>
      <w:r w:rsidR="0082282A">
        <w:rPr>
          <w:rFonts w:ascii="Arial Narrow" w:hAnsi="Arial Narrow" w:cs="Arial Narrow"/>
          <w:sz w:val="22"/>
          <w:szCs w:val="22"/>
        </w:rPr>
        <w:t xml:space="preserve"> v sume </w:t>
      </w:r>
      <w:r w:rsidR="00111051">
        <w:rPr>
          <w:rFonts w:ascii="Arial Narrow" w:hAnsi="Arial Narrow" w:cs="Arial Narrow"/>
          <w:sz w:val="22"/>
          <w:szCs w:val="22"/>
        </w:rPr>
        <w:t>65 551</w:t>
      </w:r>
      <w:r w:rsidR="0082282A">
        <w:rPr>
          <w:rFonts w:ascii="Arial Narrow" w:hAnsi="Arial Narrow" w:cs="Arial Narrow"/>
          <w:sz w:val="22"/>
          <w:szCs w:val="22"/>
        </w:rPr>
        <w:t xml:space="preserve"> tis. eur</w:t>
      </w:r>
      <w:r>
        <w:rPr>
          <w:rFonts w:ascii="Arial Narrow" w:hAnsi="Arial Narrow" w:cs="Arial Narrow"/>
          <w:sz w:val="22"/>
          <w:szCs w:val="22"/>
        </w:rPr>
        <w:t>. V návrhu rozpočtu na roky 2011 až 2013 sú rozpočtované iba riadne dividendy.</w:t>
      </w:r>
    </w:p>
    <w:p w:rsidR="000604A9" w:rsidP="000604A9">
      <w:pPr>
        <w:bidi w:val="0"/>
        <w:ind w:firstLine="708"/>
        <w:jc w:val="both"/>
        <w:rPr>
          <w:rFonts w:ascii="Arial Narrow" w:hAnsi="Arial Narrow" w:cs="Arial Narrow"/>
          <w:sz w:val="22"/>
          <w:szCs w:val="22"/>
        </w:rPr>
      </w:pPr>
    </w:p>
    <w:p w:rsidR="000604A9" w:rsidP="000604A9">
      <w:pPr>
        <w:bidi w:val="0"/>
        <w:ind w:firstLine="708"/>
        <w:jc w:val="both"/>
        <w:rPr>
          <w:rFonts w:ascii="Arial Narrow" w:hAnsi="Arial Narrow" w:cs="Arial Narrow"/>
          <w:sz w:val="22"/>
          <w:szCs w:val="22"/>
        </w:rPr>
      </w:pPr>
      <w:r>
        <w:rPr>
          <w:rFonts w:ascii="Arial Narrow" w:hAnsi="Arial Narrow" w:cs="Arial Narrow"/>
          <w:sz w:val="22"/>
          <w:szCs w:val="22"/>
        </w:rPr>
        <w:t xml:space="preserve">Ďalej sem patrí príspevok zdravotných poisťovní na činnosť </w:t>
      </w:r>
      <w:r w:rsidRPr="00BC499A">
        <w:rPr>
          <w:rFonts w:ascii="Arial Narrow" w:hAnsi="Arial Narrow" w:cs="Arial Narrow"/>
          <w:sz w:val="22"/>
          <w:szCs w:val="22"/>
        </w:rPr>
        <w:t>operačných stredís</w:t>
      </w:r>
      <w:r>
        <w:rPr>
          <w:rFonts w:ascii="Arial Narrow" w:hAnsi="Arial Narrow" w:cs="Arial Narrow"/>
          <w:sz w:val="22"/>
          <w:szCs w:val="22"/>
        </w:rPr>
        <w:t>k záchrannej zdravotnej služby, multilicenčné poplatky v kapitole Ministerstva financií SR a transfer zo Slovenského pozemkového fondu</w:t>
      </w:r>
      <w:r w:rsidR="00B31502">
        <w:rPr>
          <w:rFonts w:ascii="Arial Narrow" w:hAnsi="Arial Narrow" w:cs="Arial Narrow"/>
          <w:sz w:val="22"/>
          <w:szCs w:val="22"/>
        </w:rPr>
        <w:t xml:space="preserve"> Ministerstvu pôdohospodárstva a rozvoja vidieka SR na register obnovenej evidencie pozemkov</w:t>
      </w:r>
      <w:r>
        <w:rPr>
          <w:rFonts w:ascii="Arial Narrow" w:hAnsi="Arial Narrow" w:cs="Arial Narrow"/>
          <w:sz w:val="22"/>
          <w:szCs w:val="22"/>
        </w:rPr>
        <w:t xml:space="preserve">. </w:t>
      </w:r>
    </w:p>
    <w:p w:rsidR="00A1281C" w:rsidP="000604A9">
      <w:pPr>
        <w:bidi w:val="0"/>
        <w:ind w:firstLine="708"/>
        <w:jc w:val="both"/>
        <w:rPr>
          <w:rFonts w:ascii="Arial Narrow" w:hAnsi="Arial Narrow" w:cs="Arial Narrow"/>
          <w:sz w:val="22"/>
          <w:szCs w:val="22"/>
        </w:rPr>
      </w:pPr>
    </w:p>
    <w:p w:rsidR="000604A9" w:rsidP="000604A9">
      <w:pPr>
        <w:bidi w:val="0"/>
        <w:jc w:val="both"/>
        <w:rPr>
          <w:rFonts w:ascii="Arial Narrow" w:hAnsi="Arial Narrow" w:cs="Arial Narrow"/>
          <w:sz w:val="22"/>
          <w:szCs w:val="22"/>
        </w:rPr>
      </w:pPr>
    </w:p>
    <w:tbl>
      <w:tblPr>
        <w:tblStyle w:val="TableNormal"/>
        <w:tblW w:w="9082" w:type="dxa"/>
        <w:tblInd w:w="60" w:type="dxa"/>
        <w:tblCellMar>
          <w:left w:w="70" w:type="dxa"/>
          <w:right w:w="70" w:type="dxa"/>
        </w:tblCellMar>
        <w:tblLook w:val="00A0"/>
      </w:tblPr>
      <w:tblGrid>
        <w:gridCol w:w="3800"/>
        <w:gridCol w:w="1030"/>
        <w:gridCol w:w="850"/>
        <w:gridCol w:w="851"/>
        <w:gridCol w:w="850"/>
        <w:gridCol w:w="851"/>
        <w:gridCol w:w="850"/>
      </w:tblGrid>
      <w:tr>
        <w:tblPrEx>
          <w:tblW w:w="9082" w:type="dxa"/>
          <w:tblInd w:w="60" w:type="dxa"/>
          <w:tblCellMar>
            <w:left w:w="70" w:type="dxa"/>
            <w:right w:w="70" w:type="dxa"/>
          </w:tblCellMar>
          <w:tblLook w:val="00A0"/>
        </w:tblPrEx>
        <w:trPr>
          <w:trHeight w:val="340"/>
        </w:trPr>
        <w:tc>
          <w:tcPr>
            <w:tcW w:w="3800" w:type="dxa"/>
            <w:tcBorders>
              <w:top w:val="single" w:sz="8" w:space="0" w:color="auto"/>
              <w:left w:val="single" w:sz="8" w:space="0" w:color="auto"/>
              <w:bottom w:val="single" w:sz="8" w:space="0" w:color="auto"/>
              <w:right w:val="single" w:sz="4" w:space="0" w:color="auto"/>
            </w:tcBorders>
            <w:shd w:val="clear" w:color="000000" w:fill="FFFFFF"/>
            <w:textDirection w:val="lrTb"/>
            <w:vAlign w:val="center"/>
          </w:tcPr>
          <w:p w:rsidR="000604A9" w:rsidRPr="004B386D" w:rsidP="00062C83">
            <w:pPr>
              <w:bidi w:val="0"/>
              <w:jc w:val="both"/>
              <w:rPr>
                <w:rFonts w:ascii="Arial Narrow" w:hAnsi="Arial Narrow" w:cs="Arial Narrow"/>
                <w:sz w:val="16"/>
                <w:szCs w:val="16"/>
                <w:lang w:eastAsia="sk-SK"/>
              </w:rPr>
            </w:pPr>
            <w:r w:rsidRPr="004B386D">
              <w:rPr>
                <w:rFonts w:ascii="Arial Narrow" w:hAnsi="Arial Narrow" w:cs="Arial Narrow"/>
                <w:sz w:val="16"/>
                <w:szCs w:val="16"/>
                <w:lang w:eastAsia="sk-SK"/>
              </w:rPr>
              <w:t>(v tis. eur)</w:t>
            </w:r>
          </w:p>
        </w:tc>
        <w:tc>
          <w:tcPr>
            <w:tcW w:w="103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2008 S</w:t>
            </w:r>
          </w:p>
        </w:tc>
        <w:tc>
          <w:tcPr>
            <w:tcW w:w="85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2009 S</w:t>
            </w:r>
          </w:p>
        </w:tc>
        <w:tc>
          <w:tcPr>
            <w:tcW w:w="851"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2010 OS</w:t>
            </w:r>
          </w:p>
        </w:tc>
        <w:tc>
          <w:tcPr>
            <w:tcW w:w="850"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2011 N</w:t>
            </w:r>
          </w:p>
        </w:tc>
        <w:tc>
          <w:tcPr>
            <w:tcW w:w="851" w:type="dxa"/>
            <w:tcBorders>
              <w:top w:val="single" w:sz="8" w:space="0" w:color="auto"/>
              <w:left w:val="nil"/>
              <w:bottom w:val="single" w:sz="8" w:space="0" w:color="auto"/>
              <w:right w:val="single" w:sz="4"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2012 N</w:t>
            </w:r>
          </w:p>
        </w:tc>
        <w:tc>
          <w:tcPr>
            <w:tcW w:w="850" w:type="dxa"/>
            <w:tcBorders>
              <w:top w:val="single" w:sz="8" w:space="0" w:color="auto"/>
              <w:left w:val="nil"/>
              <w:bottom w:val="single" w:sz="8" w:space="0" w:color="auto"/>
              <w:right w:val="single" w:sz="8" w:space="0" w:color="auto"/>
            </w:tcBorders>
            <w:shd w:val="clear" w:color="000000" w:fill="FFFFFF"/>
            <w:noWrap/>
            <w:textDirection w:val="lrTb"/>
            <w:vAlign w:val="center"/>
          </w:tcPr>
          <w:p w:rsidR="000604A9" w:rsidRPr="004B386D" w:rsidP="00062C83">
            <w:pPr>
              <w:bidi w:val="0"/>
              <w:jc w:val="center"/>
              <w:rPr>
                <w:rFonts w:ascii="Arial Narrow" w:hAnsi="Arial Narrow" w:cs="Arial Narrow"/>
                <w:b/>
                <w:bCs/>
                <w:sz w:val="16"/>
                <w:szCs w:val="16"/>
                <w:lang w:eastAsia="sk-SK"/>
              </w:rPr>
            </w:pPr>
            <w:r w:rsidRPr="004B386D">
              <w:rPr>
                <w:rFonts w:ascii="Arial Narrow" w:hAnsi="Arial Narrow" w:cs="Arial Narrow"/>
                <w:b/>
                <w:bCs/>
                <w:sz w:val="16"/>
                <w:szCs w:val="16"/>
                <w:lang w:eastAsia="sk-SK"/>
              </w:rPr>
              <w:t>2013 N</w:t>
            </w:r>
          </w:p>
        </w:tc>
      </w:tr>
      <w:tr>
        <w:tblPrEx>
          <w:tblW w:w="9082" w:type="dxa"/>
          <w:tblInd w:w="60" w:type="dxa"/>
          <w:tblCellMar>
            <w:left w:w="70" w:type="dxa"/>
            <w:right w:w="70" w:type="dxa"/>
          </w:tblCellMar>
          <w:tblLook w:val="00A0"/>
        </w:tblPrEx>
        <w:trPr>
          <w:trHeight w:val="340"/>
        </w:trPr>
        <w:tc>
          <w:tcPr>
            <w:tcW w:w="3800" w:type="dxa"/>
            <w:tcBorders>
              <w:top w:val="nil"/>
              <w:left w:val="single" w:sz="8" w:space="0" w:color="auto"/>
              <w:bottom w:val="single" w:sz="4" w:space="0" w:color="auto"/>
              <w:right w:val="single" w:sz="4" w:space="0" w:color="auto"/>
            </w:tcBorders>
            <w:textDirection w:val="lrTb"/>
            <w:vAlign w:val="center"/>
          </w:tcPr>
          <w:p w:rsidR="000604A9" w:rsidRPr="004B386D" w:rsidP="00062C83">
            <w:pPr>
              <w:bidi w:val="0"/>
              <w:jc w:val="both"/>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Príspevky zdravotných poisťovní na činnosť operačných stredísk záchrannej zdravotnej služby</w:t>
            </w:r>
          </w:p>
        </w:tc>
        <w:tc>
          <w:tcPr>
            <w:tcW w:w="1030" w:type="dxa"/>
            <w:tcBorders>
              <w:top w:val="nil"/>
              <w:left w:val="nil"/>
              <w:bottom w:val="single" w:sz="4" w:space="0" w:color="auto"/>
              <w:right w:val="single" w:sz="4"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7 462    </w:t>
            </w:r>
          </w:p>
        </w:tc>
        <w:tc>
          <w:tcPr>
            <w:tcW w:w="850" w:type="dxa"/>
            <w:tcBorders>
              <w:top w:val="nil"/>
              <w:left w:val="nil"/>
              <w:bottom w:val="single" w:sz="4" w:space="0" w:color="auto"/>
              <w:right w:val="single" w:sz="4"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10 990    </w:t>
            </w:r>
          </w:p>
        </w:tc>
        <w:tc>
          <w:tcPr>
            <w:tcW w:w="851" w:type="dxa"/>
            <w:tcBorders>
              <w:top w:val="nil"/>
              <w:left w:val="nil"/>
              <w:bottom w:val="single" w:sz="4" w:space="0" w:color="auto"/>
              <w:right w:val="single" w:sz="4"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11 683    </w:t>
            </w:r>
          </w:p>
        </w:tc>
        <w:tc>
          <w:tcPr>
            <w:tcW w:w="850" w:type="dxa"/>
            <w:tcBorders>
              <w:top w:val="nil"/>
              <w:left w:val="nil"/>
              <w:bottom w:val="single" w:sz="4" w:space="0" w:color="auto"/>
              <w:right w:val="single" w:sz="4"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12 443    </w:t>
            </w:r>
          </w:p>
        </w:tc>
        <w:tc>
          <w:tcPr>
            <w:tcW w:w="851" w:type="dxa"/>
            <w:tcBorders>
              <w:top w:val="nil"/>
              <w:left w:val="nil"/>
              <w:bottom w:val="single" w:sz="4" w:space="0" w:color="auto"/>
              <w:right w:val="single" w:sz="4"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12 582    </w:t>
            </w:r>
          </w:p>
        </w:tc>
        <w:tc>
          <w:tcPr>
            <w:tcW w:w="850" w:type="dxa"/>
            <w:tcBorders>
              <w:top w:val="nil"/>
              <w:left w:val="nil"/>
              <w:bottom w:val="single" w:sz="4" w:space="0" w:color="auto"/>
              <w:right w:val="single" w:sz="8" w:space="0" w:color="auto"/>
            </w:tcBorders>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 xml:space="preserve">    12 981    </w:t>
            </w:r>
          </w:p>
        </w:tc>
      </w:tr>
      <w:tr>
        <w:tblPrEx>
          <w:tblW w:w="9082" w:type="dxa"/>
          <w:tblInd w:w="60" w:type="dxa"/>
          <w:tblCellMar>
            <w:left w:w="70" w:type="dxa"/>
            <w:right w:w="70" w:type="dxa"/>
          </w:tblCellMar>
          <w:tblLook w:val="00A0"/>
        </w:tblPrEx>
        <w:trPr>
          <w:trHeight w:val="340"/>
        </w:trPr>
        <w:tc>
          <w:tcPr>
            <w:tcW w:w="3800" w:type="dxa"/>
            <w:tcBorders>
              <w:top w:val="nil"/>
              <w:left w:val="single" w:sz="8" w:space="0" w:color="auto"/>
              <w:bottom w:val="single" w:sz="8" w:space="0" w:color="auto"/>
              <w:right w:val="single" w:sz="4" w:space="0" w:color="auto"/>
            </w:tcBorders>
            <w:noWrap/>
            <w:textDirection w:val="lrTb"/>
            <w:vAlign w:val="center"/>
          </w:tcPr>
          <w:p w:rsidR="000604A9" w:rsidRPr="004B386D" w:rsidP="00062C83">
            <w:pPr>
              <w:bidi w:val="0"/>
              <w:rPr>
                <w:rFonts w:ascii="Arial Narrow" w:hAnsi="Arial Narrow" w:cs="Arial Narrow"/>
                <w:color w:val="000000"/>
                <w:sz w:val="16"/>
                <w:szCs w:val="16"/>
                <w:lang w:eastAsia="sk-SK"/>
              </w:rPr>
            </w:pPr>
            <w:r>
              <w:rPr>
                <w:rFonts w:ascii="Arial Narrow" w:hAnsi="Arial Narrow" w:cs="Arial Narrow"/>
                <w:color w:val="000000"/>
                <w:sz w:val="16"/>
                <w:szCs w:val="16"/>
                <w:lang w:eastAsia="sk-SK"/>
              </w:rPr>
              <w:t>Transfery  od  ostatných  subjektov  verejnej  správy</w:t>
            </w:r>
          </w:p>
        </w:tc>
        <w:tc>
          <w:tcPr>
            <w:tcW w:w="1030" w:type="dxa"/>
            <w:tcBorders>
              <w:top w:val="nil"/>
              <w:left w:val="nil"/>
              <w:bottom w:val="single" w:sz="8" w:space="0" w:color="auto"/>
              <w:right w:val="single" w:sz="4"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0</w:t>
            </w:r>
          </w:p>
        </w:tc>
        <w:tc>
          <w:tcPr>
            <w:tcW w:w="850" w:type="dxa"/>
            <w:tcBorders>
              <w:top w:val="nil"/>
              <w:left w:val="nil"/>
              <w:bottom w:val="single" w:sz="8" w:space="0" w:color="auto"/>
              <w:right w:val="single" w:sz="4"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0</w:t>
            </w:r>
          </w:p>
        </w:tc>
        <w:tc>
          <w:tcPr>
            <w:tcW w:w="851" w:type="dxa"/>
            <w:tcBorders>
              <w:top w:val="nil"/>
              <w:left w:val="nil"/>
              <w:bottom w:val="single" w:sz="8" w:space="0" w:color="auto"/>
              <w:right w:val="single" w:sz="4"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85</w:t>
            </w:r>
          </w:p>
        </w:tc>
        <w:tc>
          <w:tcPr>
            <w:tcW w:w="850" w:type="dxa"/>
            <w:tcBorders>
              <w:top w:val="nil"/>
              <w:left w:val="nil"/>
              <w:bottom w:val="single" w:sz="8" w:space="0" w:color="auto"/>
              <w:right w:val="single" w:sz="4"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BE4626">
              <w:rPr>
                <w:rFonts w:ascii="Arial Narrow" w:hAnsi="Arial Narrow" w:cs="Arial Narrow"/>
                <w:color w:val="000000"/>
                <w:sz w:val="16"/>
                <w:szCs w:val="16"/>
                <w:lang w:eastAsia="sk-SK"/>
              </w:rPr>
              <w:t>3 3</w:t>
            </w:r>
            <w:r w:rsidRPr="004B386D">
              <w:rPr>
                <w:rFonts w:ascii="Arial Narrow" w:hAnsi="Arial Narrow" w:cs="Arial Narrow"/>
                <w:color w:val="000000"/>
                <w:sz w:val="16"/>
                <w:szCs w:val="16"/>
                <w:lang w:eastAsia="sk-SK"/>
              </w:rPr>
              <w:t>85</w:t>
            </w:r>
          </w:p>
        </w:tc>
        <w:tc>
          <w:tcPr>
            <w:tcW w:w="851" w:type="dxa"/>
            <w:tcBorders>
              <w:top w:val="nil"/>
              <w:left w:val="nil"/>
              <w:bottom w:val="single" w:sz="8" w:space="0" w:color="auto"/>
              <w:right w:val="single" w:sz="4"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85</w:t>
            </w:r>
          </w:p>
        </w:tc>
        <w:tc>
          <w:tcPr>
            <w:tcW w:w="850" w:type="dxa"/>
            <w:tcBorders>
              <w:top w:val="nil"/>
              <w:left w:val="nil"/>
              <w:bottom w:val="single" w:sz="8" w:space="0" w:color="auto"/>
              <w:right w:val="single" w:sz="8" w:space="0" w:color="auto"/>
            </w:tcBorders>
            <w:noWrap/>
            <w:textDirection w:val="lrTb"/>
            <w:vAlign w:val="center"/>
          </w:tcPr>
          <w:p w:rsidR="000604A9" w:rsidRPr="004B386D" w:rsidP="00062C83">
            <w:pPr>
              <w:bidi w:val="0"/>
              <w:jc w:val="right"/>
              <w:rPr>
                <w:rFonts w:ascii="Arial Narrow" w:hAnsi="Arial Narrow" w:cs="Arial Narrow"/>
                <w:color w:val="000000"/>
                <w:sz w:val="16"/>
                <w:szCs w:val="16"/>
                <w:lang w:eastAsia="sk-SK"/>
              </w:rPr>
            </w:pPr>
            <w:r w:rsidRPr="004B386D">
              <w:rPr>
                <w:rFonts w:ascii="Arial Narrow" w:hAnsi="Arial Narrow" w:cs="Arial Narrow"/>
                <w:color w:val="000000"/>
                <w:sz w:val="16"/>
                <w:szCs w:val="16"/>
                <w:lang w:eastAsia="sk-SK"/>
              </w:rPr>
              <w:t>85</w:t>
            </w:r>
          </w:p>
        </w:tc>
      </w:tr>
    </w:tbl>
    <w:p w:rsidR="00B31502" w:rsidP="000604A9">
      <w:pPr>
        <w:bidi w:val="0"/>
        <w:jc w:val="both"/>
        <w:rPr>
          <w:rFonts w:ascii="Arial Narrow" w:hAnsi="Arial Narrow" w:cs="Arial Narrow"/>
          <w:sz w:val="22"/>
          <w:szCs w:val="22"/>
        </w:rPr>
      </w:pPr>
      <w:r w:rsidR="000604A9">
        <w:rPr>
          <w:rFonts w:ascii="Arial Narrow" w:hAnsi="Arial Narrow" w:cs="Arial Narrow"/>
          <w:sz w:val="22"/>
          <w:szCs w:val="22"/>
        </w:rPr>
        <w:tab/>
      </w:r>
    </w:p>
    <w:p w:rsidR="000604A9" w:rsidP="00B53AD4">
      <w:pPr>
        <w:bidi w:val="0"/>
        <w:ind w:firstLine="708"/>
        <w:jc w:val="both"/>
        <w:rPr>
          <w:rFonts w:ascii="Arial Narrow" w:hAnsi="Arial Narrow" w:cs="Arial Narrow"/>
          <w:sz w:val="22"/>
          <w:szCs w:val="22"/>
        </w:rPr>
      </w:pPr>
      <w:r>
        <w:rPr>
          <w:rFonts w:ascii="Arial Narrow" w:hAnsi="Arial Narrow" w:cs="Arial Narrow"/>
          <w:sz w:val="22"/>
          <w:szCs w:val="22"/>
        </w:rPr>
        <w:t>V  roku 2011 z dôvodu predpokladaného zvýšenia výberu poistného na zdravotnom poistení sa rozpočtujú aj vyššie príspevky zdravotných poisťovní na činnosť operačných stredísk záchrannej zdravotnej služby a v porovnaní s očakávanou skutočnosťou roku 2010 ide o nárast týchto príjmov o 6,5 %.</w:t>
      </w:r>
    </w:p>
    <w:p w:rsidR="00B53AD4" w:rsidP="00B53AD4">
      <w:pPr>
        <w:bidi w:val="0"/>
        <w:ind w:firstLine="708"/>
        <w:jc w:val="both"/>
        <w:rPr>
          <w:rFonts w:ascii="Arial Narrow" w:hAnsi="Arial Narrow" w:cs="Arial Narrow"/>
          <w:sz w:val="22"/>
          <w:szCs w:val="22"/>
        </w:rPr>
      </w:pPr>
    </w:p>
    <w:p w:rsidR="00C07070" w:rsidP="00B53AD4">
      <w:pPr>
        <w:pStyle w:val="Heading1"/>
        <w:bidi w:val="0"/>
        <w:spacing w:before="0" w:after="0"/>
        <w:rPr>
          <w:rFonts w:ascii="Arial Narrow" w:hAnsi="Arial Narrow" w:cs="Arial Narrow"/>
          <w:sz w:val="28"/>
          <w:szCs w:val="28"/>
        </w:rPr>
      </w:pPr>
      <w:bookmarkStart w:id="54" w:name="_Toc116476495"/>
      <w:bookmarkStart w:id="55" w:name="_Toc141529498"/>
      <w:bookmarkStart w:id="56" w:name="_Toc219860187"/>
    </w:p>
    <w:p w:rsidR="002C26B7" w:rsidP="00B53AD4">
      <w:pPr>
        <w:pStyle w:val="Heading1"/>
        <w:bidi w:val="0"/>
        <w:spacing w:before="0" w:after="0"/>
        <w:rPr>
          <w:rFonts w:ascii="Arial Narrow" w:hAnsi="Arial Narrow" w:cs="Arial Narrow"/>
          <w:sz w:val="28"/>
          <w:szCs w:val="28"/>
        </w:rPr>
      </w:pPr>
      <w:bookmarkStart w:id="57" w:name="_Toc273979621"/>
      <w:r w:rsidRPr="00830307">
        <w:rPr>
          <w:rFonts w:ascii="Arial Narrow" w:hAnsi="Arial Narrow" w:cs="Arial Narrow"/>
          <w:sz w:val="28"/>
          <w:szCs w:val="28"/>
        </w:rPr>
        <w:t>4. Rozpočtovanie výdavkov štátneho rozpočtu</w:t>
      </w:r>
      <w:bookmarkEnd w:id="54"/>
      <w:bookmarkEnd w:id="55"/>
      <w:bookmarkEnd w:id="56"/>
      <w:bookmarkEnd w:id="57"/>
    </w:p>
    <w:p w:rsidR="002C26B7" w:rsidRPr="00656C18" w:rsidP="002C26B7">
      <w:pPr>
        <w:pStyle w:val="Heading2"/>
        <w:bidi w:val="0"/>
        <w:rPr>
          <w:rFonts w:ascii="Arial Narrow" w:hAnsi="Arial Narrow" w:cs="Arial Narrow"/>
          <w:i w:val="0"/>
          <w:iCs w:val="0"/>
          <w:sz w:val="24"/>
          <w:szCs w:val="24"/>
        </w:rPr>
      </w:pPr>
      <w:bookmarkStart w:id="58" w:name="_Toc219860188"/>
      <w:bookmarkStart w:id="59" w:name="_Toc273979622"/>
      <w:r w:rsidRPr="00656C18">
        <w:rPr>
          <w:rFonts w:ascii="Arial Narrow" w:hAnsi="Arial Narrow" w:cs="Arial Narrow"/>
          <w:i w:val="0"/>
          <w:iCs w:val="0"/>
          <w:sz w:val="24"/>
          <w:szCs w:val="24"/>
        </w:rPr>
        <w:t>4.1. Kvantifikácia výdavkov štátneho rozpočtu</w:t>
      </w:r>
      <w:bookmarkEnd w:id="58"/>
      <w:bookmarkEnd w:id="59"/>
    </w:p>
    <w:p w:rsidR="002C26B7" w:rsidP="002C26B7">
      <w:pPr>
        <w:bidi w:val="0"/>
        <w:jc w:val="both"/>
        <w:rPr>
          <w:rFonts w:ascii="Arial Narrow" w:hAnsi="Arial Narrow" w:cs="Arial Narrow"/>
          <w:highlight w:val="yellow"/>
        </w:rPr>
      </w:pPr>
    </w:p>
    <w:p w:rsidR="002C26B7" w:rsidP="002C26B7">
      <w:pPr>
        <w:bidi w:val="0"/>
        <w:ind w:firstLine="708"/>
        <w:jc w:val="both"/>
        <w:rPr>
          <w:rFonts w:ascii="Arial Narrow" w:hAnsi="Arial Narrow" w:cs="Arial Narrow"/>
          <w:sz w:val="22"/>
          <w:szCs w:val="22"/>
        </w:rPr>
      </w:pPr>
      <w:r>
        <w:rPr>
          <w:rFonts w:ascii="Arial Narrow" w:hAnsi="Arial Narrow" w:cs="Arial Narrow"/>
          <w:sz w:val="22"/>
          <w:szCs w:val="22"/>
        </w:rPr>
        <w:t xml:space="preserve">V rámci návrhu rozpočtu verejnej správy na roky 2011 až 2013 sa rozpočtujú výdavky štátneho rozpočtu vo výške </w:t>
      </w:r>
      <w:r w:rsidR="00250A42">
        <w:rPr>
          <w:rFonts w:ascii="Arial Narrow" w:hAnsi="Arial Narrow" w:cs="Arial Narrow"/>
          <w:sz w:val="22"/>
          <w:szCs w:val="22"/>
        </w:rPr>
        <w:t>16 915 558</w:t>
      </w:r>
      <w:r>
        <w:rPr>
          <w:rFonts w:ascii="Arial Narrow" w:hAnsi="Arial Narrow" w:cs="Arial Narrow"/>
          <w:sz w:val="22"/>
          <w:szCs w:val="22"/>
        </w:rPr>
        <w:t xml:space="preserve"> tis. eur na rok 2011, 16</w:t>
      </w:r>
      <w:r w:rsidR="00250A42">
        <w:rPr>
          <w:rFonts w:ascii="Arial Narrow" w:hAnsi="Arial Narrow" w:cs="Arial Narrow"/>
          <w:sz w:val="22"/>
          <w:szCs w:val="22"/>
        </w:rPr>
        <w:t> 555 360</w:t>
      </w:r>
      <w:r>
        <w:rPr>
          <w:rFonts w:ascii="Arial Narrow" w:hAnsi="Arial Narrow" w:cs="Arial Narrow"/>
          <w:sz w:val="22"/>
          <w:szCs w:val="22"/>
        </w:rPr>
        <w:t xml:space="preserve"> tis. eur na rok 2012 a 16 </w:t>
      </w:r>
      <w:r w:rsidR="00B4540B">
        <w:rPr>
          <w:rFonts w:ascii="Arial Narrow" w:hAnsi="Arial Narrow" w:cs="Arial Narrow"/>
          <w:sz w:val="22"/>
          <w:szCs w:val="22"/>
        </w:rPr>
        <w:t>2</w:t>
      </w:r>
      <w:r w:rsidR="00250A42">
        <w:rPr>
          <w:rFonts w:ascii="Arial Narrow" w:hAnsi="Arial Narrow" w:cs="Arial Narrow"/>
          <w:sz w:val="22"/>
          <w:szCs w:val="22"/>
        </w:rPr>
        <w:t>69</w:t>
      </w:r>
      <w:r>
        <w:rPr>
          <w:rFonts w:ascii="Arial Narrow" w:hAnsi="Arial Narrow" w:cs="Arial Narrow"/>
          <w:sz w:val="22"/>
          <w:szCs w:val="22"/>
        </w:rPr>
        <w:t xml:space="preserve"> </w:t>
      </w:r>
      <w:r w:rsidR="00250A42">
        <w:rPr>
          <w:rFonts w:ascii="Arial Narrow" w:hAnsi="Arial Narrow" w:cs="Arial Narrow"/>
          <w:sz w:val="22"/>
          <w:szCs w:val="22"/>
        </w:rPr>
        <w:t>513</w:t>
      </w:r>
      <w:r>
        <w:rPr>
          <w:rFonts w:ascii="Arial Narrow" w:hAnsi="Arial Narrow" w:cs="Arial Narrow"/>
          <w:sz w:val="22"/>
          <w:szCs w:val="22"/>
        </w:rPr>
        <w:t xml:space="preserve"> tis. eur na rok 2013. </w:t>
      </w:r>
    </w:p>
    <w:p w:rsidR="002C26B7" w:rsidRPr="00C31BF6" w:rsidP="002C26B7">
      <w:pPr>
        <w:bidi w:val="0"/>
        <w:jc w:val="both"/>
        <w:rPr>
          <w:rFonts w:ascii="Arial Narrow" w:hAnsi="Arial Narrow" w:cs="Arial Narrow"/>
          <w:sz w:val="22"/>
          <w:szCs w:val="22"/>
        </w:rPr>
      </w:pPr>
    </w:p>
    <w:tbl>
      <w:tblPr>
        <w:tblStyle w:val="TableNormal"/>
        <w:tblpPr w:leftFromText="141" w:rightFromText="141" w:vertAnchor="text" w:horzAnchor="margin" w:tblpXSpec="center" w:tblpY="27"/>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2"/>
        <w:gridCol w:w="946"/>
        <w:gridCol w:w="912"/>
        <w:gridCol w:w="946"/>
        <w:gridCol w:w="912"/>
        <w:gridCol w:w="912"/>
        <w:gridCol w:w="912"/>
        <w:gridCol w:w="912"/>
      </w:tblGrid>
      <w:tr>
        <w:tblPrEx>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rPr>
                <w:rFonts w:ascii="Arial Narrow" w:hAnsi="Arial Narrow" w:cs="Arial Narrow"/>
                <w:sz w:val="16"/>
                <w:szCs w:val="16"/>
              </w:rPr>
            </w:pPr>
            <w:r w:rsidRPr="000B1488">
              <w:rPr>
                <w:rFonts w:ascii="Arial Narrow" w:hAnsi="Arial Narrow" w:cs="Arial Narrow"/>
                <w:sz w:val="16"/>
                <w:szCs w:val="16"/>
              </w:rPr>
              <w:t>(v tis. eur)</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jc w:val="center"/>
              <w:rPr>
                <w:rFonts w:ascii="Arial Narrow" w:hAnsi="Arial Narrow" w:cs="Arial Narrow"/>
                <w:b/>
                <w:bCs/>
                <w:sz w:val="16"/>
                <w:szCs w:val="16"/>
              </w:rPr>
            </w:pPr>
            <w:r w:rsidRPr="000B1488">
              <w:rPr>
                <w:rFonts w:ascii="Arial Narrow" w:hAnsi="Arial Narrow" w:cs="Arial Narrow"/>
                <w:b/>
                <w:bCs/>
                <w:sz w:val="16"/>
                <w:szCs w:val="16"/>
              </w:rPr>
              <w:t>2008 S</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jc w:val="center"/>
              <w:rPr>
                <w:rFonts w:ascii="Arial Narrow" w:hAnsi="Arial Narrow" w:cs="Arial Narrow"/>
                <w:b/>
                <w:bCs/>
                <w:sz w:val="16"/>
                <w:szCs w:val="16"/>
              </w:rPr>
            </w:pPr>
            <w:r w:rsidRPr="000B1488">
              <w:rPr>
                <w:rFonts w:ascii="Arial Narrow" w:hAnsi="Arial Narrow" w:cs="Arial Narrow"/>
                <w:b/>
                <w:bCs/>
                <w:sz w:val="16"/>
                <w:szCs w:val="16"/>
              </w:rPr>
              <w:t>2009 S</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9579AE">
            <w:pPr>
              <w:bidi w:val="0"/>
              <w:jc w:val="center"/>
              <w:rPr>
                <w:rFonts w:ascii="Arial Narrow" w:hAnsi="Arial Narrow" w:cs="Arial Narrow"/>
                <w:b/>
                <w:bCs/>
                <w:sz w:val="16"/>
                <w:szCs w:val="16"/>
              </w:rPr>
            </w:pPr>
            <w:r>
              <w:rPr>
                <w:rFonts w:ascii="Arial Narrow" w:hAnsi="Arial Narrow" w:cs="Arial Narrow"/>
                <w:b/>
                <w:bCs/>
                <w:sz w:val="16"/>
                <w:szCs w:val="16"/>
              </w:rPr>
              <w:t>2010 R</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7669EF">
            <w:pPr>
              <w:bidi w:val="0"/>
              <w:jc w:val="center"/>
              <w:rPr>
                <w:rFonts w:ascii="Arial Narrow" w:hAnsi="Arial Narrow" w:cs="Arial Narrow"/>
                <w:b/>
                <w:bCs/>
                <w:sz w:val="16"/>
                <w:szCs w:val="16"/>
              </w:rPr>
            </w:pPr>
            <w:r w:rsidRPr="000B1488">
              <w:rPr>
                <w:rFonts w:ascii="Arial Narrow" w:hAnsi="Arial Narrow" w:cs="Arial Narrow"/>
                <w:b/>
                <w:bCs/>
                <w:sz w:val="16"/>
                <w:szCs w:val="16"/>
              </w:rPr>
              <w:t xml:space="preserve">2010 </w:t>
            </w:r>
            <w:r>
              <w:rPr>
                <w:rFonts w:ascii="Arial Narrow" w:hAnsi="Arial Narrow" w:cs="Arial Narrow"/>
                <w:b/>
                <w:bCs/>
                <w:sz w:val="16"/>
                <w:szCs w:val="16"/>
              </w:rPr>
              <w:t>OS</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jc w:val="center"/>
              <w:rPr>
                <w:rFonts w:ascii="Arial Narrow" w:hAnsi="Arial Narrow" w:cs="Arial Narrow"/>
                <w:b/>
                <w:bCs/>
                <w:sz w:val="16"/>
                <w:szCs w:val="16"/>
              </w:rPr>
            </w:pPr>
            <w:r w:rsidRPr="000B1488">
              <w:rPr>
                <w:rFonts w:ascii="Arial Narrow" w:hAnsi="Arial Narrow" w:cs="Arial Narrow"/>
                <w:b/>
                <w:bCs/>
                <w:sz w:val="16"/>
                <w:szCs w:val="16"/>
              </w:rPr>
              <w:t>2011 N</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jc w:val="center"/>
              <w:rPr>
                <w:rFonts w:ascii="Arial Narrow" w:hAnsi="Arial Narrow" w:cs="Arial Narrow"/>
                <w:b/>
                <w:bCs/>
                <w:sz w:val="16"/>
                <w:szCs w:val="16"/>
              </w:rPr>
            </w:pPr>
            <w:r w:rsidRPr="000B1488">
              <w:rPr>
                <w:rFonts w:ascii="Arial Narrow" w:hAnsi="Arial Narrow" w:cs="Arial Narrow"/>
                <w:b/>
                <w:bCs/>
                <w:sz w:val="16"/>
                <w:szCs w:val="16"/>
              </w:rPr>
              <w:t>2012 N</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20837">
            <w:pPr>
              <w:bidi w:val="0"/>
              <w:jc w:val="center"/>
              <w:rPr>
                <w:rFonts w:ascii="Arial Narrow" w:hAnsi="Arial Narrow" w:cs="Arial Narrow"/>
                <w:b/>
                <w:bCs/>
                <w:sz w:val="16"/>
                <w:szCs w:val="16"/>
              </w:rPr>
            </w:pPr>
            <w:r w:rsidRPr="000B1488">
              <w:rPr>
                <w:rFonts w:ascii="Arial Narrow" w:hAnsi="Arial Narrow" w:cs="Arial Narrow"/>
                <w:b/>
                <w:bCs/>
                <w:sz w:val="16"/>
                <w:szCs w:val="16"/>
              </w:rPr>
              <w:t>2013 N</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FE7D10">
            <w:pPr>
              <w:bidi w:val="0"/>
              <w:rPr>
                <w:rFonts w:ascii="Arial Narrow" w:hAnsi="Arial Narrow" w:cs="Arial Narrow"/>
                <w:sz w:val="16"/>
                <w:szCs w:val="16"/>
              </w:rPr>
            </w:pPr>
            <w:r w:rsidRPr="000B1488">
              <w:rPr>
                <w:rFonts w:ascii="Arial Narrow" w:hAnsi="Arial Narrow" w:cs="Arial Narrow"/>
                <w:sz w:val="16"/>
                <w:szCs w:val="16"/>
              </w:rPr>
              <w:t>Výdavky štátneho rozpočtu</w:t>
            </w:r>
          </w:p>
        </w:tc>
        <w:tc>
          <w:tcPr>
            <w:tcW w:w="94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E80C28">
            <w:pPr>
              <w:bidi w:val="0"/>
              <w:jc w:val="right"/>
              <w:rPr>
                <w:rFonts w:ascii="Arial Narrow" w:hAnsi="Arial Narrow" w:cs="Arial Narrow"/>
                <w:sz w:val="16"/>
                <w:szCs w:val="16"/>
              </w:rPr>
            </w:pPr>
            <w:r>
              <w:rPr>
                <w:rFonts w:ascii="Arial Narrow" w:hAnsi="Arial Narrow" w:cs="Arial Narrow"/>
                <w:sz w:val="16"/>
                <w:szCs w:val="16"/>
              </w:rPr>
              <w:t>12 056 594</w:t>
            </w:r>
          </w:p>
        </w:tc>
        <w:tc>
          <w:tcPr>
            <w:tcW w:w="9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13 332 047</w:t>
            </w:r>
          </w:p>
        </w:tc>
        <w:tc>
          <w:tcPr>
            <w:tcW w:w="94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P="009579AE">
            <w:pPr>
              <w:bidi w:val="0"/>
              <w:jc w:val="right"/>
              <w:rPr>
                <w:rFonts w:ascii="Arial Narrow" w:hAnsi="Arial Narrow" w:cs="Arial Narrow"/>
                <w:sz w:val="16"/>
                <w:szCs w:val="16"/>
              </w:rPr>
            </w:pPr>
            <w:r>
              <w:rPr>
                <w:rFonts w:ascii="Arial Narrow" w:hAnsi="Arial Narrow" w:cs="Arial Narrow"/>
                <w:sz w:val="16"/>
                <w:szCs w:val="16"/>
              </w:rPr>
              <w:t>16 277 000</w:t>
            </w:r>
          </w:p>
        </w:tc>
        <w:tc>
          <w:tcPr>
            <w:tcW w:w="9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15 846 573</w:t>
            </w:r>
          </w:p>
        </w:tc>
        <w:tc>
          <w:tcPr>
            <w:tcW w:w="9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4A0C95">
            <w:pPr>
              <w:bidi w:val="0"/>
              <w:jc w:val="right"/>
              <w:rPr>
                <w:rFonts w:ascii="Arial Narrow" w:hAnsi="Arial Narrow" w:cs="Arial Narrow"/>
                <w:sz w:val="16"/>
                <w:szCs w:val="16"/>
              </w:rPr>
            </w:pPr>
            <w:r w:rsidR="00897A06">
              <w:rPr>
                <w:rFonts w:ascii="Arial Narrow" w:hAnsi="Arial Narrow" w:cs="Arial Narrow"/>
                <w:sz w:val="16"/>
                <w:szCs w:val="16"/>
              </w:rPr>
              <w:t>16 9</w:t>
            </w:r>
            <w:r w:rsidR="00791DAA">
              <w:rPr>
                <w:rFonts w:ascii="Arial Narrow" w:hAnsi="Arial Narrow" w:cs="Arial Narrow"/>
                <w:sz w:val="16"/>
                <w:szCs w:val="16"/>
              </w:rPr>
              <w:t>2</w:t>
            </w:r>
            <w:r w:rsidR="00897A06">
              <w:rPr>
                <w:rFonts w:ascii="Arial Narrow" w:hAnsi="Arial Narrow" w:cs="Arial Narrow"/>
                <w:sz w:val="16"/>
                <w:szCs w:val="16"/>
              </w:rPr>
              <w:t>5 558</w:t>
            </w:r>
          </w:p>
        </w:tc>
        <w:tc>
          <w:tcPr>
            <w:tcW w:w="9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FE7D10">
            <w:pPr>
              <w:bidi w:val="0"/>
              <w:jc w:val="right"/>
              <w:rPr>
                <w:rFonts w:ascii="Arial Narrow" w:hAnsi="Arial Narrow" w:cs="Arial Narrow"/>
                <w:sz w:val="16"/>
                <w:szCs w:val="16"/>
              </w:rPr>
            </w:pPr>
            <w:r w:rsidR="00AD5446">
              <w:rPr>
                <w:rFonts w:ascii="Arial Narrow" w:hAnsi="Arial Narrow" w:cs="Arial Narrow"/>
                <w:sz w:val="16"/>
                <w:szCs w:val="16"/>
              </w:rPr>
              <w:t>16 555 360</w:t>
            </w:r>
          </w:p>
        </w:tc>
        <w:tc>
          <w:tcPr>
            <w:tcW w:w="9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579AE" w:rsidRPr="000B1488" w:rsidP="00FE7D10">
            <w:pPr>
              <w:bidi w:val="0"/>
              <w:jc w:val="right"/>
              <w:rPr>
                <w:rFonts w:ascii="Arial Narrow" w:hAnsi="Arial Narrow" w:cs="Arial Narrow"/>
                <w:sz w:val="16"/>
                <w:szCs w:val="16"/>
              </w:rPr>
            </w:pPr>
            <w:r w:rsidR="00AD5446">
              <w:rPr>
                <w:rFonts w:ascii="Arial Narrow" w:hAnsi="Arial Narrow" w:cs="Arial Narrow"/>
                <w:sz w:val="16"/>
                <w:szCs w:val="16"/>
              </w:rPr>
              <w:t>16 269 513</w:t>
            </w:r>
          </w:p>
        </w:tc>
      </w:tr>
      <w:tr>
        <w:tblPrEx>
          <w:tblW w:w="9134" w:type="dxa"/>
          <w:tblLook w:val="01E0"/>
        </w:tblPrEx>
        <w:trPr>
          <w:trHeight w:val="227"/>
        </w:trPr>
        <w:tc>
          <w:tcPr>
            <w:tcW w:w="9134" w:type="dxa"/>
            <w:gridSpan w:val="8"/>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rPr>
                <w:rFonts w:ascii="Arial Narrow" w:hAnsi="Arial Narrow" w:cs="Arial Narrow"/>
                <w:sz w:val="16"/>
                <w:szCs w:val="16"/>
              </w:rPr>
            </w:pPr>
            <w:r w:rsidRPr="000B1488">
              <w:rPr>
                <w:rFonts w:ascii="Arial Narrow" w:hAnsi="Arial Narrow" w:cs="Arial Narrow"/>
                <w:sz w:val="16"/>
                <w:szCs w:val="16"/>
              </w:rPr>
              <w:t>z toho:</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rPr>
                <w:rFonts w:ascii="Arial Narrow" w:hAnsi="Arial Narrow" w:cs="Arial Narrow"/>
                <w:sz w:val="16"/>
                <w:szCs w:val="16"/>
              </w:rPr>
            </w:pPr>
            <w:r w:rsidRPr="000B1488">
              <w:rPr>
                <w:rFonts w:ascii="Arial Narrow" w:hAnsi="Arial Narrow" w:cs="Arial Narrow"/>
                <w:sz w:val="16"/>
                <w:szCs w:val="16"/>
              </w:rPr>
              <w:t>výdavky štátneho dlhu</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884 930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762 713</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9579AE">
            <w:pPr>
              <w:bidi w:val="0"/>
              <w:jc w:val="right"/>
              <w:rPr>
                <w:rFonts w:ascii="Arial Narrow" w:hAnsi="Arial Narrow" w:cs="Arial Narrow"/>
                <w:sz w:val="16"/>
                <w:szCs w:val="16"/>
              </w:rPr>
            </w:pPr>
            <w:r>
              <w:rPr>
                <w:rFonts w:ascii="Arial Narrow" w:hAnsi="Arial Narrow" w:cs="Arial Narrow"/>
                <w:sz w:val="16"/>
                <w:szCs w:val="16"/>
              </w:rPr>
              <w:t>1 144 250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964 643</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897A06">
            <w:pPr>
              <w:bidi w:val="0"/>
              <w:jc w:val="right"/>
              <w:rPr>
                <w:rFonts w:ascii="Arial Narrow" w:hAnsi="Arial Narrow" w:cs="Arial Narrow"/>
                <w:sz w:val="16"/>
                <w:szCs w:val="16"/>
              </w:rPr>
            </w:pPr>
            <w:r w:rsidRPr="000B1488">
              <w:rPr>
                <w:rFonts w:ascii="Arial Narrow" w:hAnsi="Arial Narrow" w:cs="Arial Narrow"/>
                <w:sz w:val="16"/>
                <w:szCs w:val="16"/>
              </w:rPr>
              <w:t>1</w:t>
            </w:r>
            <w:r>
              <w:rPr>
                <w:rFonts w:ascii="Arial Narrow" w:hAnsi="Arial Narrow" w:cs="Arial Narrow"/>
                <w:sz w:val="16"/>
                <w:szCs w:val="16"/>
              </w:rPr>
              <w:t> 1</w:t>
            </w:r>
            <w:r w:rsidR="00791DAA">
              <w:rPr>
                <w:rFonts w:ascii="Arial Narrow" w:hAnsi="Arial Narrow" w:cs="Arial Narrow"/>
                <w:sz w:val="16"/>
                <w:szCs w:val="16"/>
              </w:rPr>
              <w:t>6</w:t>
            </w:r>
            <w:r w:rsidR="00897A06">
              <w:rPr>
                <w:rFonts w:ascii="Arial Narrow" w:hAnsi="Arial Narrow" w:cs="Arial Narrow"/>
                <w:sz w:val="16"/>
                <w:szCs w:val="16"/>
              </w:rPr>
              <w:t>3</w:t>
            </w:r>
            <w:r>
              <w:rPr>
                <w:rFonts w:ascii="Arial Narrow" w:hAnsi="Arial Narrow" w:cs="Arial Narrow"/>
                <w:sz w:val="16"/>
                <w:szCs w:val="16"/>
              </w:rPr>
              <w:t xml:space="preserve"> 1</w:t>
            </w:r>
            <w:r w:rsidR="00897A06">
              <w:rPr>
                <w:rFonts w:ascii="Arial Narrow" w:hAnsi="Arial Narrow" w:cs="Arial Narrow"/>
                <w:sz w:val="16"/>
                <w:szCs w:val="16"/>
              </w:rPr>
              <w:t>88</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w:t>
            </w:r>
            <w:r w:rsidR="00AD5446">
              <w:rPr>
                <w:rFonts w:ascii="Arial Narrow" w:hAnsi="Arial Narrow" w:cs="Arial Narrow"/>
                <w:sz w:val="16"/>
                <w:szCs w:val="16"/>
              </w:rPr>
              <w:t> </w:t>
            </w:r>
            <w:r>
              <w:rPr>
                <w:rFonts w:ascii="Arial Narrow" w:hAnsi="Arial Narrow" w:cs="Arial Narrow"/>
                <w:sz w:val="16"/>
                <w:szCs w:val="16"/>
              </w:rPr>
              <w:t>6</w:t>
            </w:r>
            <w:r w:rsidR="00AD5446">
              <w:rPr>
                <w:rFonts w:ascii="Arial Narrow" w:hAnsi="Arial Narrow" w:cs="Arial Narrow"/>
                <w:sz w:val="16"/>
                <w:szCs w:val="16"/>
              </w:rPr>
              <w:t xml:space="preserve">09 990 </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AD5446">
            <w:pPr>
              <w:bidi w:val="0"/>
              <w:jc w:val="right"/>
              <w:rPr>
                <w:rFonts w:ascii="Arial Narrow" w:hAnsi="Arial Narrow" w:cs="Arial Narrow"/>
                <w:sz w:val="16"/>
                <w:szCs w:val="16"/>
              </w:rPr>
            </w:pPr>
            <w:r w:rsidRPr="000B1488">
              <w:rPr>
                <w:rFonts w:ascii="Arial Narrow" w:hAnsi="Arial Narrow" w:cs="Arial Narrow"/>
                <w:sz w:val="16"/>
                <w:szCs w:val="16"/>
              </w:rPr>
              <w:t>1</w:t>
            </w:r>
            <w:r>
              <w:rPr>
                <w:rFonts w:ascii="Arial Narrow" w:hAnsi="Arial Narrow" w:cs="Arial Narrow"/>
                <w:sz w:val="16"/>
                <w:szCs w:val="16"/>
              </w:rPr>
              <w:t> 6</w:t>
            </w:r>
            <w:r w:rsidR="00AD5446">
              <w:rPr>
                <w:rFonts w:ascii="Arial Narrow" w:hAnsi="Arial Narrow" w:cs="Arial Narrow"/>
                <w:sz w:val="16"/>
                <w:szCs w:val="16"/>
              </w:rPr>
              <w:t>45</w:t>
            </w:r>
            <w:r>
              <w:rPr>
                <w:rFonts w:ascii="Arial Narrow" w:hAnsi="Arial Narrow" w:cs="Arial Narrow"/>
                <w:sz w:val="16"/>
                <w:szCs w:val="16"/>
              </w:rPr>
              <w:t xml:space="preserve"> </w:t>
            </w:r>
            <w:r w:rsidR="00AD5446">
              <w:rPr>
                <w:rFonts w:ascii="Arial Narrow" w:hAnsi="Arial Narrow" w:cs="Arial Narrow"/>
                <w:sz w:val="16"/>
                <w:szCs w:val="16"/>
              </w:rPr>
              <w:t>031</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rPr>
                <w:rFonts w:ascii="Arial Narrow" w:hAnsi="Arial Narrow" w:cs="Arial Narrow"/>
                <w:sz w:val="16"/>
                <w:szCs w:val="16"/>
              </w:rPr>
            </w:pPr>
            <w:r>
              <w:rPr>
                <w:rFonts w:ascii="Arial Narrow" w:hAnsi="Arial Narrow" w:cs="Arial Narrow"/>
                <w:sz w:val="16"/>
                <w:szCs w:val="16"/>
              </w:rPr>
              <w:t>transfer zo štátneho rozpočtu do  Sociálnej poisťovne</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9579AE">
            <w:pPr>
              <w:bidi w:val="0"/>
              <w:jc w:val="right"/>
              <w:rPr>
                <w:rFonts w:ascii="Arial Narrow" w:hAnsi="Arial Narrow" w:cs="Arial Narrow"/>
                <w:sz w:val="16"/>
                <w:szCs w:val="16"/>
              </w:rPr>
            </w:pPr>
            <w:r>
              <w:rPr>
                <w:rFonts w:ascii="Arial Narrow" w:hAnsi="Arial Narrow" w:cs="Arial Narrow"/>
                <w:sz w:val="16"/>
                <w:szCs w:val="16"/>
              </w:rPr>
              <w:t>1 441 709</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1 441 709</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1 608 733</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1 672 696</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1 717 805</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rPr>
                <w:rFonts w:ascii="Arial Narrow" w:hAnsi="Arial Narrow" w:cs="Arial Narrow"/>
                <w:sz w:val="16"/>
                <w:szCs w:val="16"/>
                <w:highlight w:val="yellow"/>
              </w:rPr>
            </w:pPr>
            <w:r w:rsidRPr="000B1488">
              <w:rPr>
                <w:rFonts w:ascii="Arial Narrow" w:hAnsi="Arial Narrow" w:cs="Arial Narrow"/>
                <w:sz w:val="16"/>
                <w:szCs w:val="16"/>
              </w:rPr>
              <w:t>prostriedky EÚ a spolufinancovanie</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547A4E">
            <w:pPr>
              <w:bidi w:val="0"/>
              <w:jc w:val="right"/>
              <w:rPr>
                <w:rFonts w:ascii="Arial Narrow" w:hAnsi="Arial Narrow" w:cs="Arial Narrow"/>
                <w:sz w:val="16"/>
                <w:szCs w:val="16"/>
              </w:rPr>
            </w:pPr>
            <w:r>
              <w:rPr>
                <w:rFonts w:ascii="Arial Narrow" w:hAnsi="Arial Narrow" w:cs="Arial Narrow"/>
                <w:sz w:val="16"/>
                <w:szCs w:val="16"/>
              </w:rPr>
              <w:t>1</w:t>
            </w:r>
            <w:r w:rsidR="00547A4E">
              <w:rPr>
                <w:rFonts w:ascii="Arial Narrow" w:hAnsi="Arial Narrow" w:cs="Arial Narrow"/>
                <w:sz w:val="16"/>
                <w:szCs w:val="16"/>
              </w:rPr>
              <w:t> 319 456</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547A4E">
            <w:pPr>
              <w:bidi w:val="0"/>
              <w:jc w:val="right"/>
              <w:rPr>
                <w:rFonts w:ascii="Arial Narrow" w:hAnsi="Arial Narrow" w:cs="Arial Narrow"/>
                <w:sz w:val="16"/>
                <w:szCs w:val="16"/>
              </w:rPr>
            </w:pPr>
            <w:r w:rsidRPr="00BB606A">
              <w:rPr>
                <w:rFonts w:ascii="Arial Narrow" w:hAnsi="Arial Narrow" w:cs="Arial Narrow"/>
                <w:sz w:val="16"/>
                <w:szCs w:val="16"/>
              </w:rPr>
              <w:t>1</w:t>
            </w:r>
            <w:r w:rsidR="00547A4E">
              <w:rPr>
                <w:rFonts w:ascii="Arial Narrow" w:hAnsi="Arial Narrow" w:cs="Arial Narrow"/>
                <w:sz w:val="16"/>
                <w:szCs w:val="16"/>
              </w:rPr>
              <w:t> </w:t>
            </w:r>
            <w:r w:rsidRPr="00BB606A">
              <w:rPr>
                <w:rFonts w:ascii="Arial Narrow" w:hAnsi="Arial Narrow" w:cs="Arial Narrow"/>
                <w:sz w:val="16"/>
                <w:szCs w:val="16"/>
              </w:rPr>
              <w:t>9</w:t>
            </w:r>
            <w:r w:rsidR="00547A4E">
              <w:rPr>
                <w:rFonts w:ascii="Arial Narrow" w:hAnsi="Arial Narrow" w:cs="Arial Narrow"/>
                <w:sz w:val="16"/>
                <w:szCs w:val="16"/>
              </w:rPr>
              <w:t>19 646</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9579AE">
            <w:pPr>
              <w:bidi w:val="0"/>
              <w:jc w:val="right"/>
              <w:rPr>
                <w:rFonts w:ascii="Arial Narrow" w:hAnsi="Arial Narrow" w:cs="Arial Narrow"/>
                <w:sz w:val="16"/>
                <w:szCs w:val="16"/>
              </w:rPr>
            </w:pPr>
            <w:r>
              <w:rPr>
                <w:rFonts w:ascii="Arial Narrow" w:hAnsi="Arial Narrow" w:cs="Arial Narrow"/>
                <w:sz w:val="16"/>
                <w:szCs w:val="16"/>
              </w:rPr>
              <w:t>3 569 041</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FE7D10">
            <w:pPr>
              <w:bidi w:val="0"/>
              <w:jc w:val="right"/>
              <w:rPr>
                <w:rFonts w:ascii="Arial Narrow" w:hAnsi="Arial Narrow" w:cs="Arial Narrow"/>
                <w:sz w:val="16"/>
                <w:szCs w:val="16"/>
              </w:rPr>
            </w:pPr>
            <w:r>
              <w:rPr>
                <w:rFonts w:ascii="Arial Narrow" w:hAnsi="Arial Narrow" w:cs="Arial Narrow"/>
                <w:sz w:val="16"/>
                <w:szCs w:val="16"/>
              </w:rPr>
              <w:t>2 683 051</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FE7D10">
            <w:pPr>
              <w:bidi w:val="0"/>
              <w:jc w:val="right"/>
              <w:rPr>
                <w:rFonts w:ascii="Arial Narrow" w:hAnsi="Arial Narrow" w:cs="Arial Narrow"/>
                <w:sz w:val="16"/>
                <w:szCs w:val="16"/>
              </w:rPr>
            </w:pPr>
            <w:r w:rsidRPr="00BB606A">
              <w:rPr>
                <w:rFonts w:ascii="Arial Narrow" w:hAnsi="Arial Narrow" w:cs="Arial Narrow"/>
                <w:sz w:val="16"/>
                <w:szCs w:val="16"/>
              </w:rPr>
              <w:t>4 032 70</w:t>
            </w:r>
            <w:r>
              <w:rPr>
                <w:rFonts w:ascii="Arial Narrow" w:hAnsi="Arial Narrow" w:cs="Arial Narrow"/>
                <w:sz w:val="16"/>
                <w:szCs w:val="16"/>
              </w:rPr>
              <w:t>2</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FE7D10">
            <w:pPr>
              <w:bidi w:val="0"/>
              <w:jc w:val="right"/>
              <w:rPr>
                <w:rFonts w:ascii="Arial Narrow" w:hAnsi="Arial Narrow" w:cs="Arial Narrow"/>
                <w:sz w:val="16"/>
                <w:szCs w:val="16"/>
              </w:rPr>
            </w:pPr>
            <w:r w:rsidRPr="00BB606A">
              <w:rPr>
                <w:rFonts w:ascii="Arial Narrow" w:hAnsi="Arial Narrow" w:cs="Arial Narrow"/>
                <w:sz w:val="16"/>
                <w:szCs w:val="16"/>
              </w:rPr>
              <w:t>3 640 328</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BB606A" w:rsidP="00FE7D10">
            <w:pPr>
              <w:bidi w:val="0"/>
              <w:jc w:val="right"/>
              <w:rPr>
                <w:rFonts w:ascii="Arial Narrow" w:hAnsi="Arial Narrow" w:cs="Arial Narrow"/>
                <w:sz w:val="16"/>
                <w:szCs w:val="16"/>
              </w:rPr>
            </w:pPr>
            <w:r w:rsidRPr="00BB606A">
              <w:rPr>
                <w:rFonts w:ascii="Arial Narrow" w:hAnsi="Arial Narrow" w:cs="Arial Narrow"/>
                <w:sz w:val="16"/>
                <w:szCs w:val="16"/>
              </w:rPr>
              <w:t>3 142 577</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rPr>
                <w:rFonts w:ascii="Arial Narrow" w:hAnsi="Arial Narrow" w:cs="Arial Narrow"/>
                <w:b/>
                <w:sz w:val="16"/>
                <w:szCs w:val="16"/>
              </w:rPr>
            </w:pPr>
            <w:r w:rsidRPr="009F2851" w:rsidR="00B14FBE">
              <w:rPr>
                <w:rFonts w:ascii="Arial Narrow" w:hAnsi="Arial Narrow" w:cs="Arial Narrow"/>
                <w:b/>
                <w:sz w:val="16"/>
                <w:szCs w:val="16"/>
              </w:rPr>
              <w:t xml:space="preserve">základné </w:t>
            </w:r>
            <w:r w:rsidRPr="009F2851">
              <w:rPr>
                <w:rFonts w:ascii="Arial Narrow" w:hAnsi="Arial Narrow" w:cs="Arial Narrow"/>
                <w:b/>
                <w:sz w:val="16"/>
                <w:szCs w:val="16"/>
              </w:rPr>
              <w:t xml:space="preserve"> výdavky </w:t>
            </w:r>
            <w:r w:rsidRPr="009F2851" w:rsidR="00B14FBE">
              <w:rPr>
                <w:rFonts w:ascii="Arial Narrow" w:hAnsi="Arial Narrow" w:cs="Arial Narrow"/>
                <w:b/>
                <w:sz w:val="16"/>
                <w:szCs w:val="16"/>
              </w:rPr>
              <w:t xml:space="preserve">na chod </w:t>
            </w:r>
            <w:r w:rsidRPr="009F2851">
              <w:rPr>
                <w:rFonts w:ascii="Arial Narrow" w:hAnsi="Arial Narrow" w:cs="Arial Narrow"/>
                <w:b/>
                <w:sz w:val="16"/>
                <w:szCs w:val="16"/>
              </w:rPr>
              <w:t>štát</w:t>
            </w:r>
            <w:r w:rsidRPr="009F2851" w:rsidR="00B14FBE">
              <w:rPr>
                <w:rFonts w:ascii="Arial Narrow" w:hAnsi="Arial Narrow" w:cs="Arial Narrow"/>
                <w:b/>
                <w:sz w:val="16"/>
                <w:szCs w:val="16"/>
              </w:rPr>
              <w:t>u</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jc w:val="right"/>
              <w:rPr>
                <w:rFonts w:ascii="Arial Narrow" w:hAnsi="Arial Narrow" w:cs="Arial Narrow"/>
                <w:b/>
                <w:sz w:val="16"/>
                <w:szCs w:val="16"/>
              </w:rPr>
            </w:pPr>
            <w:r w:rsidRPr="009F2851" w:rsidR="00547A4E">
              <w:rPr>
                <w:rFonts w:ascii="Arial Narrow" w:hAnsi="Arial Narrow" w:cs="Arial Narrow"/>
                <w:b/>
                <w:sz w:val="16"/>
                <w:szCs w:val="16"/>
              </w:rPr>
              <w:t>9 852 208</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jc w:val="right"/>
              <w:rPr>
                <w:rFonts w:ascii="Arial Narrow" w:hAnsi="Arial Narrow" w:cs="Arial Narrow"/>
                <w:b/>
                <w:sz w:val="16"/>
                <w:szCs w:val="16"/>
              </w:rPr>
            </w:pPr>
            <w:r w:rsidRPr="009F2851" w:rsidR="00547A4E">
              <w:rPr>
                <w:rFonts w:ascii="Arial Narrow" w:hAnsi="Arial Narrow" w:cs="Arial Narrow"/>
                <w:b/>
                <w:sz w:val="16"/>
                <w:szCs w:val="16"/>
              </w:rPr>
              <w:t>10 649 688</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9579AE">
            <w:pPr>
              <w:bidi w:val="0"/>
              <w:jc w:val="right"/>
              <w:rPr>
                <w:rFonts w:ascii="Arial Narrow" w:hAnsi="Arial Narrow" w:cs="Arial Narrow"/>
                <w:b/>
                <w:sz w:val="16"/>
                <w:szCs w:val="16"/>
              </w:rPr>
            </w:pPr>
            <w:r w:rsidRPr="009F2851">
              <w:rPr>
                <w:rFonts w:ascii="Arial Narrow" w:hAnsi="Arial Narrow" w:cs="Arial Narrow"/>
                <w:b/>
                <w:sz w:val="16"/>
                <w:szCs w:val="16"/>
              </w:rPr>
              <w:t>10 122 000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jc w:val="right"/>
              <w:rPr>
                <w:rFonts w:ascii="Arial Narrow" w:hAnsi="Arial Narrow" w:cs="Arial Narrow"/>
                <w:b/>
                <w:sz w:val="16"/>
                <w:szCs w:val="16"/>
              </w:rPr>
            </w:pPr>
            <w:r w:rsidRPr="009F2851">
              <w:rPr>
                <w:rFonts w:ascii="Arial Narrow" w:hAnsi="Arial Narrow" w:cs="Arial Narrow"/>
                <w:b/>
                <w:sz w:val="16"/>
                <w:szCs w:val="16"/>
              </w:rPr>
              <w:t>10 757 170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897A06">
            <w:pPr>
              <w:bidi w:val="0"/>
              <w:jc w:val="right"/>
              <w:rPr>
                <w:rFonts w:ascii="Arial Narrow" w:hAnsi="Arial Narrow" w:cs="Arial Narrow"/>
                <w:b/>
                <w:sz w:val="16"/>
                <w:szCs w:val="16"/>
              </w:rPr>
            </w:pPr>
            <w:r w:rsidRPr="009F2851">
              <w:rPr>
                <w:rFonts w:ascii="Arial Narrow" w:hAnsi="Arial Narrow" w:cs="Arial Narrow"/>
                <w:b/>
                <w:sz w:val="16"/>
                <w:szCs w:val="16"/>
              </w:rPr>
              <w:t>10</w:t>
            </w:r>
            <w:r w:rsidRPr="009F2851" w:rsidR="00897A06">
              <w:rPr>
                <w:rFonts w:ascii="Arial Narrow" w:hAnsi="Arial Narrow" w:cs="Arial Narrow"/>
                <w:b/>
                <w:sz w:val="16"/>
                <w:szCs w:val="16"/>
              </w:rPr>
              <w:t> 1</w:t>
            </w:r>
            <w:r w:rsidR="00791DAA">
              <w:rPr>
                <w:rFonts w:ascii="Arial Narrow" w:hAnsi="Arial Narrow" w:cs="Arial Narrow"/>
                <w:b/>
                <w:sz w:val="16"/>
                <w:szCs w:val="16"/>
              </w:rPr>
              <w:t>2</w:t>
            </w:r>
            <w:r w:rsidRPr="009F2851" w:rsidR="00897A06">
              <w:rPr>
                <w:rFonts w:ascii="Arial Narrow" w:hAnsi="Arial Narrow" w:cs="Arial Narrow"/>
                <w:b/>
                <w:sz w:val="16"/>
                <w:szCs w:val="16"/>
              </w:rPr>
              <w:t>0 935</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jc w:val="right"/>
              <w:rPr>
                <w:rFonts w:ascii="Arial Narrow" w:hAnsi="Arial Narrow" w:cs="Arial Narrow"/>
                <w:b/>
                <w:sz w:val="16"/>
                <w:szCs w:val="16"/>
              </w:rPr>
            </w:pPr>
            <w:r w:rsidRPr="009F2851">
              <w:rPr>
                <w:rFonts w:ascii="Arial Narrow" w:hAnsi="Arial Narrow" w:cs="Arial Narrow"/>
                <w:b/>
                <w:sz w:val="16"/>
                <w:szCs w:val="16"/>
              </w:rPr>
              <w:t>9 632 34</w:t>
            </w:r>
            <w:r w:rsidRPr="009F2851" w:rsidR="00AD5446">
              <w:rPr>
                <w:rFonts w:ascii="Arial Narrow" w:hAnsi="Arial Narrow" w:cs="Arial Narrow"/>
                <w:b/>
                <w:sz w:val="16"/>
                <w:szCs w:val="16"/>
              </w:rPr>
              <w:t>6</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9F2851" w:rsidP="00FE7D10">
            <w:pPr>
              <w:bidi w:val="0"/>
              <w:jc w:val="right"/>
              <w:rPr>
                <w:rFonts w:ascii="Arial Narrow" w:hAnsi="Arial Narrow" w:cs="Arial Narrow"/>
                <w:b/>
                <w:sz w:val="16"/>
                <w:szCs w:val="16"/>
              </w:rPr>
            </w:pPr>
            <w:r w:rsidRPr="009F2851">
              <w:rPr>
                <w:rFonts w:ascii="Arial Narrow" w:hAnsi="Arial Narrow" w:cs="Arial Narrow"/>
                <w:b/>
                <w:sz w:val="16"/>
                <w:szCs w:val="16"/>
              </w:rPr>
              <w:t>9 764 100</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P="003A42EE">
            <w:pPr>
              <w:bidi w:val="0"/>
              <w:rPr>
                <w:rFonts w:ascii="Arial Narrow" w:hAnsi="Arial Narrow" w:cs="Arial Narrow"/>
                <w:sz w:val="16"/>
                <w:szCs w:val="16"/>
              </w:rPr>
            </w:pPr>
            <w:r>
              <w:rPr>
                <w:rFonts w:ascii="Arial Narrow" w:hAnsi="Arial Narrow" w:cs="Arial Narrow"/>
                <w:sz w:val="16"/>
                <w:szCs w:val="16"/>
              </w:rPr>
              <w:t xml:space="preserve">           medziročná zmena (v %)</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FE7D10">
            <w:pPr>
              <w:bidi w:val="0"/>
              <w:jc w:val="right"/>
              <w:rPr>
                <w:rFonts w:ascii="Arial Narrow" w:hAnsi="Arial Narrow" w:cs="Arial Narrow"/>
                <w:sz w:val="16"/>
                <w:szCs w:val="16"/>
              </w:rPr>
            </w:pPr>
            <w:r>
              <w:rPr>
                <w:rFonts w:ascii="Arial Narrow" w:hAnsi="Arial Narrow" w:cs="Arial Narrow"/>
                <w:sz w:val="16"/>
                <w:szCs w:val="16"/>
              </w:rPr>
              <w:t>-</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P="00547A4E">
            <w:pPr>
              <w:bidi w:val="0"/>
              <w:jc w:val="right"/>
              <w:rPr>
                <w:rFonts w:ascii="Arial Narrow" w:hAnsi="Arial Narrow" w:cs="Arial Narrow"/>
                <w:sz w:val="16"/>
                <w:szCs w:val="16"/>
              </w:rPr>
            </w:pPr>
            <w:r w:rsidR="00547A4E">
              <w:rPr>
                <w:rFonts w:ascii="Arial Narrow" w:hAnsi="Arial Narrow" w:cs="Arial Narrow"/>
                <w:sz w:val="16"/>
                <w:szCs w:val="16"/>
              </w:rPr>
              <w:t>8</w:t>
            </w:r>
            <w:r>
              <w:rPr>
                <w:rFonts w:ascii="Arial Narrow" w:hAnsi="Arial Narrow" w:cs="Arial Narrow"/>
                <w:sz w:val="16"/>
                <w:szCs w:val="16"/>
              </w:rPr>
              <w:t>,</w:t>
            </w:r>
            <w:r w:rsidR="00547A4E">
              <w:rPr>
                <w:rFonts w:ascii="Arial Narrow" w:hAnsi="Arial Narrow" w:cs="Arial Narrow"/>
                <w:sz w:val="16"/>
                <w:szCs w:val="16"/>
              </w:rPr>
              <w:t>1</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547A4E">
            <w:pPr>
              <w:bidi w:val="0"/>
              <w:jc w:val="right"/>
              <w:rPr>
                <w:rFonts w:ascii="Arial Narrow" w:hAnsi="Arial Narrow" w:cs="Arial Narrow"/>
                <w:sz w:val="16"/>
                <w:szCs w:val="16"/>
              </w:rPr>
            </w:pPr>
            <w:r w:rsidR="00662D69">
              <w:rPr>
                <w:rFonts w:ascii="Arial Narrow" w:hAnsi="Arial Narrow" w:cs="Arial Narrow"/>
                <w:sz w:val="16"/>
                <w:szCs w:val="16"/>
              </w:rPr>
              <w:t>-5,</w:t>
            </w:r>
            <w:r w:rsidR="00547A4E">
              <w:rPr>
                <w:rFonts w:ascii="Arial Narrow" w:hAnsi="Arial Narrow" w:cs="Arial Narrow"/>
                <w:sz w:val="16"/>
                <w:szCs w:val="16"/>
              </w:rPr>
              <w:t>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sidR="007F5008">
              <w:rPr>
                <w:rFonts w:ascii="Arial Narrow" w:hAnsi="Arial Narrow" w:cs="Arial Narrow"/>
                <w:sz w:val="16"/>
                <w:szCs w:val="16"/>
              </w:rPr>
              <w:t>1,0</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w:t>
            </w:r>
            <w:r w:rsidR="008E59B4">
              <w:rPr>
                <w:rFonts w:ascii="Arial Narrow" w:hAnsi="Arial Narrow" w:cs="Arial Narrow"/>
                <w:sz w:val="16"/>
                <w:szCs w:val="16"/>
              </w:rPr>
              <w:t>5,9</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-4,6</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1,4</w:t>
            </w:r>
          </w:p>
        </w:tc>
      </w:tr>
      <w:tr>
        <w:tblPrEx>
          <w:tblW w:w="9134" w:type="dxa"/>
          <w:tblLook w:val="01E0"/>
        </w:tblPrEx>
        <w:trPr>
          <w:trHeight w:val="227"/>
        </w:trPr>
        <w:tc>
          <w:tcPr>
            <w:tcW w:w="268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rPr>
                <w:rFonts w:ascii="Arial Narrow" w:hAnsi="Arial Narrow" w:cs="Arial Narrow"/>
                <w:sz w:val="16"/>
                <w:szCs w:val="16"/>
              </w:rPr>
            </w:pPr>
            <w:r w:rsidRPr="000B1488">
              <w:rPr>
                <w:rFonts w:ascii="Arial Narrow" w:hAnsi="Arial Narrow" w:cs="Arial Narrow"/>
                <w:sz w:val="16"/>
                <w:szCs w:val="16"/>
              </w:rPr>
              <w:t>Inflácia (%)</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4,6</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1,6</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9579AE" w:rsidP="009579AE">
            <w:pPr>
              <w:bidi w:val="0"/>
              <w:jc w:val="right"/>
              <w:rPr>
                <w:rFonts w:ascii="Arial Narrow" w:hAnsi="Arial Narrow" w:cs="Arial Narrow"/>
                <w:sz w:val="16"/>
                <w:szCs w:val="16"/>
              </w:rPr>
            </w:pPr>
            <w:r>
              <w:rPr>
                <w:rFonts w:ascii="Arial Narrow" w:hAnsi="Arial Narrow" w:cs="Arial Narrow"/>
                <w:sz w:val="16"/>
                <w:szCs w:val="16"/>
              </w:rPr>
              <w:t>3,2</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1,4</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3,7</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3,5</w:t>
            </w:r>
          </w:p>
        </w:tc>
        <w:tc>
          <w:tcPr>
            <w:tcW w:w="912" w:type="dxa"/>
            <w:tcBorders>
              <w:top w:val="single" w:sz="4" w:space="0" w:color="auto"/>
              <w:left w:val="single" w:sz="4" w:space="0" w:color="auto"/>
              <w:bottom w:val="single" w:sz="4" w:space="0" w:color="auto"/>
              <w:right w:val="single" w:sz="4" w:space="0" w:color="auto"/>
            </w:tcBorders>
            <w:textDirection w:val="lrTb"/>
            <w:vAlign w:val="center"/>
          </w:tcPr>
          <w:p w:rsidR="009579AE" w:rsidRPr="000B1488" w:rsidP="00FE7D10">
            <w:pPr>
              <w:bidi w:val="0"/>
              <w:jc w:val="right"/>
              <w:rPr>
                <w:rFonts w:ascii="Arial Narrow" w:hAnsi="Arial Narrow" w:cs="Arial Narrow"/>
                <w:sz w:val="16"/>
                <w:szCs w:val="16"/>
              </w:rPr>
            </w:pPr>
            <w:r>
              <w:rPr>
                <w:rFonts w:ascii="Arial Narrow" w:hAnsi="Arial Narrow" w:cs="Arial Narrow"/>
                <w:sz w:val="16"/>
                <w:szCs w:val="16"/>
              </w:rPr>
              <w:t>3,9</w:t>
            </w:r>
          </w:p>
        </w:tc>
      </w:tr>
    </w:tbl>
    <w:p w:rsidR="002C26B7" w:rsidP="002C26B7">
      <w:pPr>
        <w:bidi w:val="0"/>
        <w:ind w:firstLine="709"/>
        <w:jc w:val="both"/>
        <w:rPr>
          <w:rFonts w:ascii="Arial Narrow" w:hAnsi="Arial Narrow" w:cs="Arial Narrow"/>
        </w:rPr>
      </w:pPr>
    </w:p>
    <w:p w:rsidR="00C14F56" w:rsidP="00C14F56">
      <w:pPr>
        <w:bidi w:val="0"/>
        <w:ind w:firstLine="708"/>
        <w:jc w:val="both"/>
        <w:rPr>
          <w:rFonts w:ascii="Arial Narrow" w:hAnsi="Arial Narrow" w:cs="Arial Narrow"/>
          <w:sz w:val="22"/>
          <w:szCs w:val="22"/>
        </w:rPr>
      </w:pPr>
      <w:r w:rsidRPr="00C14F56">
        <w:rPr>
          <w:rFonts w:ascii="Arial Narrow" w:hAnsi="Arial Narrow" w:cs="Arial Narrow"/>
          <w:sz w:val="22"/>
          <w:szCs w:val="22"/>
        </w:rPr>
        <w:t xml:space="preserve">Štátny rozpočet na rok 2011 je zostavený úsporne, ale realisticky. Tlak na úspory je silný, ale nie nerealistický. Nemal by viesť k opakovaniu situácie v roku 2010, že niektoré kapitoly neboli schopné v termíne uhrádzať svoje záväzky. </w:t>
      </w:r>
    </w:p>
    <w:p w:rsidR="00C14F56" w:rsidRPr="00C14F56" w:rsidP="00C14F56">
      <w:pPr>
        <w:bidi w:val="0"/>
        <w:ind w:firstLine="708"/>
        <w:jc w:val="both"/>
        <w:rPr>
          <w:rFonts w:ascii="Arial Narrow" w:hAnsi="Arial Narrow" w:cs="Arial Narrow"/>
          <w:sz w:val="22"/>
          <w:szCs w:val="22"/>
        </w:rPr>
      </w:pPr>
      <w:r w:rsidR="00F37ED0">
        <w:rPr>
          <w:rFonts w:ascii="Arial Narrow" w:hAnsi="Arial Narrow" w:cs="Arial Narrow"/>
          <w:sz w:val="22"/>
          <w:szCs w:val="22"/>
        </w:rPr>
        <w:t xml:space="preserve"> </w:t>
      </w:r>
    </w:p>
    <w:p w:rsidR="00C14F56" w:rsidRPr="00424D51" w:rsidP="00F37ED0">
      <w:pPr>
        <w:bidi w:val="0"/>
        <w:ind w:firstLine="708"/>
        <w:jc w:val="both"/>
        <w:rPr>
          <w:rFonts w:ascii="Arial Narrow" w:hAnsi="Arial Narrow" w:cs="Arial Narrow"/>
          <w:sz w:val="22"/>
          <w:szCs w:val="22"/>
        </w:rPr>
      </w:pPr>
      <w:r w:rsidRPr="00C14F56">
        <w:rPr>
          <w:rFonts w:ascii="Arial Narrow" w:hAnsi="Arial Narrow" w:cs="Arial Narrow"/>
          <w:sz w:val="22"/>
          <w:szCs w:val="22"/>
        </w:rPr>
        <w:t xml:space="preserve">Výdavky štátneho rozpočtu je potrebné porovnávať bez troch položiek, na ktoré nemá rozpočtová politika priamy vplyv. Ide o úroky zo štátneho dlhu, transfer do Sociálnej poisťovne  a financovanie EÚ fondov. Takto určené </w:t>
      </w:r>
      <w:r w:rsidR="00B14FBE">
        <w:rPr>
          <w:rFonts w:ascii="Arial Narrow" w:hAnsi="Arial Narrow" w:cs="Arial Narrow"/>
          <w:sz w:val="22"/>
          <w:szCs w:val="22"/>
        </w:rPr>
        <w:t>základné výdavky na chod štátu</w:t>
      </w:r>
      <w:r w:rsidRPr="00C14F56">
        <w:rPr>
          <w:rFonts w:ascii="Arial Narrow" w:hAnsi="Arial Narrow" w:cs="Arial Narrow"/>
          <w:sz w:val="22"/>
          <w:szCs w:val="22"/>
        </w:rPr>
        <w:t xml:space="preserve"> </w:t>
      </w:r>
      <w:r w:rsidR="009F2851">
        <w:rPr>
          <w:rFonts w:ascii="Arial Narrow" w:hAnsi="Arial Narrow" w:cs="Arial Narrow"/>
          <w:sz w:val="22"/>
          <w:szCs w:val="22"/>
        </w:rPr>
        <w:t xml:space="preserve">(ďalej len „základné výdavky“) </w:t>
      </w:r>
      <w:r w:rsidRPr="00C14F56">
        <w:rPr>
          <w:rFonts w:ascii="Arial Narrow" w:hAnsi="Arial Narrow" w:cs="Arial Narrow"/>
          <w:sz w:val="22"/>
          <w:szCs w:val="22"/>
        </w:rPr>
        <w:t>slúžia na mzdy, prevádzku a investície, dosiahnu v roku 2011</w:t>
      </w:r>
      <w:r w:rsidR="00424D51">
        <w:rPr>
          <w:rFonts w:ascii="Arial Narrow" w:hAnsi="Arial Narrow" w:cs="Arial Narrow"/>
          <w:sz w:val="22"/>
          <w:szCs w:val="22"/>
        </w:rPr>
        <w:t xml:space="preserve"> </w:t>
      </w:r>
      <w:r w:rsidRPr="00C14F56">
        <w:rPr>
          <w:rFonts w:ascii="Arial Narrow" w:hAnsi="Arial Narrow" w:cs="Arial Narrow"/>
          <w:sz w:val="22"/>
          <w:szCs w:val="22"/>
        </w:rPr>
        <w:t>10,</w:t>
      </w:r>
      <w:r w:rsidR="005856A6">
        <w:rPr>
          <w:rFonts w:ascii="Arial Narrow" w:hAnsi="Arial Narrow" w:cs="Arial Narrow"/>
          <w:sz w:val="22"/>
          <w:szCs w:val="22"/>
        </w:rPr>
        <w:t>1</w:t>
      </w:r>
      <w:r w:rsidR="00791DAA">
        <w:rPr>
          <w:rFonts w:ascii="Arial Narrow" w:hAnsi="Arial Narrow" w:cs="Arial Narrow"/>
          <w:sz w:val="22"/>
          <w:szCs w:val="22"/>
        </w:rPr>
        <w:t>21</w:t>
      </w:r>
      <w:r w:rsidRPr="00C14F56">
        <w:rPr>
          <w:rFonts w:ascii="Arial Narrow" w:hAnsi="Arial Narrow" w:cs="Arial Narrow"/>
          <w:sz w:val="22"/>
          <w:szCs w:val="22"/>
        </w:rPr>
        <w:t xml:space="preserve"> mld</w:t>
      </w:r>
      <w:r>
        <w:rPr>
          <w:rFonts w:ascii="Arial Narrow" w:hAnsi="Arial Narrow" w:cs="Arial Narrow"/>
          <w:sz w:val="22"/>
          <w:szCs w:val="22"/>
        </w:rPr>
        <w:t>. eur</w:t>
      </w:r>
      <w:r w:rsidRPr="00C14F56">
        <w:rPr>
          <w:rFonts w:ascii="Arial Narrow" w:hAnsi="Arial Narrow" w:cs="Arial Narrow"/>
          <w:sz w:val="22"/>
          <w:szCs w:val="22"/>
        </w:rPr>
        <w:t>. V porovnaní s rozpočtom na rok 2010 klesajú síce len o</w:t>
      </w:r>
      <w:r w:rsidR="00791DAA">
        <w:rPr>
          <w:rFonts w:ascii="Arial Narrow" w:hAnsi="Arial Narrow" w:cs="Arial Narrow"/>
          <w:sz w:val="22"/>
          <w:szCs w:val="22"/>
        </w:rPr>
        <w:t> 1,1</w:t>
      </w:r>
      <w:r w:rsidRPr="00C14F56">
        <w:rPr>
          <w:rFonts w:ascii="Arial Narrow" w:hAnsi="Arial Narrow" w:cs="Arial Narrow"/>
          <w:sz w:val="22"/>
          <w:szCs w:val="22"/>
        </w:rPr>
        <w:t xml:space="preserve"> mil. </w:t>
      </w:r>
      <w:r>
        <w:rPr>
          <w:rFonts w:ascii="Arial Narrow" w:hAnsi="Arial Narrow" w:cs="Arial Narrow"/>
          <w:sz w:val="22"/>
          <w:szCs w:val="22"/>
        </w:rPr>
        <w:t>eur</w:t>
      </w:r>
      <w:r w:rsidRPr="00C14F56">
        <w:rPr>
          <w:rFonts w:ascii="Arial Narrow" w:hAnsi="Arial Narrow" w:cs="Arial Narrow"/>
          <w:sz w:val="22"/>
          <w:szCs w:val="22"/>
        </w:rPr>
        <w:t xml:space="preserve">, toto porovnanie však nie je korektné. Rozpočet na rok 2010 bol totiž pripravený typicky predvolebne. Formálne vykazoval výrazné úspory - oproti skutočnosti roku 2009 až o 527 mil. </w:t>
      </w:r>
      <w:r>
        <w:rPr>
          <w:rFonts w:ascii="Arial Narrow" w:hAnsi="Arial Narrow" w:cs="Arial Narrow"/>
          <w:sz w:val="22"/>
          <w:szCs w:val="22"/>
        </w:rPr>
        <w:t>eur</w:t>
      </w:r>
      <w:r w:rsidRPr="00C14F56">
        <w:rPr>
          <w:rFonts w:ascii="Arial Narrow" w:hAnsi="Arial Narrow" w:cs="Arial Narrow"/>
          <w:sz w:val="22"/>
          <w:szCs w:val="22"/>
        </w:rPr>
        <w:t>, teda o takmer 5</w:t>
      </w:r>
      <w:r>
        <w:rPr>
          <w:rFonts w:ascii="Arial Narrow" w:hAnsi="Arial Narrow" w:cs="Arial Narrow"/>
          <w:sz w:val="22"/>
          <w:szCs w:val="22"/>
        </w:rPr>
        <w:t xml:space="preserve"> </w:t>
      </w:r>
      <w:r w:rsidRPr="00C14F56">
        <w:rPr>
          <w:rFonts w:ascii="Arial Narrow" w:hAnsi="Arial Narrow" w:cs="Arial Narrow"/>
          <w:sz w:val="22"/>
          <w:szCs w:val="22"/>
        </w:rPr>
        <w:t>%, v skutočnej činnost</w:t>
      </w:r>
      <w:r w:rsidR="00424D51">
        <w:rPr>
          <w:rFonts w:ascii="Arial Narrow" w:hAnsi="Arial Narrow" w:cs="Arial Narrow"/>
          <w:sz w:val="22"/>
          <w:szCs w:val="22"/>
        </w:rPr>
        <w:t xml:space="preserve">i vlády sa to však neprejavilo. </w:t>
      </w:r>
      <w:r w:rsidRPr="00424D51" w:rsidR="00424D51">
        <w:rPr>
          <w:rFonts w:ascii="Arial Narrow" w:hAnsi="Arial Narrow" w:cs="Arial Narrow"/>
          <w:sz w:val="22"/>
          <w:szCs w:val="22"/>
        </w:rPr>
        <w:t>Rástli platy zamestnancov štátu.</w:t>
      </w:r>
      <w:r w:rsidR="00424D51">
        <w:rPr>
          <w:rFonts w:ascii="Arial Narrow" w:hAnsi="Arial Narrow" w:cs="Arial Narrow"/>
          <w:sz w:val="22"/>
          <w:szCs w:val="22"/>
        </w:rPr>
        <w:t xml:space="preserve"> </w:t>
      </w:r>
      <w:r w:rsidRPr="00C14F56">
        <w:rPr>
          <w:rFonts w:ascii="Arial Narrow" w:hAnsi="Arial Narrow" w:cs="Arial Narrow"/>
          <w:sz w:val="22"/>
          <w:szCs w:val="22"/>
        </w:rPr>
        <w:t>Rástli aj výdavky na sociálne dávky, niektoré sa pred voľbami výrazne zvyšovali, ak</w:t>
      </w:r>
      <w:r>
        <w:rPr>
          <w:rFonts w:ascii="Arial Narrow" w:hAnsi="Arial Narrow" w:cs="Arial Narrow"/>
          <w:sz w:val="22"/>
          <w:szCs w:val="22"/>
        </w:rPr>
        <w:t>o</w:t>
      </w:r>
      <w:r w:rsidRPr="00C14F56">
        <w:rPr>
          <w:rFonts w:ascii="Arial Narrow" w:hAnsi="Arial Narrow" w:cs="Arial Narrow"/>
          <w:sz w:val="22"/>
          <w:szCs w:val="22"/>
        </w:rPr>
        <w:t xml:space="preserve"> napríklad rodičovský príspevok. Prevádzkové výdavky niektorých ministerstiev mali podľa rozpočtu klesať (na ministerstve vnútra až o</w:t>
      </w:r>
      <w:r>
        <w:rPr>
          <w:rFonts w:ascii="Arial Narrow" w:hAnsi="Arial Narrow" w:cs="Arial Narrow"/>
          <w:sz w:val="22"/>
          <w:szCs w:val="22"/>
        </w:rPr>
        <w:t> </w:t>
      </w:r>
      <w:r w:rsidRPr="00C14F56">
        <w:rPr>
          <w:rFonts w:ascii="Arial Narrow" w:hAnsi="Arial Narrow" w:cs="Arial Narrow"/>
          <w:sz w:val="22"/>
          <w:szCs w:val="22"/>
        </w:rPr>
        <w:t>22</w:t>
      </w:r>
      <w:r>
        <w:rPr>
          <w:rFonts w:ascii="Arial Narrow" w:hAnsi="Arial Narrow" w:cs="Arial Narrow"/>
          <w:sz w:val="22"/>
          <w:szCs w:val="22"/>
        </w:rPr>
        <w:t xml:space="preserve"> </w:t>
      </w:r>
      <w:r w:rsidRPr="00C14F56">
        <w:rPr>
          <w:rFonts w:ascii="Arial Narrow" w:hAnsi="Arial Narrow" w:cs="Arial Narrow"/>
          <w:sz w:val="22"/>
          <w:szCs w:val="22"/>
        </w:rPr>
        <w:t>%), nijaké šetrenie sa však nerobilo, skôr naopak</w:t>
      </w:r>
      <w:r w:rsidR="005924FD">
        <w:rPr>
          <w:rFonts w:ascii="Arial Narrow" w:hAnsi="Arial Narrow" w:cs="Arial Narrow"/>
          <w:sz w:val="22"/>
          <w:szCs w:val="22"/>
        </w:rPr>
        <w:t>,</w:t>
      </w:r>
      <w:r w:rsidRPr="00C14F56">
        <w:rPr>
          <w:rFonts w:ascii="Arial Narrow" w:hAnsi="Arial Narrow" w:cs="Arial Narrow"/>
          <w:sz w:val="22"/>
          <w:szCs w:val="22"/>
        </w:rPr>
        <w:t xml:space="preserve"> rozbiehali sa nové nákladné projekty. Výsledkom je, že množstvo faktúr sa neplatilo už v lete roku 2010, viaceré ďalšie položky by boli vyčerpané výrazne pred koncom roku. Výsledkom je, že </w:t>
      </w:r>
      <w:r w:rsidR="009F2851">
        <w:rPr>
          <w:rFonts w:ascii="Arial Narrow" w:hAnsi="Arial Narrow" w:cs="Arial Narrow"/>
          <w:sz w:val="22"/>
          <w:szCs w:val="22"/>
        </w:rPr>
        <w:t xml:space="preserve">základné </w:t>
      </w:r>
      <w:r w:rsidRPr="00C14F56">
        <w:rPr>
          <w:rFonts w:ascii="Arial Narrow" w:hAnsi="Arial Narrow" w:cs="Arial Narrow"/>
          <w:sz w:val="22"/>
          <w:szCs w:val="22"/>
        </w:rPr>
        <w:t xml:space="preserve">výdavky v tomto roku výrazne prekročia rozpočtovanú úroveň a dosiahnu približne 10,757 mld. </w:t>
      </w:r>
      <w:r>
        <w:rPr>
          <w:rFonts w:ascii="Arial Narrow" w:hAnsi="Arial Narrow" w:cs="Arial Narrow"/>
          <w:sz w:val="22"/>
          <w:szCs w:val="22"/>
        </w:rPr>
        <w:t>eur</w:t>
      </w:r>
      <w:r w:rsidRPr="00C14F56">
        <w:rPr>
          <w:rFonts w:ascii="Arial Narrow" w:hAnsi="Arial Narrow" w:cs="Arial Narrow"/>
          <w:sz w:val="22"/>
          <w:szCs w:val="22"/>
        </w:rPr>
        <w:t xml:space="preserve">. Nejde pritom o nijaké rozhadzovanie zo strany nastupujúcej vlády, ale iba o zaplatenie reálnych výdavkov, o ktorých bolo väčšinou rozhodnuté pred voľbami v júni 2010. Výdavky rozpočtu tak dosiahnu približne </w:t>
      </w:r>
      <w:r w:rsidR="002670B5">
        <w:rPr>
          <w:rFonts w:ascii="Arial Narrow" w:hAnsi="Arial Narrow" w:cs="Arial Narrow"/>
          <w:sz w:val="22"/>
          <w:szCs w:val="22"/>
        </w:rPr>
        <w:t>ú</w:t>
      </w:r>
      <w:r w:rsidRPr="00C14F56">
        <w:rPr>
          <w:rFonts w:ascii="Arial Narrow" w:hAnsi="Arial Narrow" w:cs="Arial Narrow"/>
          <w:sz w:val="22"/>
          <w:szCs w:val="22"/>
        </w:rPr>
        <w:t xml:space="preserve">roveň skutočnosti roku 2009. </w:t>
      </w:r>
    </w:p>
    <w:p w:rsidR="00C14F56" w:rsidRPr="00C14F56" w:rsidP="00C14F56">
      <w:pPr>
        <w:bidi w:val="0"/>
        <w:ind w:firstLine="708"/>
        <w:jc w:val="both"/>
        <w:rPr>
          <w:rFonts w:ascii="Arial Narrow" w:hAnsi="Arial Narrow" w:cs="Arial Narrow"/>
          <w:sz w:val="22"/>
          <w:szCs w:val="22"/>
        </w:rPr>
      </w:pPr>
    </w:p>
    <w:p w:rsidR="00A13C10" w:rsidRPr="00A13C10" w:rsidP="00A13C10">
      <w:pPr>
        <w:bidi w:val="0"/>
        <w:ind w:firstLine="708"/>
        <w:jc w:val="both"/>
        <w:rPr>
          <w:rFonts w:ascii="Arial Narrow" w:hAnsi="Arial Narrow" w:cs="Arial Narrow"/>
          <w:sz w:val="22"/>
          <w:szCs w:val="22"/>
        </w:rPr>
      </w:pPr>
      <w:r w:rsidRPr="00A13C10">
        <w:rPr>
          <w:rFonts w:ascii="Arial Narrow" w:hAnsi="Arial Narrow" w:cs="Arial Narrow"/>
          <w:sz w:val="22"/>
          <w:szCs w:val="22"/>
        </w:rPr>
        <w:t>V rozpočte na rok 2011 sú zahrnuté všetky nevyhnutné výdavky, vrátane napríklad nákladov na znalcov pre ministerstvo spravodlivosti alebo na rodičovské príspevky pre ministerstvo práce</w:t>
      </w:r>
      <w:r w:rsidR="005924FD">
        <w:rPr>
          <w:rFonts w:ascii="Arial Narrow" w:hAnsi="Arial Narrow" w:cs="Arial Narrow"/>
          <w:sz w:val="22"/>
          <w:szCs w:val="22"/>
        </w:rPr>
        <w:t>, sociálnych vecí a rodiny</w:t>
      </w:r>
      <w:r w:rsidRPr="00A13C10">
        <w:rPr>
          <w:rFonts w:ascii="Arial Narrow" w:hAnsi="Arial Narrow" w:cs="Arial Narrow"/>
          <w:sz w:val="22"/>
          <w:szCs w:val="22"/>
        </w:rPr>
        <w:t xml:space="preserve">. </w:t>
      </w:r>
    </w:p>
    <w:p w:rsidR="00C14F56" w:rsidRPr="00C14F56" w:rsidP="00C14F56">
      <w:pPr>
        <w:bidi w:val="0"/>
        <w:ind w:firstLine="708"/>
        <w:jc w:val="both"/>
        <w:rPr>
          <w:rFonts w:ascii="Arial Narrow" w:hAnsi="Arial Narrow" w:cs="Arial Narrow"/>
          <w:sz w:val="22"/>
          <w:szCs w:val="22"/>
        </w:rPr>
      </w:pPr>
    </w:p>
    <w:p w:rsidR="00C14F56" w:rsidRPr="00C14F56" w:rsidP="00C14F56">
      <w:pPr>
        <w:bidi w:val="0"/>
        <w:ind w:firstLine="708"/>
        <w:jc w:val="both"/>
        <w:rPr>
          <w:rFonts w:ascii="Arial Narrow" w:hAnsi="Arial Narrow" w:cs="Arial Narrow"/>
          <w:sz w:val="22"/>
          <w:szCs w:val="22"/>
        </w:rPr>
      </w:pPr>
      <w:r w:rsidRPr="00C14F56">
        <w:rPr>
          <w:rFonts w:ascii="Arial Narrow" w:hAnsi="Arial Narrow" w:cs="Arial Narrow"/>
          <w:sz w:val="22"/>
          <w:szCs w:val="22"/>
        </w:rPr>
        <w:t xml:space="preserve">Výsledkom je, že rozpočtované </w:t>
      </w:r>
      <w:r w:rsidR="009F2851">
        <w:rPr>
          <w:rFonts w:ascii="Arial Narrow" w:hAnsi="Arial Narrow" w:cs="Arial Narrow"/>
          <w:sz w:val="22"/>
          <w:szCs w:val="22"/>
        </w:rPr>
        <w:t xml:space="preserve">základné </w:t>
      </w:r>
      <w:r w:rsidRPr="00C14F56">
        <w:rPr>
          <w:rFonts w:ascii="Arial Narrow" w:hAnsi="Arial Narrow" w:cs="Arial Narrow"/>
          <w:sz w:val="22"/>
          <w:szCs w:val="22"/>
        </w:rPr>
        <w:t>výdavky v roku 2011 sú v porovnaní so skutočnosťou roku 2009 nižšie o</w:t>
      </w:r>
      <w:r w:rsidR="00791DAA">
        <w:rPr>
          <w:rFonts w:ascii="Arial Narrow" w:hAnsi="Arial Narrow" w:cs="Arial Narrow"/>
          <w:sz w:val="22"/>
          <w:szCs w:val="22"/>
        </w:rPr>
        <w:t> 5,0</w:t>
      </w:r>
      <w:r>
        <w:rPr>
          <w:rFonts w:ascii="Arial Narrow" w:hAnsi="Arial Narrow" w:cs="Arial Narrow"/>
          <w:sz w:val="22"/>
          <w:szCs w:val="22"/>
        </w:rPr>
        <w:t xml:space="preserve"> </w:t>
      </w:r>
      <w:r w:rsidRPr="00C14F56">
        <w:rPr>
          <w:rFonts w:ascii="Arial Narrow" w:hAnsi="Arial Narrow" w:cs="Arial Narrow"/>
          <w:sz w:val="22"/>
          <w:szCs w:val="22"/>
        </w:rPr>
        <w:t>% a v porovnaní s očakávanou skutočnosťou roku 2010 nižšie o</w:t>
      </w:r>
      <w:r w:rsidR="00791DAA">
        <w:rPr>
          <w:rFonts w:ascii="Arial Narrow" w:hAnsi="Arial Narrow" w:cs="Arial Narrow"/>
          <w:sz w:val="22"/>
          <w:szCs w:val="22"/>
        </w:rPr>
        <w:t> 5,9</w:t>
      </w:r>
      <w:r>
        <w:rPr>
          <w:rFonts w:ascii="Arial Narrow" w:hAnsi="Arial Narrow" w:cs="Arial Narrow"/>
          <w:sz w:val="22"/>
          <w:szCs w:val="22"/>
        </w:rPr>
        <w:t xml:space="preserve"> </w:t>
      </w:r>
      <w:r w:rsidRPr="00C14F56">
        <w:rPr>
          <w:rFonts w:ascii="Arial Narrow" w:hAnsi="Arial Narrow" w:cs="Arial Narrow"/>
          <w:sz w:val="22"/>
          <w:szCs w:val="22"/>
        </w:rPr>
        <w:t xml:space="preserve">%. A to napriek inflácii, a to napriek tomu, že v rozpočte sa financujú aj niektoré prioritné výdavky, napríklad na protipovodňovú ochranu, alebo na posilnenie výstavby diaľnic.  </w:t>
      </w:r>
    </w:p>
    <w:p w:rsidR="00C14F56" w:rsidP="002C26B7">
      <w:pPr>
        <w:bidi w:val="0"/>
        <w:ind w:firstLine="708"/>
        <w:jc w:val="both"/>
        <w:rPr>
          <w:rFonts w:ascii="Arial Narrow" w:hAnsi="Arial Narrow" w:cs="Arial Narrow"/>
          <w:sz w:val="22"/>
          <w:szCs w:val="22"/>
        </w:rPr>
      </w:pPr>
    </w:p>
    <w:p w:rsidR="00C0271B" w:rsidP="002C26B7">
      <w:pPr>
        <w:bidi w:val="0"/>
        <w:jc w:val="both"/>
        <w:rPr>
          <w:rFonts w:ascii="Arial Narrow" w:hAnsi="Arial Narrow" w:cs="Arial Narrow"/>
          <w:b/>
          <w:bCs/>
        </w:rPr>
      </w:pPr>
    </w:p>
    <w:p w:rsidR="005924FD" w:rsidP="002C26B7">
      <w:pPr>
        <w:bidi w:val="0"/>
        <w:jc w:val="both"/>
        <w:rPr>
          <w:rFonts w:ascii="Arial Narrow" w:hAnsi="Arial Narrow" w:cs="Arial Narrow"/>
          <w:b/>
          <w:bCs/>
        </w:rPr>
      </w:pPr>
    </w:p>
    <w:p w:rsidR="00C07070" w:rsidP="002C26B7">
      <w:pPr>
        <w:bidi w:val="0"/>
        <w:jc w:val="both"/>
        <w:rPr>
          <w:rFonts w:ascii="Arial Narrow" w:hAnsi="Arial Narrow" w:cs="Arial Narrow"/>
          <w:b/>
          <w:bCs/>
        </w:rPr>
      </w:pPr>
    </w:p>
    <w:p w:rsidR="002C26B7" w:rsidP="002C26B7">
      <w:pPr>
        <w:bidi w:val="0"/>
        <w:jc w:val="center"/>
        <w:rPr>
          <w:rFonts w:ascii="Arial Narrow" w:hAnsi="Arial Narrow" w:cs="Arial Narrow"/>
          <w:b/>
          <w:bCs/>
        </w:rPr>
      </w:pPr>
      <w:r w:rsidRPr="003E6979">
        <w:rPr>
          <w:rFonts w:ascii="Arial Narrow" w:hAnsi="Arial Narrow" w:cs="Arial Narrow"/>
          <w:b/>
          <w:bCs/>
        </w:rPr>
        <w:t>Výdavky štátneho rozpočtu</w:t>
      </w:r>
      <w:r>
        <w:rPr>
          <w:rFonts w:ascii="Arial Narrow" w:hAnsi="Arial Narrow" w:cs="Arial Narrow"/>
          <w:b/>
          <w:bCs/>
        </w:rPr>
        <w:t xml:space="preserve"> </w:t>
      </w:r>
    </w:p>
    <w:p w:rsidR="002C26B7" w:rsidP="002C26B7">
      <w:pPr>
        <w:bidi w:val="0"/>
        <w:jc w:val="both"/>
        <w:rPr>
          <w:rFonts w:ascii="Arial Narrow" w:hAnsi="Arial Narrow" w:cs="Arial Narrow"/>
          <w:b/>
          <w:bCs/>
        </w:rPr>
      </w:pPr>
    </w:p>
    <w:tbl>
      <w:tblPr>
        <w:tblStyle w:val="TableNormal"/>
        <w:tblW w:w="9380" w:type="dxa"/>
        <w:tblInd w:w="55" w:type="dxa"/>
        <w:tblCellMar>
          <w:left w:w="70" w:type="dxa"/>
          <w:right w:w="70" w:type="dxa"/>
        </w:tblCellMar>
        <w:tblLook w:val="00A0"/>
      </w:tblPr>
      <w:tblGrid>
        <w:gridCol w:w="3140"/>
        <w:gridCol w:w="1040"/>
        <w:gridCol w:w="1040"/>
        <w:gridCol w:w="1040"/>
        <w:gridCol w:w="1040"/>
        <w:gridCol w:w="1040"/>
        <w:gridCol w:w="1040"/>
      </w:tblGrid>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7555C2" w:rsidRPr="007555C2" w:rsidP="00A20837">
            <w:pPr>
              <w:bidi w:val="0"/>
              <w:rPr>
                <w:rFonts w:ascii="Arial Narrow" w:hAnsi="Arial Narrow" w:cs="Arial Narrow"/>
                <w:color w:val="000000"/>
                <w:sz w:val="16"/>
                <w:szCs w:val="16"/>
                <w:lang w:eastAsia="sk-SK"/>
              </w:rPr>
            </w:pPr>
            <w:bookmarkStart w:id="60" w:name="RANGE_A1_H36"/>
            <w:bookmarkEnd w:id="60"/>
            <w:r>
              <w:rPr>
                <w:rFonts w:ascii="Arial Narrow" w:hAnsi="Arial Narrow" w:cs="Arial Narrow"/>
                <w:color w:val="000000"/>
                <w:sz w:val="16"/>
                <w:szCs w:val="16"/>
                <w:lang w:eastAsia="sk-SK"/>
              </w:rPr>
              <w:t>(</w:t>
            </w:r>
            <w:r w:rsidRPr="007555C2">
              <w:rPr>
                <w:rFonts w:ascii="Arial Narrow" w:hAnsi="Arial Narrow" w:cs="Arial Narrow"/>
                <w:color w:val="000000"/>
                <w:sz w:val="16"/>
                <w:szCs w:val="16"/>
                <w:lang w:eastAsia="sk-SK"/>
              </w:rPr>
              <w:t>v tis. eur</w:t>
            </w:r>
            <w:r>
              <w:rPr>
                <w:rFonts w:ascii="Arial Narrow" w:hAnsi="Arial Narrow" w:cs="Arial Narrow"/>
                <w:color w:val="000000"/>
                <w:sz w:val="16"/>
                <w:szCs w:val="16"/>
                <w:lang w:eastAsia="sk-SK"/>
              </w:rPr>
              <w:t>)</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2008 S</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2009 S</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2010 R</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2011 N</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2012 N</w:t>
            </w:r>
          </w:p>
        </w:tc>
        <w:tc>
          <w:tcPr>
            <w:tcW w:w="1040" w:type="dxa"/>
            <w:tcBorders>
              <w:top w:val="single" w:sz="4" w:space="0" w:color="auto"/>
              <w:left w:val="nil"/>
              <w:bottom w:val="single" w:sz="4" w:space="0" w:color="auto"/>
              <w:right w:val="single" w:sz="4" w:space="0" w:color="auto"/>
            </w:tcBorders>
            <w:shd w:val="clear" w:color="000000" w:fill="FFFFFF"/>
            <w:textDirection w:val="lrTb"/>
            <w:vAlign w:val="center"/>
          </w:tcPr>
          <w:p w:rsidR="007555C2" w:rsidRPr="00661FAA" w:rsidP="00A20837">
            <w:pPr>
              <w:bidi w:val="0"/>
              <w:jc w:val="center"/>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2013 N</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Kancelária Národnej rady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37 872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57 795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41 456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26 759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21 766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21 766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Kancelária prezidenta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4 408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3 608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4 040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3 79</w:t>
            </w:r>
            <w:r w:rsidR="005924FD">
              <w:rPr>
                <w:rFonts w:ascii="Arial Narrow" w:hAnsi="Arial Narrow" w:cs="Arial Narrow"/>
                <w:color w:val="000000"/>
                <w:sz w:val="16"/>
                <w:szCs w:val="16"/>
                <w:lang w:eastAsia="sk-SK"/>
              </w:rPr>
              <w:t>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3 798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3 798</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vlády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39 002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43 236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26 993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63 770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23 002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23 002</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Kancelária Ústavného súdu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3 836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4 438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2 853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5924FD">
              <w:rPr>
                <w:rFonts w:ascii="Arial Narrow" w:hAnsi="Arial Narrow" w:cs="Arial Narrow"/>
                <w:color w:val="000000"/>
                <w:sz w:val="16"/>
                <w:szCs w:val="16"/>
                <w:lang w:eastAsia="sk-SK"/>
              </w:rPr>
              <w:t>3 097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5924FD">
              <w:rPr>
                <w:rFonts w:ascii="Arial Narrow" w:hAnsi="Arial Narrow" w:cs="Arial Narrow"/>
                <w:color w:val="000000"/>
                <w:sz w:val="16"/>
                <w:szCs w:val="16"/>
                <w:lang w:eastAsia="sk-SK"/>
              </w:rPr>
              <w:t>3 086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5924FD">
              <w:rPr>
                <w:rFonts w:ascii="Arial Narrow" w:hAnsi="Arial Narrow" w:cs="Arial Narrow"/>
                <w:color w:val="000000"/>
                <w:sz w:val="16"/>
                <w:szCs w:val="16"/>
                <w:lang w:eastAsia="sk-SK"/>
              </w:rPr>
              <w:t>3 086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Najvyšší súd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7 509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7 905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8 522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8 033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8 027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8 027</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Generálna prokuratúra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59 145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63 023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62 503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61 138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56 797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56 799</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Najvyšší kontrolný úrad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6 940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8 664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8 196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7 463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7 465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7 465</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Slovenská informačná služba</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44 064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48 102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43 300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38 946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38 946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38 946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zahraničných vecí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111 645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123 684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107 954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111 751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108 809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109 370</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obrany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994 356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966 616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822 944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791DAA">
              <w:rPr>
                <w:rFonts w:ascii="Arial Narrow" w:hAnsi="Arial Narrow" w:cs="Arial Narrow"/>
                <w:color w:val="000000"/>
                <w:sz w:val="16"/>
                <w:szCs w:val="16"/>
                <w:lang w:eastAsia="sk-SK"/>
              </w:rPr>
              <w:t>75</w:t>
            </w:r>
            <w:r w:rsidRPr="00661FAA">
              <w:rPr>
                <w:rFonts w:ascii="Arial Narrow" w:hAnsi="Arial Narrow" w:cs="Arial Narrow"/>
                <w:color w:val="000000"/>
                <w:sz w:val="16"/>
                <w:szCs w:val="16"/>
                <w:lang w:eastAsia="sk-SK"/>
              </w:rPr>
              <w:t>9 775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740 720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740 720</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vnútra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931 059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1 014 158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838 575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860 607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803 871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813 235</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spravodlivosti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268 602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280 386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270 033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w:t>
            </w:r>
            <w:r w:rsidR="005924FD">
              <w:rPr>
                <w:rFonts w:ascii="Arial Narrow" w:hAnsi="Arial Narrow" w:cs="Arial Narrow"/>
                <w:color w:val="000000"/>
                <w:sz w:val="16"/>
                <w:szCs w:val="16"/>
                <w:lang w:eastAsia="sk-SK"/>
              </w:rPr>
              <w:t>88 602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28</w:t>
            </w:r>
            <w:r w:rsidR="005924FD">
              <w:rPr>
                <w:rFonts w:ascii="Arial Narrow" w:hAnsi="Arial Narrow" w:cs="Arial Narrow"/>
                <w:color w:val="000000"/>
                <w:sz w:val="16"/>
                <w:szCs w:val="16"/>
                <w:lang w:eastAsia="sk-SK"/>
              </w:rPr>
              <w:t>5 706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28</w:t>
            </w:r>
            <w:r w:rsidR="005924FD">
              <w:rPr>
                <w:rFonts w:ascii="Arial Narrow" w:hAnsi="Arial Narrow" w:cs="Arial Narrow"/>
                <w:color w:val="000000"/>
                <w:sz w:val="16"/>
                <w:szCs w:val="16"/>
                <w:lang w:eastAsia="sk-SK"/>
              </w:rPr>
              <w:t>5 875</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financií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346 994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371 350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491 319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7A2386">
              <w:rPr>
                <w:rFonts w:ascii="Arial Narrow" w:hAnsi="Arial Narrow" w:cs="Arial Narrow"/>
                <w:color w:val="000000"/>
                <w:sz w:val="16"/>
                <w:szCs w:val="16"/>
                <w:lang w:eastAsia="sk-SK"/>
              </w:rPr>
              <w:t>622 310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728 225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457 586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životného prostredia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265 054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250 758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329 601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831 415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315 124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315 589</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školstva, vedy, výskumu a športu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1 797 656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2 018 521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2 348 232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2 337 280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2 238 756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2 240 557</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zdravotníctva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1 110 226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1 287 843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1 439 532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1 401 899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1 288 763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1 268 40</w:t>
            </w:r>
            <w:r w:rsidR="005924FD">
              <w:rPr>
                <w:rFonts w:ascii="Arial Narrow" w:hAnsi="Arial Narrow" w:cs="Arial Narrow"/>
                <w:color w:val="000000"/>
                <w:sz w:val="16"/>
                <w:szCs w:val="16"/>
                <w:lang w:eastAsia="sk-SK"/>
              </w:rPr>
              <w:t>8</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práce, sociálnych vecí a rodiny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1 681 918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1 814 653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1 967 688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2 010 892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2 065 114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2 129 526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kultúry a cestovného ruchu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181 938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196 515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169 773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167 192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227 301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227 766</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hospodárstva a výstavby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228 672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272 331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319 167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333 674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179 276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113 003</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pôd</w:t>
            </w:r>
            <w:r>
              <w:rPr>
                <w:rFonts w:ascii="Arial Narrow" w:hAnsi="Arial Narrow" w:cs="Arial Narrow"/>
                <w:color w:val="000000"/>
                <w:sz w:val="16"/>
                <w:szCs w:val="16"/>
                <w:lang w:eastAsia="sk-SK"/>
              </w:rPr>
              <w:t>ohosp. a rozvoja vidiek</w:t>
            </w:r>
            <w:r w:rsidRPr="00661FAA">
              <w:rPr>
                <w:rFonts w:ascii="Arial Narrow" w:hAnsi="Arial Narrow" w:cs="Arial Narrow"/>
                <w:color w:val="000000"/>
                <w:sz w:val="16"/>
                <w:szCs w:val="16"/>
                <w:lang w:eastAsia="sk-SK"/>
              </w:rPr>
              <w:t>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782 414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1 038 070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1 158 603</w:t>
            </w:r>
          </w:p>
        </w:tc>
        <w:tc>
          <w:tcPr>
            <w:tcW w:w="1040" w:type="dxa"/>
            <w:tcBorders>
              <w:top w:val="nil"/>
              <w:left w:val="nil"/>
              <w:bottom w:val="single" w:sz="4" w:space="0" w:color="auto"/>
              <w:right w:val="single" w:sz="4" w:space="0" w:color="auto"/>
            </w:tcBorders>
            <w:textDirection w:val="lrTb"/>
            <w:vAlign w:val="center"/>
          </w:tcPr>
          <w:p w:rsidR="007555C2" w:rsidRPr="00661FAA" w:rsidP="00F702E2">
            <w:pPr>
              <w:bidi w:val="0"/>
              <w:jc w:val="right"/>
              <w:rPr>
                <w:rFonts w:ascii="Arial Narrow" w:hAnsi="Arial Narrow" w:cs="Arial Narrow"/>
                <w:color w:val="000000"/>
                <w:sz w:val="16"/>
                <w:szCs w:val="16"/>
                <w:lang w:eastAsia="sk-SK"/>
              </w:rPr>
            </w:pPr>
            <w:r w:rsidR="00F702E2">
              <w:rPr>
                <w:rFonts w:ascii="Arial Narrow" w:hAnsi="Arial Narrow" w:cs="Arial Narrow"/>
                <w:color w:val="000000"/>
                <w:sz w:val="16"/>
                <w:szCs w:val="16"/>
                <w:lang w:eastAsia="sk-SK"/>
              </w:rPr>
              <w:t>1 303</w:t>
            </w:r>
            <w:r w:rsidRPr="00661FAA">
              <w:rPr>
                <w:rFonts w:ascii="Arial Narrow" w:hAnsi="Arial Narrow" w:cs="Arial Narrow"/>
                <w:color w:val="000000"/>
                <w:sz w:val="16"/>
                <w:szCs w:val="16"/>
                <w:lang w:eastAsia="sk-SK"/>
              </w:rPr>
              <w:t xml:space="preserve"> </w:t>
            </w:r>
            <w:r w:rsidR="00F702E2">
              <w:rPr>
                <w:rFonts w:ascii="Arial Narrow" w:hAnsi="Arial Narrow" w:cs="Arial Narrow"/>
                <w:color w:val="000000"/>
                <w:sz w:val="16"/>
                <w:szCs w:val="16"/>
                <w:lang w:eastAsia="sk-SK"/>
              </w:rPr>
              <w:t>853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1 207 078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1 199 759</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výstavby a regionálneho rozvoja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321 613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433 169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494 350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 </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 </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 </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Ministerstvo dopravy, pôšt a telekomunikácií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1 125 892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1 250 694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1 424 996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1 890 953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1 900 747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1 831 504</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geodézie, kartografie a katastra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49 870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61 286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39 604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35 600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34 657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34 657</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Štatistický úrad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19 493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33 653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29 547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22 835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18 690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19 675</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pre verejné obstarávanie</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3 829</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3 601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2 948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2 676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2 670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2 670</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jadrového dozoru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5 143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4 715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4 465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4 848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4 598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4 598</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priemyselného vlastníctva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3 795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3 176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3 138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2 778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2 783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2 783</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Úrad pre norm</w:t>
            </w:r>
            <w:r>
              <w:rPr>
                <w:rFonts w:ascii="Arial Narrow" w:hAnsi="Arial Narrow" w:cs="Arial Narrow"/>
                <w:color w:val="000000"/>
                <w:sz w:val="16"/>
                <w:szCs w:val="16"/>
                <w:lang w:eastAsia="sk-SK"/>
              </w:rPr>
              <w:t>.</w:t>
            </w:r>
            <w:r w:rsidRPr="00661FAA">
              <w:rPr>
                <w:rFonts w:ascii="Arial Narrow" w:hAnsi="Arial Narrow" w:cs="Arial Narrow"/>
                <w:color w:val="000000"/>
                <w:sz w:val="16"/>
                <w:szCs w:val="16"/>
                <w:lang w:eastAsia="sk-SK"/>
              </w:rPr>
              <w:t>, metrológiu a skúšobníctvo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10 323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7 483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7 255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6 593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6 353</w:t>
            </w:r>
          </w:p>
        </w:tc>
        <w:tc>
          <w:tcPr>
            <w:tcW w:w="1040" w:type="dxa"/>
            <w:tcBorders>
              <w:top w:val="nil"/>
              <w:left w:val="nil"/>
              <w:bottom w:val="single" w:sz="4" w:space="0" w:color="auto"/>
              <w:right w:val="single" w:sz="4" w:space="0" w:color="auto"/>
            </w:tcBorders>
            <w:textDirection w:val="lrTb"/>
            <w:vAlign w:val="center"/>
          </w:tcPr>
          <w:p w:rsidR="007555C2" w:rsidRPr="00661FAA" w:rsidP="00582D28">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6 35</w:t>
            </w:r>
            <w:r w:rsidR="00582D28">
              <w:rPr>
                <w:rFonts w:ascii="Arial Narrow" w:hAnsi="Arial Narrow" w:cs="Arial Narrow"/>
                <w:color w:val="000000"/>
                <w:sz w:val="16"/>
                <w:szCs w:val="16"/>
                <w:lang w:eastAsia="sk-SK"/>
              </w:rPr>
              <w:t>7</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Protimonopolný úrad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3 786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5 668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2 368</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2 145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2 145</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2 145</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Národný bezpečnostný úrad</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12 260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8 690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8 800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7 990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7 991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7 991</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Správa štátnych hmotných rezerv SR</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18 430</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20 287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28 102</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42 384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35 883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35 883</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Všeobecná pokladničná správa</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1 506 864</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1 555 096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3 704 817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7A2386">
              <w:rPr>
                <w:rFonts w:ascii="Arial Narrow" w:hAnsi="Arial Narrow" w:cs="Arial Narrow"/>
                <w:color w:val="000000"/>
                <w:sz w:val="16"/>
                <w:szCs w:val="16"/>
                <w:lang w:eastAsia="sk-SK"/>
              </w:rPr>
              <w:t>3</w:t>
            </w:r>
            <w:r w:rsidR="005924FD">
              <w:rPr>
                <w:rFonts w:ascii="Arial Narrow" w:hAnsi="Arial Narrow" w:cs="Arial Narrow"/>
                <w:color w:val="000000"/>
                <w:sz w:val="16"/>
                <w:szCs w:val="16"/>
                <w:lang w:eastAsia="sk-SK"/>
              </w:rPr>
              <w:t> 6</w:t>
            </w:r>
            <w:r w:rsidR="00791DAA">
              <w:rPr>
                <w:rFonts w:ascii="Arial Narrow" w:hAnsi="Arial Narrow" w:cs="Arial Narrow"/>
                <w:color w:val="000000"/>
                <w:sz w:val="16"/>
                <w:szCs w:val="16"/>
                <w:lang w:eastAsia="sk-SK"/>
              </w:rPr>
              <w:t>0</w:t>
            </w:r>
            <w:r w:rsidR="005924FD">
              <w:rPr>
                <w:rFonts w:ascii="Arial Narrow" w:hAnsi="Arial Narrow" w:cs="Arial Narrow"/>
                <w:color w:val="000000"/>
                <w:sz w:val="16"/>
                <w:szCs w:val="16"/>
                <w:lang w:eastAsia="sk-SK"/>
              </w:rPr>
              <w:t>4 955</w:t>
            </w:r>
          </w:p>
        </w:tc>
        <w:tc>
          <w:tcPr>
            <w:tcW w:w="1040" w:type="dxa"/>
            <w:tcBorders>
              <w:top w:val="nil"/>
              <w:left w:val="nil"/>
              <w:bottom w:val="single" w:sz="4" w:space="0" w:color="auto"/>
              <w:right w:val="single" w:sz="4" w:space="0" w:color="auto"/>
            </w:tcBorders>
            <w:textDirection w:val="lrTb"/>
            <w:vAlign w:val="center"/>
          </w:tcPr>
          <w:p w:rsidR="007555C2" w:rsidRPr="00661FAA" w:rsidP="007A2386">
            <w:pPr>
              <w:bidi w:val="0"/>
              <w:jc w:val="right"/>
              <w:rPr>
                <w:rFonts w:ascii="Arial Narrow" w:hAnsi="Arial Narrow" w:cs="Arial Narrow"/>
                <w:color w:val="000000"/>
                <w:sz w:val="16"/>
                <w:szCs w:val="16"/>
                <w:lang w:eastAsia="sk-SK"/>
              </w:rPr>
            </w:pPr>
            <w:r w:rsidR="00F702E2">
              <w:rPr>
                <w:rFonts w:ascii="Arial Narrow" w:hAnsi="Arial Narrow" w:cs="Arial Narrow"/>
                <w:color w:val="000000"/>
                <w:sz w:val="16"/>
                <w:szCs w:val="16"/>
                <w:lang w:eastAsia="sk-SK"/>
              </w:rPr>
              <w:t>4</w:t>
            </w:r>
            <w:r w:rsidR="005924FD">
              <w:rPr>
                <w:rFonts w:ascii="Arial Narrow" w:hAnsi="Arial Narrow" w:cs="Arial Narrow"/>
                <w:color w:val="000000"/>
                <w:sz w:val="16"/>
                <w:szCs w:val="16"/>
                <w:lang w:eastAsia="sk-SK"/>
              </w:rPr>
              <w:t> </w:t>
            </w:r>
            <w:r w:rsidR="007A2386">
              <w:rPr>
                <w:rFonts w:ascii="Arial Narrow" w:hAnsi="Arial Narrow" w:cs="Arial Narrow"/>
                <w:color w:val="000000"/>
                <w:sz w:val="16"/>
                <w:szCs w:val="16"/>
                <w:lang w:eastAsia="sk-SK"/>
              </w:rPr>
              <w:t>1</w:t>
            </w:r>
            <w:r w:rsidR="005924FD">
              <w:rPr>
                <w:rFonts w:ascii="Arial Narrow" w:hAnsi="Arial Narrow" w:cs="Arial Narrow"/>
                <w:color w:val="000000"/>
                <w:sz w:val="16"/>
                <w:szCs w:val="16"/>
                <w:lang w:eastAsia="sk-SK"/>
              </w:rPr>
              <w:t>28 597</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007A2386">
              <w:rPr>
                <w:rFonts w:ascii="Arial Narrow" w:hAnsi="Arial Narrow" w:cs="Arial Narrow"/>
                <w:color w:val="000000"/>
                <w:sz w:val="16"/>
                <w:szCs w:val="16"/>
                <w:lang w:eastAsia="sk-SK"/>
              </w:rPr>
              <w:t>4 1</w:t>
            </w:r>
            <w:r w:rsidR="005924FD">
              <w:rPr>
                <w:rFonts w:ascii="Arial Narrow" w:hAnsi="Arial Narrow" w:cs="Arial Narrow"/>
                <w:color w:val="000000"/>
                <w:sz w:val="16"/>
                <w:szCs w:val="16"/>
                <w:lang w:eastAsia="sk-SK"/>
              </w:rPr>
              <w:t>98</w:t>
            </w:r>
            <w:r w:rsidR="007A2386">
              <w:rPr>
                <w:rFonts w:ascii="Arial Narrow" w:hAnsi="Arial Narrow" w:cs="Arial Narrow"/>
                <w:color w:val="000000"/>
                <w:sz w:val="16"/>
                <w:szCs w:val="16"/>
                <w:lang w:eastAsia="sk-SK"/>
              </w:rPr>
              <w:t xml:space="preserve"> </w:t>
            </w:r>
            <w:r w:rsidR="005924FD">
              <w:rPr>
                <w:rFonts w:ascii="Arial Narrow" w:hAnsi="Arial Narrow" w:cs="Arial Narrow"/>
                <w:color w:val="000000"/>
                <w:sz w:val="16"/>
                <w:szCs w:val="16"/>
                <w:lang w:eastAsia="sk-SK"/>
              </w:rPr>
              <w:t>518</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textDirection w:val="lrTb"/>
            <w:vAlign w:val="center"/>
          </w:tcPr>
          <w:p w:rsidR="007555C2" w:rsidRPr="00661FAA" w:rsidP="00A20837">
            <w:pPr>
              <w:bidi w:val="0"/>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Slovenská akadémia vied</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71 986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72 873</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65 326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59 551</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58 616</w:t>
            </w:r>
          </w:p>
        </w:tc>
        <w:tc>
          <w:tcPr>
            <w:tcW w:w="1040" w:type="dxa"/>
            <w:tcBorders>
              <w:top w:val="nil"/>
              <w:left w:val="nil"/>
              <w:bottom w:val="single" w:sz="4" w:space="0" w:color="auto"/>
              <w:right w:val="single" w:sz="4" w:space="0" w:color="auto"/>
            </w:tcBorders>
            <w:textDirection w:val="lrTb"/>
            <w:vAlign w:val="center"/>
          </w:tcPr>
          <w:p w:rsidR="007555C2" w:rsidRPr="00661FAA" w:rsidP="00A20837">
            <w:pPr>
              <w:bidi w:val="0"/>
              <w:jc w:val="right"/>
              <w:rPr>
                <w:rFonts w:ascii="Arial Narrow" w:hAnsi="Arial Narrow" w:cs="Arial Narrow"/>
                <w:color w:val="000000"/>
                <w:sz w:val="16"/>
                <w:szCs w:val="16"/>
                <w:lang w:eastAsia="sk-SK"/>
              </w:rPr>
            </w:pPr>
            <w:r w:rsidRPr="00661FAA">
              <w:rPr>
                <w:rFonts w:ascii="Arial Narrow" w:hAnsi="Arial Narrow" w:cs="Arial Narrow"/>
                <w:color w:val="000000"/>
                <w:sz w:val="16"/>
                <w:szCs w:val="16"/>
                <w:lang w:eastAsia="sk-SK"/>
              </w:rPr>
              <w:t>58 449</w:t>
            </w:r>
          </w:p>
        </w:tc>
      </w:tr>
      <w:tr>
        <w:tblPrEx>
          <w:tblW w:w="9380" w:type="dxa"/>
          <w:tblInd w:w="55" w:type="dxa"/>
          <w:tblCellMar>
            <w:left w:w="70" w:type="dxa"/>
            <w:right w:w="70" w:type="dxa"/>
          </w:tblCellMar>
          <w:tblLook w:val="00A0"/>
        </w:tblPrEx>
        <w:trPr>
          <w:trHeight w:val="340"/>
        </w:trPr>
        <w:tc>
          <w:tcPr>
            <w:tcW w:w="31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55C2" w:rsidRPr="00661FAA" w:rsidP="00A20837">
            <w:pPr>
              <w:bidi w:val="0"/>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Spolu</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A20837">
            <w:pPr>
              <w:bidi w:val="0"/>
              <w:jc w:val="right"/>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12 056 594</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A20837">
            <w:pPr>
              <w:bidi w:val="0"/>
              <w:jc w:val="right"/>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13 332 047</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A20837">
            <w:pPr>
              <w:bidi w:val="0"/>
              <w:jc w:val="right"/>
              <w:rPr>
                <w:rFonts w:ascii="Arial Narrow" w:hAnsi="Arial Narrow" w:cs="Arial Narrow"/>
                <w:b/>
                <w:bCs/>
                <w:color w:val="000000"/>
                <w:sz w:val="16"/>
                <w:szCs w:val="16"/>
                <w:lang w:eastAsia="sk-SK"/>
              </w:rPr>
            </w:pPr>
            <w:r w:rsidRPr="00661FAA">
              <w:rPr>
                <w:rFonts w:ascii="Arial Narrow" w:hAnsi="Arial Narrow" w:cs="Arial Narrow"/>
                <w:b/>
                <w:bCs/>
                <w:color w:val="000000"/>
                <w:sz w:val="16"/>
                <w:szCs w:val="16"/>
                <w:lang w:eastAsia="sk-SK"/>
              </w:rPr>
              <w:t>16 277 000</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A20837">
            <w:pPr>
              <w:bidi w:val="0"/>
              <w:jc w:val="right"/>
              <w:rPr>
                <w:rFonts w:ascii="Arial Narrow" w:hAnsi="Arial Narrow" w:cs="Arial Narrow"/>
                <w:b/>
                <w:bCs/>
                <w:color w:val="000000"/>
                <w:sz w:val="16"/>
                <w:szCs w:val="16"/>
                <w:lang w:eastAsia="sk-SK"/>
              </w:rPr>
            </w:pPr>
            <w:r w:rsidR="00F702E2">
              <w:rPr>
                <w:rFonts w:ascii="Arial Narrow" w:hAnsi="Arial Narrow" w:cs="Arial Narrow"/>
                <w:b/>
                <w:bCs/>
                <w:color w:val="000000"/>
                <w:sz w:val="16"/>
                <w:szCs w:val="16"/>
                <w:lang w:eastAsia="sk-SK"/>
              </w:rPr>
              <w:t>16</w:t>
            </w:r>
            <w:r w:rsidR="007A2386">
              <w:rPr>
                <w:rFonts w:ascii="Arial Narrow" w:hAnsi="Arial Narrow" w:cs="Arial Narrow"/>
                <w:b/>
                <w:bCs/>
                <w:color w:val="000000"/>
                <w:sz w:val="16"/>
                <w:szCs w:val="16"/>
                <w:lang w:eastAsia="sk-SK"/>
              </w:rPr>
              <w:t> </w:t>
            </w:r>
            <w:r w:rsidR="00F702E2">
              <w:rPr>
                <w:rFonts w:ascii="Arial Narrow" w:hAnsi="Arial Narrow" w:cs="Arial Narrow"/>
                <w:b/>
                <w:bCs/>
                <w:color w:val="000000"/>
                <w:sz w:val="16"/>
                <w:szCs w:val="16"/>
                <w:lang w:eastAsia="sk-SK"/>
              </w:rPr>
              <w:t>9</w:t>
            </w:r>
            <w:r w:rsidR="00791DAA">
              <w:rPr>
                <w:rFonts w:ascii="Arial Narrow" w:hAnsi="Arial Narrow" w:cs="Arial Narrow"/>
                <w:b/>
                <w:bCs/>
                <w:color w:val="000000"/>
                <w:sz w:val="16"/>
                <w:szCs w:val="16"/>
                <w:lang w:eastAsia="sk-SK"/>
              </w:rPr>
              <w:t>2</w:t>
            </w:r>
            <w:r w:rsidR="007A2386">
              <w:rPr>
                <w:rFonts w:ascii="Arial Narrow" w:hAnsi="Arial Narrow" w:cs="Arial Narrow"/>
                <w:b/>
                <w:bCs/>
                <w:color w:val="000000"/>
                <w:sz w:val="16"/>
                <w:szCs w:val="16"/>
                <w:lang w:eastAsia="sk-SK"/>
              </w:rPr>
              <w:t>5 558</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A20837">
            <w:pPr>
              <w:bidi w:val="0"/>
              <w:jc w:val="right"/>
              <w:rPr>
                <w:rFonts w:ascii="Arial Narrow" w:hAnsi="Arial Narrow" w:cs="Arial Narrow"/>
                <w:b/>
                <w:bCs/>
                <w:color w:val="000000"/>
                <w:sz w:val="16"/>
                <w:szCs w:val="16"/>
                <w:lang w:eastAsia="sk-SK"/>
              </w:rPr>
            </w:pPr>
            <w:r w:rsidR="00F702E2">
              <w:rPr>
                <w:rFonts w:ascii="Arial Narrow" w:hAnsi="Arial Narrow" w:cs="Arial Narrow"/>
                <w:b/>
                <w:bCs/>
                <w:color w:val="000000"/>
                <w:sz w:val="16"/>
                <w:szCs w:val="16"/>
                <w:lang w:eastAsia="sk-SK"/>
              </w:rPr>
              <w:t>16</w:t>
            </w:r>
            <w:r w:rsidR="007A2386">
              <w:rPr>
                <w:rFonts w:ascii="Arial Narrow" w:hAnsi="Arial Narrow" w:cs="Arial Narrow"/>
                <w:b/>
                <w:bCs/>
                <w:color w:val="000000"/>
                <w:sz w:val="16"/>
                <w:szCs w:val="16"/>
                <w:lang w:eastAsia="sk-SK"/>
              </w:rPr>
              <w:t> </w:t>
            </w:r>
            <w:r w:rsidR="00F702E2">
              <w:rPr>
                <w:rFonts w:ascii="Arial Narrow" w:hAnsi="Arial Narrow" w:cs="Arial Narrow"/>
                <w:b/>
                <w:bCs/>
                <w:color w:val="000000"/>
                <w:sz w:val="16"/>
                <w:szCs w:val="16"/>
                <w:lang w:eastAsia="sk-SK"/>
              </w:rPr>
              <w:t>5</w:t>
            </w:r>
            <w:r w:rsidR="007A2386">
              <w:rPr>
                <w:rFonts w:ascii="Arial Narrow" w:hAnsi="Arial Narrow" w:cs="Arial Narrow"/>
                <w:b/>
                <w:bCs/>
                <w:color w:val="000000"/>
                <w:sz w:val="16"/>
                <w:szCs w:val="16"/>
                <w:lang w:eastAsia="sk-SK"/>
              </w:rPr>
              <w:t>55 360</w:t>
            </w:r>
          </w:p>
        </w:tc>
        <w:tc>
          <w:tcPr>
            <w:tcW w:w="1040" w:type="dxa"/>
            <w:tcBorders>
              <w:top w:val="nil"/>
              <w:left w:val="nil"/>
              <w:bottom w:val="single" w:sz="4" w:space="0" w:color="auto"/>
              <w:right w:val="single" w:sz="4" w:space="0" w:color="auto"/>
            </w:tcBorders>
            <w:shd w:val="clear" w:color="auto" w:fill="BFBFBF"/>
            <w:textDirection w:val="lrTb"/>
            <w:vAlign w:val="center"/>
          </w:tcPr>
          <w:p w:rsidR="007555C2" w:rsidRPr="00661FAA" w:rsidP="007A2386">
            <w:pPr>
              <w:bidi w:val="0"/>
              <w:jc w:val="right"/>
              <w:rPr>
                <w:rFonts w:ascii="Arial Narrow" w:hAnsi="Arial Narrow" w:cs="Arial Narrow"/>
                <w:b/>
                <w:bCs/>
                <w:color w:val="000000"/>
                <w:sz w:val="16"/>
                <w:szCs w:val="16"/>
                <w:lang w:eastAsia="sk-SK"/>
              </w:rPr>
            </w:pPr>
            <w:r w:rsidR="00F702E2">
              <w:rPr>
                <w:rFonts w:ascii="Arial Narrow" w:hAnsi="Arial Narrow" w:cs="Arial Narrow"/>
                <w:b/>
                <w:bCs/>
                <w:color w:val="000000"/>
                <w:sz w:val="16"/>
                <w:szCs w:val="16"/>
                <w:lang w:eastAsia="sk-SK"/>
              </w:rPr>
              <w:t>16</w:t>
            </w:r>
            <w:r w:rsidR="007A2386">
              <w:rPr>
                <w:rFonts w:ascii="Arial Narrow" w:hAnsi="Arial Narrow" w:cs="Arial Narrow"/>
                <w:b/>
                <w:bCs/>
                <w:color w:val="000000"/>
                <w:sz w:val="16"/>
                <w:szCs w:val="16"/>
                <w:lang w:eastAsia="sk-SK"/>
              </w:rPr>
              <w:t> 269 513</w:t>
            </w:r>
          </w:p>
        </w:tc>
      </w:tr>
    </w:tbl>
    <w:p w:rsidR="00560753" w:rsidRPr="00560753" w:rsidP="00560753">
      <w:pPr>
        <w:bidi w:val="0"/>
      </w:pPr>
      <w:bookmarkStart w:id="61" w:name="_Toc273393359"/>
    </w:p>
    <w:p w:rsidR="00C07070" w:rsidP="00560753">
      <w:pPr>
        <w:pStyle w:val="Heading2"/>
        <w:bidi w:val="0"/>
        <w:rPr>
          <w:rFonts w:ascii="Arial Narrow" w:hAnsi="Arial Narrow" w:cs="Arial Narrow"/>
          <w:i w:val="0"/>
          <w:iCs w:val="0"/>
          <w:sz w:val="22"/>
          <w:szCs w:val="22"/>
          <w:highlight w:val="yellow"/>
        </w:rPr>
      </w:pPr>
    </w:p>
    <w:p w:rsidR="00083ACE" w:rsidRPr="00560753" w:rsidP="00560753">
      <w:pPr>
        <w:pStyle w:val="Heading2"/>
        <w:bidi w:val="0"/>
        <w:rPr>
          <w:rFonts w:ascii="Arial Narrow" w:hAnsi="Arial Narrow" w:cs="Arial Narrow"/>
          <w:i w:val="0"/>
          <w:iCs w:val="0"/>
          <w:sz w:val="22"/>
          <w:szCs w:val="22"/>
        </w:rPr>
      </w:pPr>
      <w:bookmarkStart w:id="62" w:name="_Toc273979623"/>
      <w:r w:rsidRPr="00026163" w:rsidR="00560753">
        <w:rPr>
          <w:rFonts w:ascii="Arial Narrow" w:hAnsi="Arial Narrow" w:cs="Arial Narrow"/>
          <w:i w:val="0"/>
          <w:iCs w:val="0"/>
          <w:sz w:val="22"/>
          <w:szCs w:val="22"/>
        </w:rPr>
        <w:t>4.2. Osobné výdavky</w:t>
      </w:r>
      <w:bookmarkEnd w:id="62"/>
    </w:p>
    <w:p w:rsidR="00560753" w:rsidP="00560753">
      <w:pPr>
        <w:bidi w:val="0"/>
        <w:rPr>
          <w:rFonts w:ascii="Arial Narrow" w:hAnsi="Arial Narrow"/>
          <w:sz w:val="22"/>
          <w:szCs w:val="22"/>
        </w:rPr>
      </w:pPr>
    </w:p>
    <w:p w:rsidR="00026163" w:rsidRPr="00026163" w:rsidP="00026163">
      <w:pPr>
        <w:bidi w:val="0"/>
        <w:ind w:firstLine="708"/>
        <w:jc w:val="both"/>
        <w:rPr>
          <w:rFonts w:ascii="Arial Narrow" w:hAnsi="Arial Narrow"/>
          <w:sz w:val="22"/>
          <w:szCs w:val="22"/>
        </w:rPr>
      </w:pPr>
      <w:r w:rsidRPr="00026163">
        <w:rPr>
          <w:rFonts w:ascii="Arial Narrow" w:hAnsi="Arial Narrow"/>
          <w:sz w:val="22"/>
          <w:szCs w:val="22"/>
        </w:rPr>
        <w:t xml:space="preserve">V návrhu rozpočtu verejnej správy  na roky 2011 až 2013 sa rozpočtujú na rok 2011 osobné výdavky v sume 3 260 080 tis. eur pre 237 007 zamestnancov štátnych rozpočtových a príspevkových organizácií, verejných vysokých škôl a  regionálneho školstva (s výnimkou zamestnancov preneseného výkonu štátnej správy na obce a samosprávnej pôsobnosti obcí na úseku sociálnych zariadení). </w:t>
      </w:r>
    </w:p>
    <w:p w:rsidR="00026163" w:rsidP="00026163">
      <w:pPr>
        <w:bidi w:val="0"/>
        <w:jc w:val="both"/>
        <w:rPr>
          <w:rFonts w:ascii="Arial Narrow" w:hAnsi="Arial Narrow"/>
          <w:sz w:val="22"/>
          <w:szCs w:val="22"/>
        </w:rPr>
      </w:pPr>
      <w:r w:rsidRPr="00026163">
        <w:rPr>
          <w:rFonts w:ascii="Arial Narrow" w:hAnsi="Arial Narrow"/>
          <w:sz w:val="22"/>
          <w:szCs w:val="22"/>
        </w:rPr>
        <w:t xml:space="preserve">                </w:t>
      </w:r>
    </w:p>
    <w:p w:rsidR="00026163" w:rsidRPr="00026163" w:rsidP="00026163">
      <w:pPr>
        <w:bidi w:val="0"/>
        <w:ind w:firstLine="708"/>
        <w:jc w:val="both"/>
        <w:rPr>
          <w:rFonts w:ascii="Arial Narrow" w:hAnsi="Arial Narrow"/>
          <w:sz w:val="22"/>
          <w:szCs w:val="22"/>
        </w:rPr>
      </w:pPr>
      <w:r w:rsidRPr="00026163">
        <w:rPr>
          <w:rFonts w:ascii="Arial Narrow" w:hAnsi="Arial Narrow"/>
          <w:sz w:val="22"/>
          <w:szCs w:val="22"/>
        </w:rPr>
        <w:t>Počet zamestnancov, na ktorých sú v návrhu rozpočtu verejnej správy rozpočtované osobné výdavky, nezohľadňuje v plnej miere 10 % zníženie počtu zamestnancov  z dôvodu, že správcovia rozpočtových kapitol v tomto období sa zaoberajú  možnosťami realizácie zníženia osôb v závislosti od prehodnotenia organizačných štruktúr svojich organizácií, vykonávaných činností a pod.</w:t>
      </w:r>
    </w:p>
    <w:p w:rsidR="00026163" w:rsidP="00026163">
      <w:pPr>
        <w:bidi w:val="0"/>
      </w:pPr>
    </w:p>
    <w:p w:rsidR="00026163" w:rsidRPr="00026163" w:rsidP="00026163">
      <w:pPr>
        <w:bidi w:val="0"/>
        <w:ind w:firstLine="708"/>
        <w:rPr>
          <w:rFonts w:ascii="Arial Narrow" w:hAnsi="Arial Narrow"/>
          <w:b/>
          <w:bCs/>
          <w:i/>
          <w:iCs/>
          <w:sz w:val="22"/>
          <w:szCs w:val="22"/>
        </w:rPr>
      </w:pPr>
      <w:r w:rsidRPr="00026163">
        <w:rPr>
          <w:rFonts w:ascii="Arial Narrow" w:hAnsi="Arial Narrow"/>
          <w:b/>
          <w:bCs/>
          <w:sz w:val="22"/>
          <w:szCs w:val="22"/>
        </w:rPr>
        <w:t>Osobné výdavky rozpočtových a príspevkových organizácií štátu</w:t>
      </w:r>
    </w:p>
    <w:p w:rsidR="00026163" w:rsidRPr="00026163" w:rsidP="00026163">
      <w:pPr>
        <w:bidi w:val="0"/>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 xml:space="preserve">Návrh rozpočtu verejnej správy na roky 2011 až 2013 vychádza zo zámerov programového vyhlásenia vlády, v ktorom sa vláda SR zaviazala prijať opatrenia potrebné na zníženie deficitu od roku 2011, čo sa prejavilo aj v znížení osobných výdavkov zamestnancov štátnych rozpočtových a príspevkových organizácií. Východiskom realizácie zníženia bol schválený rozpočet na rok 2010 v sume 2 188 487 tis. eur, z ktorého 10 % zníženie zodpovedá sume 218 849 tis. eur. </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Na základe osobitného prístupu boli v znížení osobných výdavkov zrealizované výnimky v celkovom objeme 104 745  tis. eur. Výnimky sa týkajú:</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vylúčenia zo znižovania pedagogických zamestnancov špeciálnych škôl a školských zariadení,  stredných a vysokých škôl  v počte 8 627  osôb, ktorých 10 % krátenie osobných výdavkov predstavuje 12 053 tis. eur</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vylúčenia zo znižovania zamestnancov Ministerstva obrany SR, u ktorých nerealizovanie zníženia osobných výdavkov predstavuje sumu 35 816 tis. eur. Súčasne sa  zvýšili osobné výdavky súvisiace  s reštrukturalizáciou rezortu a zvýšením zahraničného príspevku v sume 14 785 tis. eur. V roku 2011 ide o dočasné zvýšenie osobných výdavkov. Vzhľadom na potrebu podrobnejšej analýzy v rezorte obrany budú osobné výdavky znížené od roku 2012</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zmiernenia zníženia osobných výdavkov u policajtov a hasičov na úseku ochrany verejného poriadku a bezpečnosti kapitoly Ministerstva vnútra SR, kde nerealizované zníženie osobných výdavkov zodpovedá sume 22 700 tis. eur</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zmiernenia zníženia osobných výdavkov pre vedeckých a výskumných zamestnancov kapitoly Slovenskej akadémie vied, zamestnancov detských domovov v kapitole Ministerstva práce, sociálnych vecí a rodiny SR, civilných zamestnancov Ministerstva spravodlivosti SR a príslušníkov Zboru väzenskej a justičnej stráže, štátnych zamestnancov a zamestnancov pri výkone práce vo verejnom záujme v Kancelárii Ústavného súdu SR, ktorým neboli viazané osobné výdavky v sume 11 891  tis. eur</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zmiernenia zníženia osobných výdavkov pre civilných zamestnancov  kapitoly Generálnej prokuratúry SR v sume 1 000 tis. eur</w:t>
      </w:r>
    </w:p>
    <w:p w:rsidR="00026163" w:rsidRPr="00026163" w:rsidP="00BE7180">
      <w:pPr>
        <w:numPr>
          <w:numId w:val="11"/>
        </w:numPr>
        <w:bidi w:val="0"/>
        <w:ind w:left="709" w:hanging="283"/>
        <w:jc w:val="both"/>
        <w:rPr>
          <w:rFonts w:ascii="Arial Narrow" w:hAnsi="Arial Narrow"/>
          <w:sz w:val="22"/>
          <w:szCs w:val="22"/>
        </w:rPr>
      </w:pPr>
      <w:r w:rsidRPr="00026163">
        <w:rPr>
          <w:rFonts w:ascii="Arial Narrow" w:hAnsi="Arial Narrow"/>
          <w:sz w:val="22"/>
          <w:szCs w:val="22"/>
        </w:rPr>
        <w:t>zvýšenia osobných výdavkov o sumu 6 500 tis. eur pre zamestnancov pôsobiacich v zahraničnej službe v kapitole  Ministerstva zahraničných vecí SR z dôvodu  legislatívnej úpravy odvodov.</w:t>
      </w:r>
    </w:p>
    <w:p w:rsidR="00026163" w:rsidRPr="00026163" w:rsidP="00026163">
      <w:pPr>
        <w:bidi w:val="0"/>
        <w:ind w:left="709"/>
        <w:jc w:val="both"/>
        <w:rPr>
          <w:rFonts w:ascii="Arial Narrow" w:hAnsi="Arial Narrow"/>
          <w:sz w:val="22"/>
          <w:szCs w:val="22"/>
        </w:rPr>
      </w:pPr>
    </w:p>
    <w:p w:rsidR="00026163" w:rsidRPr="00026163" w:rsidP="00026163">
      <w:pPr>
        <w:bidi w:val="0"/>
        <w:ind w:firstLine="708"/>
        <w:jc w:val="both"/>
        <w:rPr>
          <w:rFonts w:ascii="Arial Narrow" w:hAnsi="Arial Narrow"/>
          <w:sz w:val="22"/>
          <w:szCs w:val="22"/>
        </w:rPr>
      </w:pPr>
      <w:r w:rsidRPr="00026163">
        <w:rPr>
          <w:rFonts w:ascii="Arial Narrow" w:hAnsi="Arial Narrow"/>
          <w:sz w:val="22"/>
          <w:szCs w:val="22"/>
        </w:rPr>
        <w:t xml:space="preserve">Súčasne sa okrem uvedených výnimiek realizovali v niektorých kapitolách štátneho rozpočtu aj iné zmeny , ktoré vplývali na predpokladané zníženie osobných výdavkov v celkovej  sume  5 249 tis. eur, ako napr. zníženie osobných výdavkov v kapitole Ministerstva práce, sociálnych vecí a rodiny SR z dôvodu dočasného pridelenia finančných prostriedkov pre úrady práce, zvýšenie výdavkov súvisiacich s novými legislatívnymi normami ako je napr. vytvorenie jednotných kontaktných miest, ďalej na  prevenciu kriminality v kapitole Ministerstva vnútra SR  a pod. </w:t>
      </w:r>
    </w:p>
    <w:p w:rsidR="00026163" w:rsidRPr="00026163" w:rsidP="00026163">
      <w:pPr>
        <w:bidi w:val="0"/>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 xml:space="preserve">Návrh rozpočtu osobných výdavkov na rok 2011 predstavuje sumu 2 069 134 tis. eur pre 139 270 zamestnancov (vrátane špeciálneho školstva  v počte 10 341 osôb s objemom osobných výdavkov 112 597 tis. eur), čo je oproti schválenému rozpočtu na rok 2010 menej o 119 353 tis. eur (5,45 %). Na tomto znížení sa  podieľali rozpočtové organizácie kapitol štátneho rozpočtu  5,53% znížením a príspevkové organizácie 4,16% znížením. </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V súvislosti so znížením osobných výdavkov v roku 2011 až 2013 je ponechané na rozhodnutí  správcov  rozpočtových kapitol, či toto zníženie zabezpečia znížením počtu zamestnancov, redukciou fakultatívnych zložiek odmeňovania, prípadne kombináciou oboch možností.</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8"/>
        <w:rPr>
          <w:rFonts w:ascii="Arial Narrow" w:hAnsi="Arial Narrow"/>
          <w:b/>
          <w:bCs/>
          <w:i/>
          <w:iCs/>
          <w:sz w:val="22"/>
          <w:szCs w:val="22"/>
        </w:rPr>
      </w:pPr>
      <w:r w:rsidRPr="00026163">
        <w:rPr>
          <w:rFonts w:ascii="Arial Narrow" w:hAnsi="Arial Narrow"/>
          <w:b/>
          <w:bCs/>
          <w:sz w:val="22"/>
          <w:szCs w:val="22"/>
        </w:rPr>
        <w:t>Osobné výdavky regionálneho školstva financovaného zo štátneho rozpočtu</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Financovanie zamestnancov regionálneho školstva upravuje zákon č. 597/2003 Z. z. o financovaní základných škôl, stredných škôl a školských zariadení v znení neskorších predpisov. V súlade s týmto zákonom sa na základe rozpisu výdavkov Ministerstvom školstva SR rozpočtujú osobné výdavky pre pedagogických a nepedagogických zamestnancov regionálneho školstva nasledovne:</w:t>
      </w:r>
    </w:p>
    <w:p w:rsidR="00026163" w:rsidP="00026163">
      <w:pPr>
        <w:bidi w:val="0"/>
        <w:jc w:val="both"/>
        <w:rPr>
          <w:rFonts w:ascii="Arial Narrow" w:hAnsi="Arial Narrow"/>
        </w:rPr>
      </w:pPr>
    </w:p>
    <w:tbl>
      <w:tblPr>
        <w:tblStyle w:val="TableNormal"/>
        <w:tblW w:w="0" w:type="auto"/>
        <w:jc w:val="center"/>
        <w:tblCellMar>
          <w:left w:w="0" w:type="dxa"/>
          <w:right w:w="0" w:type="dxa"/>
        </w:tblCellMar>
        <w:tblLook w:val="04A0"/>
      </w:tblPr>
      <w:tblGrid>
        <w:gridCol w:w="4320"/>
        <w:gridCol w:w="1272"/>
        <w:gridCol w:w="1272"/>
        <w:gridCol w:w="1056"/>
        <w:gridCol w:w="579"/>
      </w:tblGrid>
      <w:tr>
        <w:tblPrEx>
          <w:tblW w:w="0" w:type="auto"/>
          <w:jc w:val="center"/>
          <w:tblCellMar>
            <w:left w:w="0" w:type="dxa"/>
            <w:right w:w="0" w:type="dxa"/>
          </w:tblCellMar>
          <w:tblLook w:val="04A0"/>
        </w:tblPrEx>
        <w:trPr>
          <w:trHeight w:val="245"/>
          <w:jc w:val="center"/>
        </w:trPr>
        <w:tc>
          <w:tcPr>
            <w:tcW w:w="4320"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b/>
                <w:bCs/>
                <w:color w:val="000000"/>
                <w:sz w:val="16"/>
                <w:szCs w:val="16"/>
              </w:rPr>
            </w:pPr>
            <w:r>
              <w:rPr>
                <w:rFonts w:ascii="Arial Narrow" w:hAnsi="Arial Narrow"/>
                <w:b/>
                <w:bCs/>
                <w:color w:val="000000"/>
                <w:sz w:val="16"/>
                <w:szCs w:val="16"/>
              </w:rPr>
              <w:t>Regionálne školstvo financované z kapitoly MŠ SR</w:t>
            </w:r>
          </w:p>
        </w:tc>
        <w:tc>
          <w:tcPr>
            <w:tcW w:w="1272" w:type="dxa"/>
            <w:vMerge w:val="restart"/>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textDirection w:val="lrTb"/>
            <w:vAlign w:val="center"/>
          </w:tcPr>
          <w:p w:rsidR="00026163">
            <w:pPr>
              <w:autoSpaceDE w:val="0"/>
              <w:autoSpaceDN w:val="0"/>
              <w:bidi w:val="0"/>
              <w:jc w:val="center"/>
              <w:rPr>
                <w:rFonts w:ascii="Arial Narrow" w:eastAsia="Calibri" w:hAnsi="Arial Narrow"/>
                <w:b/>
                <w:bCs/>
                <w:color w:val="000000"/>
                <w:sz w:val="16"/>
                <w:szCs w:val="16"/>
              </w:rPr>
            </w:pPr>
            <w:r>
              <w:rPr>
                <w:rFonts w:ascii="Arial Narrow" w:hAnsi="Arial Narrow"/>
                <w:b/>
                <w:bCs/>
                <w:color w:val="000000"/>
                <w:sz w:val="16"/>
                <w:szCs w:val="16"/>
              </w:rPr>
              <w:t>2010</w:t>
            </w:r>
          </w:p>
        </w:tc>
        <w:tc>
          <w:tcPr>
            <w:tcW w:w="1272" w:type="dxa"/>
            <w:vMerge w:val="restart"/>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textDirection w:val="lrTb"/>
            <w:vAlign w:val="center"/>
          </w:tcPr>
          <w:p w:rsidR="00026163">
            <w:pPr>
              <w:autoSpaceDE w:val="0"/>
              <w:autoSpaceDN w:val="0"/>
              <w:bidi w:val="0"/>
              <w:jc w:val="center"/>
              <w:rPr>
                <w:rFonts w:ascii="Arial Narrow" w:eastAsia="Calibri" w:hAnsi="Arial Narrow"/>
                <w:b/>
                <w:bCs/>
                <w:color w:val="000000"/>
                <w:sz w:val="16"/>
                <w:szCs w:val="16"/>
              </w:rPr>
            </w:pPr>
            <w:r>
              <w:rPr>
                <w:rFonts w:ascii="Arial Narrow" w:hAnsi="Arial Narrow"/>
                <w:b/>
                <w:bCs/>
                <w:color w:val="000000"/>
                <w:sz w:val="16"/>
                <w:szCs w:val="16"/>
              </w:rPr>
              <w:t>2011</w:t>
            </w:r>
          </w:p>
        </w:tc>
        <w:tc>
          <w:tcPr>
            <w:tcW w:w="1635" w:type="dxa"/>
            <w:gridSpan w:val="2"/>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textDirection w:val="lrTb"/>
            <w:vAlign w:val="center"/>
          </w:tcPr>
          <w:p w:rsidR="00026163">
            <w:pPr>
              <w:autoSpaceDE w:val="0"/>
              <w:autoSpaceDN w:val="0"/>
              <w:bidi w:val="0"/>
              <w:jc w:val="center"/>
              <w:rPr>
                <w:rFonts w:ascii="Arial Narrow" w:eastAsia="Calibri" w:hAnsi="Arial Narrow"/>
                <w:b/>
                <w:bCs/>
                <w:color w:val="000000"/>
                <w:sz w:val="16"/>
                <w:szCs w:val="16"/>
              </w:rPr>
            </w:pPr>
            <w:r>
              <w:rPr>
                <w:rFonts w:ascii="Arial Narrow" w:hAnsi="Arial Narrow"/>
                <w:b/>
                <w:bCs/>
                <w:color w:val="000000"/>
                <w:sz w:val="16"/>
                <w:szCs w:val="16"/>
              </w:rPr>
              <w:t>Zmena</w:t>
            </w:r>
          </w:p>
        </w:tc>
      </w:tr>
      <w:tr>
        <w:tblPrEx>
          <w:tblW w:w="0" w:type="auto"/>
          <w:jc w:val="center"/>
          <w:tblCellMar>
            <w:left w:w="0" w:type="dxa"/>
            <w:right w:w="0" w:type="dxa"/>
          </w:tblCellMar>
          <w:tblLook w:val="04A0"/>
        </w:tblPrEx>
        <w:trPr>
          <w:trHeight w:val="245"/>
          <w:jc w:val="center"/>
        </w:trPr>
        <w:tc>
          <w:tcPr>
            <w:tcW w:w="0" w:type="auto"/>
            <w:vMerge/>
            <w:tcBorders>
              <w:top w:val="single" w:sz="8" w:space="0" w:color="auto"/>
              <w:left w:val="single" w:sz="8" w:space="0" w:color="auto"/>
              <w:bottom w:val="single" w:sz="8" w:space="0" w:color="auto"/>
              <w:right w:val="single" w:sz="8" w:space="0" w:color="auto"/>
            </w:tcBorders>
            <w:textDirection w:val="lrTb"/>
            <w:vAlign w:val="center"/>
          </w:tcPr>
          <w:p w:rsidR="00026163">
            <w:pPr>
              <w:bidi w:val="0"/>
              <w:rPr>
                <w:rFonts w:ascii="Arial Narrow" w:eastAsia="Calibri" w:hAnsi="Arial Narrow"/>
                <w:b/>
                <w:bCs/>
                <w:color w:val="000000"/>
                <w:sz w:val="16"/>
                <w:szCs w:val="16"/>
              </w:rPr>
            </w:pPr>
          </w:p>
        </w:tc>
        <w:tc>
          <w:tcPr>
            <w:tcW w:w="0" w:type="auto"/>
            <w:vMerge/>
            <w:tcBorders>
              <w:top w:val="single" w:sz="8" w:space="0" w:color="auto"/>
              <w:left w:val="nil"/>
              <w:bottom w:val="single" w:sz="8" w:space="0" w:color="auto"/>
              <w:right w:val="single" w:sz="8" w:space="0" w:color="auto"/>
            </w:tcBorders>
            <w:textDirection w:val="lrTb"/>
            <w:vAlign w:val="center"/>
          </w:tcPr>
          <w:p w:rsidR="00026163">
            <w:pPr>
              <w:bidi w:val="0"/>
              <w:rPr>
                <w:rFonts w:ascii="Arial Narrow" w:eastAsia="Calibri" w:hAnsi="Arial Narrow"/>
                <w:b/>
                <w:bCs/>
                <w:color w:val="000000"/>
                <w:sz w:val="16"/>
                <w:szCs w:val="16"/>
              </w:rPr>
            </w:pPr>
          </w:p>
        </w:tc>
        <w:tc>
          <w:tcPr>
            <w:tcW w:w="0" w:type="auto"/>
            <w:vMerge/>
            <w:tcBorders>
              <w:top w:val="single" w:sz="8" w:space="0" w:color="auto"/>
              <w:left w:val="nil"/>
              <w:bottom w:val="single" w:sz="8" w:space="0" w:color="auto"/>
              <w:right w:val="single" w:sz="8" w:space="0" w:color="auto"/>
            </w:tcBorders>
            <w:textDirection w:val="lrTb"/>
            <w:vAlign w:val="center"/>
          </w:tcPr>
          <w:p w:rsidR="00026163">
            <w:pPr>
              <w:bidi w:val="0"/>
              <w:rPr>
                <w:rFonts w:ascii="Arial Narrow" w:eastAsia="Calibri" w:hAnsi="Arial Narrow"/>
                <w:b/>
                <w:bCs/>
                <w:color w:val="000000"/>
                <w:sz w:val="16"/>
                <w:szCs w:val="16"/>
              </w:rPr>
            </w:pPr>
          </w:p>
        </w:tc>
        <w:tc>
          <w:tcPr>
            <w:tcW w:w="1056" w:type="dxa"/>
            <w:tcBorders>
              <w:top w:val="nil"/>
              <w:left w:val="nil"/>
              <w:bottom w:val="single" w:sz="8" w:space="0" w:color="auto"/>
              <w:right w:val="single" w:sz="8" w:space="0" w:color="auto"/>
            </w:tcBorders>
            <w:shd w:val="clear" w:color="auto" w:fill="C0C0C0"/>
            <w:tcMar>
              <w:top w:w="0" w:type="dxa"/>
              <w:left w:w="30" w:type="dxa"/>
              <w:bottom w:w="0" w:type="dxa"/>
              <w:right w:w="30" w:type="dxa"/>
            </w:tcMar>
            <w:textDirection w:val="lrTb"/>
            <w:vAlign w:val="top"/>
          </w:tcPr>
          <w:p w:rsidR="00026163">
            <w:pPr>
              <w:autoSpaceDE w:val="0"/>
              <w:autoSpaceDN w:val="0"/>
              <w:bidi w:val="0"/>
              <w:jc w:val="center"/>
              <w:rPr>
                <w:rFonts w:ascii="Arial Narrow" w:eastAsia="Calibri" w:hAnsi="Arial Narrow"/>
                <w:color w:val="000000"/>
                <w:sz w:val="16"/>
                <w:szCs w:val="16"/>
              </w:rPr>
            </w:pPr>
            <w:r>
              <w:rPr>
                <w:rFonts w:ascii="Arial Narrow" w:hAnsi="Arial Narrow"/>
                <w:color w:val="000000"/>
                <w:sz w:val="16"/>
                <w:szCs w:val="16"/>
              </w:rPr>
              <w:t>v eur</w:t>
            </w:r>
          </w:p>
        </w:tc>
        <w:tc>
          <w:tcPr>
            <w:tcW w:w="579" w:type="dxa"/>
            <w:tcBorders>
              <w:top w:val="nil"/>
              <w:left w:val="nil"/>
              <w:bottom w:val="single" w:sz="8" w:space="0" w:color="auto"/>
              <w:right w:val="single" w:sz="8" w:space="0" w:color="auto"/>
            </w:tcBorders>
            <w:shd w:val="clear" w:color="auto" w:fill="C0C0C0"/>
            <w:tcMar>
              <w:top w:w="0" w:type="dxa"/>
              <w:left w:w="30" w:type="dxa"/>
              <w:bottom w:w="0" w:type="dxa"/>
              <w:right w:w="30" w:type="dxa"/>
            </w:tcMar>
            <w:textDirection w:val="lrTb"/>
            <w:vAlign w:val="top"/>
          </w:tcPr>
          <w:p w:rsidR="00026163">
            <w:pPr>
              <w:autoSpaceDE w:val="0"/>
              <w:autoSpaceDN w:val="0"/>
              <w:bidi w:val="0"/>
              <w:jc w:val="center"/>
              <w:rPr>
                <w:rFonts w:ascii="Arial Narrow" w:eastAsia="Calibri" w:hAnsi="Arial Narrow"/>
                <w:color w:val="000000"/>
                <w:sz w:val="16"/>
                <w:szCs w:val="16"/>
              </w:rPr>
            </w:pPr>
            <w:r>
              <w:rPr>
                <w:rFonts w:ascii="Arial Narrow" w:hAnsi="Arial Narrow"/>
                <w:color w:val="000000"/>
                <w:sz w:val="16"/>
                <w:szCs w:val="16"/>
              </w:rPr>
              <w:t>%</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Počet zamestnancov</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86 549</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86 549</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top"/>
          </w:tcPr>
          <w:p w:rsidR="00026163">
            <w:pPr>
              <w:autoSpaceDE w:val="0"/>
              <w:autoSpaceDN w:val="0"/>
              <w:bidi w:val="0"/>
              <w:jc w:val="right"/>
              <w:rPr>
                <w:rFonts w:ascii="Arial Narrow" w:eastAsia="Calibri" w:hAnsi="Arial Narrow"/>
                <w:color w:val="000000"/>
                <w:sz w:val="16"/>
                <w:szCs w:val="16"/>
              </w:rPr>
            </w:pP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Priemerná mesačný mzdový výdavok</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718,98</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721,30</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2,32</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0,32</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b/>
                <w:bCs/>
                <w:color w:val="000000"/>
                <w:sz w:val="16"/>
                <w:szCs w:val="16"/>
              </w:rPr>
            </w:pPr>
            <w:r>
              <w:rPr>
                <w:rFonts w:ascii="Arial Narrow" w:hAnsi="Arial Narrow"/>
                <w:b/>
                <w:bCs/>
                <w:color w:val="000000"/>
                <w:sz w:val="16"/>
                <w:szCs w:val="16"/>
              </w:rPr>
              <w:t>Osobné výdavky RŠ</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1 009 571 172</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1 010 430 302</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859 130</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0,09</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 xml:space="preserve">Mzdy </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746 724 239</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749 133 490</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2 409 251</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0,32</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Odvody</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262 846 933</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261 296 812</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-1 550 121</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-0,59</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000000"/>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i/>
                <w:iCs/>
                <w:color w:val="000000"/>
                <w:sz w:val="16"/>
                <w:szCs w:val="16"/>
              </w:rPr>
            </w:pPr>
            <w:r>
              <w:rPr>
                <w:rFonts w:ascii="Arial Narrow" w:hAnsi="Arial Narrow"/>
                <w:i/>
                <w:iCs/>
                <w:color w:val="000000"/>
                <w:sz w:val="16"/>
                <w:szCs w:val="16"/>
              </w:rPr>
              <w:t>z toho:</w:t>
            </w:r>
          </w:p>
        </w:tc>
        <w:tc>
          <w:tcPr>
            <w:tcW w:w="1272" w:type="dxa"/>
            <w:tcBorders>
              <w:top w:val="nil"/>
              <w:left w:val="nil"/>
              <w:bottom w:val="single" w:sz="8" w:space="0" w:color="auto"/>
              <w:right w:val="single" w:sz="8" w:space="0" w:color="000000"/>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1272" w:type="dxa"/>
            <w:tcBorders>
              <w:top w:val="nil"/>
              <w:left w:val="nil"/>
              <w:bottom w:val="single" w:sz="8" w:space="0" w:color="auto"/>
              <w:right w:val="single" w:sz="8" w:space="0" w:color="000000"/>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1056" w:type="dxa"/>
            <w:tcBorders>
              <w:top w:val="nil"/>
              <w:left w:val="nil"/>
              <w:bottom w:val="single" w:sz="8" w:space="0" w:color="auto"/>
              <w:right w:val="single" w:sz="8" w:space="0" w:color="000000"/>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top"/>
          </w:tcPr>
          <w:p w:rsidR="00026163">
            <w:pPr>
              <w:autoSpaceDE w:val="0"/>
              <w:autoSpaceDN w:val="0"/>
              <w:bidi w:val="0"/>
              <w:jc w:val="right"/>
              <w:rPr>
                <w:rFonts w:ascii="Arial Narrow" w:eastAsia="Calibri" w:hAnsi="Arial Narrow"/>
                <w:color w:val="000000"/>
                <w:sz w:val="16"/>
                <w:szCs w:val="16"/>
              </w:rPr>
            </w:pPr>
          </w:p>
        </w:tc>
      </w:tr>
      <w:tr>
        <w:tblPrEx>
          <w:tblW w:w="0" w:type="auto"/>
          <w:jc w:val="center"/>
          <w:tblCellMar>
            <w:left w:w="0" w:type="dxa"/>
            <w:right w:w="0" w:type="dxa"/>
          </w:tblCellMar>
          <w:tblLook w:val="04A0"/>
        </w:tblPrEx>
        <w:trPr>
          <w:trHeight w:val="245"/>
          <w:jc w:val="center"/>
        </w:trPr>
        <w:tc>
          <w:tcPr>
            <w:tcW w:w="8499" w:type="dxa"/>
            <w:gridSpan w:val="5"/>
            <w:tcBorders>
              <w:top w:val="nil"/>
              <w:left w:val="single" w:sz="8" w:space="0" w:color="auto"/>
              <w:bottom w:val="single" w:sz="8" w:space="0" w:color="auto"/>
              <w:right w:val="single" w:sz="8" w:space="0" w:color="auto"/>
            </w:tcBorders>
            <w:shd w:val="clear" w:color="auto" w:fill="C0C0C0"/>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b/>
                <w:bCs/>
                <w:color w:val="000000"/>
                <w:sz w:val="16"/>
                <w:szCs w:val="16"/>
              </w:rPr>
              <w:t>Pedagogickí zamestnanci</w:t>
            </w:r>
            <w:r>
              <w:rPr>
                <w:rFonts w:ascii="Arial Narrow" w:hAnsi="Arial Narrow"/>
                <w:color w:val="000000"/>
                <w:sz w:val="16"/>
                <w:szCs w:val="16"/>
              </w:rPr>
              <w:t xml:space="preserve"> </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Počet zamestnancov</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65 000</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65 000</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Priemerná mesačný mzdový výdavok</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806,62</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823,42</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16,80</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2,08</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b/>
                <w:bCs/>
                <w:color w:val="000000"/>
                <w:sz w:val="16"/>
                <w:szCs w:val="16"/>
              </w:rPr>
            </w:pPr>
            <w:r>
              <w:rPr>
                <w:rFonts w:ascii="Arial Narrow" w:hAnsi="Arial Narrow"/>
                <w:b/>
                <w:bCs/>
                <w:color w:val="000000"/>
                <w:sz w:val="16"/>
                <w:szCs w:val="16"/>
              </w:rPr>
              <w:t>Osobné výdavky</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850 589 678</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865 952 484</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15 362 806</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1,81</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 xml:space="preserve">Mzdy </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629 163 963</w:t>
            </w:r>
          </w:p>
        </w:tc>
        <w:tc>
          <w:tcPr>
            <w:tcW w:w="1272" w:type="dxa"/>
            <w:tcBorders>
              <w:top w:val="nil"/>
              <w:left w:val="nil"/>
              <w:bottom w:val="single" w:sz="8" w:space="0" w:color="auto"/>
              <w:right w:val="single" w:sz="8" w:space="0" w:color="auto"/>
            </w:tcBorders>
            <w:shd w:val="clear" w:color="auto" w:fill="FFFFFF"/>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642 271 199</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13 107 236</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2,08</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Odvody</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221 425 715</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223 681 285</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2 255 570</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1,02</w:t>
            </w:r>
          </w:p>
        </w:tc>
      </w:tr>
      <w:tr>
        <w:tblPrEx>
          <w:tblW w:w="0" w:type="auto"/>
          <w:jc w:val="center"/>
          <w:tblCellMar>
            <w:left w:w="0" w:type="dxa"/>
            <w:right w:w="0" w:type="dxa"/>
          </w:tblCellMar>
          <w:tblLook w:val="04A0"/>
        </w:tblPrEx>
        <w:trPr>
          <w:trHeight w:val="245"/>
          <w:jc w:val="center"/>
        </w:trPr>
        <w:tc>
          <w:tcPr>
            <w:tcW w:w="5592" w:type="dxa"/>
            <w:gridSpan w:val="2"/>
            <w:tcBorders>
              <w:top w:val="nil"/>
              <w:left w:val="single" w:sz="8" w:space="0" w:color="auto"/>
              <w:bottom w:val="single" w:sz="8" w:space="0" w:color="auto"/>
              <w:right w:val="single" w:sz="8" w:space="0" w:color="000000"/>
            </w:tcBorders>
            <w:shd w:val="clear" w:color="auto" w:fill="C0C0C0"/>
            <w:textDirection w:val="lrTb"/>
            <w:vAlign w:val="center"/>
          </w:tcPr>
          <w:p w:rsidR="00026163">
            <w:pPr>
              <w:autoSpaceDE w:val="0"/>
              <w:autoSpaceDN w:val="0"/>
              <w:bidi w:val="0"/>
              <w:rPr>
                <w:rFonts w:ascii="Arial Narrow" w:eastAsia="Calibri" w:hAnsi="Arial Narrow"/>
                <w:b/>
                <w:bCs/>
                <w:color w:val="000000"/>
                <w:sz w:val="16"/>
                <w:szCs w:val="16"/>
              </w:rPr>
            </w:pPr>
            <w:r>
              <w:rPr>
                <w:rFonts w:ascii="Arial Narrow" w:hAnsi="Arial Narrow"/>
                <w:b/>
                <w:bCs/>
                <w:color w:val="000000"/>
                <w:sz w:val="16"/>
                <w:szCs w:val="16"/>
              </w:rPr>
              <w:t>Nepedagogickí zamestnanci</w:t>
            </w:r>
          </w:p>
        </w:tc>
        <w:tc>
          <w:tcPr>
            <w:tcW w:w="1272" w:type="dxa"/>
            <w:tcBorders>
              <w:top w:val="nil"/>
              <w:left w:val="nil"/>
              <w:bottom w:val="single" w:sz="8" w:space="0" w:color="auto"/>
              <w:right w:val="single" w:sz="8" w:space="0" w:color="000000"/>
            </w:tcBorders>
            <w:shd w:val="clear" w:color="auto" w:fill="C0C0C0"/>
            <w:tcMar>
              <w:top w:w="0" w:type="dxa"/>
              <w:left w:w="30" w:type="dxa"/>
              <w:bottom w:w="0" w:type="dxa"/>
              <w:right w:w="30" w:type="dxa"/>
            </w:tcMar>
            <w:textDirection w:val="lrTb"/>
            <w:vAlign w:val="top"/>
          </w:tcPr>
          <w:p w:rsidR="00026163">
            <w:pPr>
              <w:autoSpaceDE w:val="0"/>
              <w:autoSpaceDN w:val="0"/>
              <w:bidi w:val="0"/>
              <w:jc w:val="right"/>
              <w:rPr>
                <w:rFonts w:ascii="Arial Narrow" w:eastAsia="Calibri" w:hAnsi="Arial Narrow"/>
                <w:b/>
                <w:bCs/>
                <w:color w:val="000000"/>
                <w:sz w:val="16"/>
                <w:szCs w:val="16"/>
              </w:rPr>
            </w:pPr>
          </w:p>
        </w:tc>
        <w:tc>
          <w:tcPr>
            <w:tcW w:w="1056" w:type="dxa"/>
            <w:tcBorders>
              <w:top w:val="nil"/>
              <w:left w:val="nil"/>
              <w:bottom w:val="single" w:sz="8" w:space="0" w:color="auto"/>
              <w:right w:val="single" w:sz="8" w:space="0" w:color="000000"/>
            </w:tcBorders>
            <w:shd w:val="clear" w:color="auto" w:fill="C0C0C0"/>
            <w:tcMar>
              <w:top w:w="0" w:type="dxa"/>
              <w:left w:w="30" w:type="dxa"/>
              <w:bottom w:w="0" w:type="dxa"/>
              <w:right w:w="30" w:type="dxa"/>
            </w:tcMar>
            <w:textDirection w:val="lrTb"/>
            <w:vAlign w:val="top"/>
          </w:tcPr>
          <w:p w:rsidR="00026163">
            <w:pPr>
              <w:autoSpaceDE w:val="0"/>
              <w:autoSpaceDN w:val="0"/>
              <w:bidi w:val="0"/>
              <w:jc w:val="right"/>
              <w:rPr>
                <w:rFonts w:ascii="Arial Narrow" w:eastAsia="Calibri" w:hAnsi="Arial Narrow"/>
                <w:b/>
                <w:bCs/>
                <w:color w:val="000000"/>
                <w:sz w:val="16"/>
                <w:szCs w:val="16"/>
              </w:rPr>
            </w:pPr>
          </w:p>
        </w:tc>
        <w:tc>
          <w:tcPr>
            <w:tcW w:w="579" w:type="dxa"/>
            <w:tcBorders>
              <w:top w:val="nil"/>
              <w:left w:val="nil"/>
              <w:bottom w:val="single" w:sz="8" w:space="0" w:color="auto"/>
              <w:right w:val="single" w:sz="8" w:space="0" w:color="auto"/>
            </w:tcBorders>
            <w:shd w:val="clear" w:color="auto" w:fill="C0C0C0"/>
            <w:tcMar>
              <w:top w:w="0" w:type="dxa"/>
              <w:left w:w="30" w:type="dxa"/>
              <w:bottom w:w="0" w:type="dxa"/>
              <w:right w:w="30" w:type="dxa"/>
            </w:tcMar>
            <w:textDirection w:val="lrTb"/>
            <w:vAlign w:val="top"/>
          </w:tcPr>
          <w:p w:rsidR="00026163">
            <w:pPr>
              <w:autoSpaceDE w:val="0"/>
              <w:autoSpaceDN w:val="0"/>
              <w:bidi w:val="0"/>
              <w:jc w:val="right"/>
              <w:rPr>
                <w:rFonts w:ascii="Arial Narrow" w:eastAsia="Calibri" w:hAnsi="Arial Narrow"/>
                <w:b/>
                <w:bCs/>
                <w:color w:val="000000"/>
                <w:sz w:val="16"/>
                <w:szCs w:val="16"/>
              </w:rPr>
            </w:pP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Počet zamestnancov</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21 549</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21 549</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Priemerná mesačný mzdový výdavok</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454,62</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413,25</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-41,37</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-9,10</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b/>
                <w:bCs/>
                <w:color w:val="000000"/>
                <w:sz w:val="16"/>
                <w:szCs w:val="16"/>
              </w:rPr>
            </w:pPr>
            <w:r>
              <w:rPr>
                <w:rFonts w:ascii="Arial Narrow" w:hAnsi="Arial Narrow"/>
                <w:b/>
                <w:bCs/>
                <w:color w:val="000000"/>
                <w:sz w:val="16"/>
                <w:szCs w:val="16"/>
              </w:rPr>
              <w:t>Osobné výdavky</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158 981 494</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b/>
                <w:bCs/>
                <w:color w:val="000000"/>
                <w:sz w:val="16"/>
                <w:szCs w:val="16"/>
              </w:rPr>
            </w:pPr>
            <w:r>
              <w:rPr>
                <w:rFonts w:ascii="Arial Narrow" w:hAnsi="Arial Narrow"/>
                <w:b/>
                <w:bCs/>
                <w:color w:val="000000"/>
                <w:sz w:val="16"/>
                <w:szCs w:val="16"/>
              </w:rPr>
              <w:t>144 477 818</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-14 503 676</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-9,12</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 xml:space="preserve">Mzdy </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117 560 276</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106 862 291</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-10 697 985</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-9,10</w:t>
            </w:r>
          </w:p>
        </w:tc>
      </w:tr>
      <w:tr>
        <w:tblPrEx>
          <w:tblW w:w="0" w:type="auto"/>
          <w:jc w:val="center"/>
          <w:tblCellMar>
            <w:left w:w="0" w:type="dxa"/>
            <w:right w:w="0" w:type="dxa"/>
          </w:tblCellMar>
          <w:tblLook w:val="04A0"/>
        </w:tblPrEx>
        <w:trPr>
          <w:trHeight w:val="245"/>
          <w:jc w:val="center"/>
        </w:trPr>
        <w:tc>
          <w:tcPr>
            <w:tcW w:w="4320" w:type="dxa"/>
            <w:tcBorders>
              <w:top w:val="nil"/>
              <w:left w:val="single" w:sz="8" w:space="0" w:color="auto"/>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rPr>
                <w:rFonts w:ascii="Arial Narrow" w:eastAsia="Calibri" w:hAnsi="Arial Narrow"/>
                <w:color w:val="000000"/>
                <w:sz w:val="16"/>
                <w:szCs w:val="16"/>
              </w:rPr>
            </w:pPr>
            <w:r>
              <w:rPr>
                <w:rFonts w:ascii="Arial Narrow" w:hAnsi="Arial Narrow"/>
                <w:color w:val="000000"/>
                <w:sz w:val="16"/>
                <w:szCs w:val="16"/>
              </w:rPr>
              <w:t>Odvody</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41 421 218</w:t>
            </w:r>
          </w:p>
        </w:tc>
        <w:tc>
          <w:tcPr>
            <w:tcW w:w="1272"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37 615 527</w:t>
            </w:r>
          </w:p>
        </w:tc>
        <w:tc>
          <w:tcPr>
            <w:tcW w:w="1056"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-3 805 691</w:t>
            </w:r>
          </w:p>
        </w:tc>
        <w:tc>
          <w:tcPr>
            <w:tcW w:w="579" w:type="dxa"/>
            <w:tcBorders>
              <w:top w:val="nil"/>
              <w:left w:val="nil"/>
              <w:bottom w:val="single" w:sz="8" w:space="0" w:color="auto"/>
              <w:right w:val="single" w:sz="8" w:space="0" w:color="auto"/>
            </w:tcBorders>
            <w:tcMar>
              <w:top w:w="0" w:type="dxa"/>
              <w:left w:w="30" w:type="dxa"/>
              <w:bottom w:w="0" w:type="dxa"/>
              <w:right w:w="30" w:type="dxa"/>
            </w:tcMar>
            <w:textDirection w:val="lrTb"/>
            <w:vAlign w:val="center"/>
          </w:tcPr>
          <w:p w:rsidR="00026163">
            <w:pPr>
              <w:autoSpaceDE w:val="0"/>
              <w:autoSpaceDN w:val="0"/>
              <w:bidi w:val="0"/>
              <w:jc w:val="right"/>
              <w:rPr>
                <w:rFonts w:ascii="Arial Narrow" w:eastAsia="Calibri" w:hAnsi="Arial Narrow"/>
                <w:color w:val="000000"/>
                <w:sz w:val="16"/>
                <w:szCs w:val="16"/>
              </w:rPr>
            </w:pPr>
            <w:r>
              <w:rPr>
                <w:rFonts w:ascii="Arial Narrow" w:hAnsi="Arial Narrow"/>
                <w:color w:val="000000"/>
                <w:sz w:val="16"/>
                <w:szCs w:val="16"/>
              </w:rPr>
              <w:t>-9,19</w:t>
            </w:r>
          </w:p>
        </w:tc>
      </w:tr>
    </w:tbl>
    <w:p w:rsidR="00026163" w:rsidP="00026163">
      <w:pPr>
        <w:bidi w:val="0"/>
        <w:ind w:firstLine="709"/>
        <w:jc w:val="both"/>
        <w:rPr>
          <w:rFonts w:ascii="Arial Narrow" w:eastAsia="Calibri"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V návrhu rozpočtu osobných výdavkov regionálneho školstva financovaného zo štátneho rozpočtu sa pre pedagogických zamestnancov nezohľadnil 10 % pokles osobných výdavkov. Uvedený postup zodpovedá cieľom programového vyhlásenia  vlády SR, ktoré sa týkajú zlepšenia mzdového ohodnotenia pedagogických zamestnancov školstva. Pedagogickým zamestnancom regionálneho školstva sa zachovala úroveň odmeňovania z roku 2010 po zohľadnení dopočtu 1 % valorizácie a súčasne im boli zabezpečené finančné prostriedky súvisiace s uplatnením kreditového systému v sume 6 813 tis. eur.</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8"/>
        <w:jc w:val="both"/>
        <w:rPr>
          <w:rFonts w:ascii="Arial Narrow" w:hAnsi="Arial Narrow"/>
          <w:sz w:val="22"/>
          <w:szCs w:val="22"/>
        </w:rPr>
      </w:pPr>
      <w:r w:rsidRPr="00026163">
        <w:rPr>
          <w:rFonts w:ascii="Arial Narrow" w:hAnsi="Arial Narrow"/>
          <w:sz w:val="22"/>
          <w:szCs w:val="22"/>
        </w:rPr>
        <w:t>Pre nepedagogických zamestnancov regionálneho školstva sa realizovalo 10 % zníženie osobných výdavkov pri súčasnom dopočte valorizácie z roku 2010 vo výške 1 %.</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 xml:space="preserve">Návrh rozpočtu osobných výdavkov v roku 2011 oproti schválenému rozpočtu na rok 2010 vzrástol o 0,09 %, v absolútnom vyjadrení o 859 tis. eur na sumu 1 010 430 tis. eur.  </w:t>
      </w:r>
    </w:p>
    <w:p w:rsidR="00026163" w:rsidRPr="00026163" w:rsidP="00026163">
      <w:pPr>
        <w:bidi w:val="0"/>
        <w:ind w:firstLine="709"/>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Spôsob realizácie zníženia osobných výdavkov zostáva v kompetencii zriaďovateľov škôl a školských zariadení, ktorý sa nemusí prejaviť len v znížení počtu zamestnancov, ale aj v racionalizácii prevádzky škôl a školských zariadení.</w:t>
      </w:r>
    </w:p>
    <w:p w:rsidR="00026163" w:rsidRPr="00026163" w:rsidP="00026163">
      <w:pPr>
        <w:bidi w:val="0"/>
        <w:ind w:firstLine="709"/>
        <w:jc w:val="both"/>
        <w:rPr>
          <w:rFonts w:ascii="Arial Narrow" w:hAnsi="Arial Narrow"/>
          <w:sz w:val="22"/>
          <w:szCs w:val="22"/>
        </w:rPr>
      </w:pPr>
    </w:p>
    <w:p w:rsidR="00026163" w:rsidP="00026163">
      <w:pPr>
        <w:bidi w:val="0"/>
        <w:ind w:firstLine="708"/>
        <w:rPr>
          <w:rFonts w:ascii="Arial Narrow" w:hAnsi="Arial Narrow"/>
          <w:b/>
          <w:bCs/>
          <w:sz w:val="22"/>
          <w:szCs w:val="22"/>
        </w:rPr>
      </w:pPr>
    </w:p>
    <w:p w:rsidR="00026163" w:rsidP="00026163">
      <w:pPr>
        <w:bidi w:val="0"/>
        <w:ind w:firstLine="708"/>
        <w:rPr>
          <w:rFonts w:ascii="Arial Narrow" w:hAnsi="Arial Narrow"/>
          <w:b/>
          <w:bCs/>
          <w:sz w:val="22"/>
          <w:szCs w:val="22"/>
        </w:rPr>
      </w:pPr>
    </w:p>
    <w:p w:rsidR="00026163" w:rsidRPr="00026163" w:rsidP="00026163">
      <w:pPr>
        <w:bidi w:val="0"/>
        <w:ind w:firstLine="708"/>
        <w:rPr>
          <w:rFonts w:ascii="Arial Narrow" w:hAnsi="Arial Narrow"/>
          <w:b/>
          <w:bCs/>
          <w:i/>
          <w:iCs/>
          <w:sz w:val="22"/>
          <w:szCs w:val="22"/>
        </w:rPr>
      </w:pPr>
      <w:r w:rsidRPr="00026163">
        <w:rPr>
          <w:rFonts w:ascii="Arial Narrow" w:hAnsi="Arial Narrow"/>
          <w:b/>
          <w:bCs/>
          <w:sz w:val="22"/>
          <w:szCs w:val="22"/>
        </w:rPr>
        <w:t>Osobné výdavky verejných vysokých škôl</w:t>
      </w:r>
    </w:p>
    <w:p w:rsidR="00026163" w:rsidRPr="00026163" w:rsidP="00026163">
      <w:pPr>
        <w:bidi w:val="0"/>
        <w:jc w:val="both"/>
        <w:rPr>
          <w:rFonts w:ascii="Arial Narrow" w:hAnsi="Arial Narrow"/>
          <w:sz w:val="22"/>
          <w:szCs w:val="22"/>
        </w:rPr>
      </w:pPr>
    </w:p>
    <w:p w:rsidR="00026163" w:rsidRPr="00026163" w:rsidP="00026163">
      <w:pPr>
        <w:bidi w:val="0"/>
        <w:ind w:firstLine="709"/>
        <w:jc w:val="both"/>
        <w:rPr>
          <w:rFonts w:ascii="Arial Narrow" w:hAnsi="Arial Narrow"/>
          <w:sz w:val="22"/>
          <w:szCs w:val="22"/>
        </w:rPr>
      </w:pPr>
      <w:r w:rsidRPr="00026163">
        <w:rPr>
          <w:rFonts w:ascii="Arial Narrow" w:hAnsi="Arial Narrow"/>
          <w:sz w:val="22"/>
          <w:szCs w:val="22"/>
        </w:rPr>
        <w:t xml:space="preserve">Zákon o verejných vysokých školách, v zmysle ich  samosprávnej pôsobnosti, upravuje okrem iných oblastí aj hospodárenie verejných vysokých škôl. Z uvedeného autonómneho postavenia verejných vysokých škôl vychádza aj  rozpis finančných prostriedkov na osobné výdavky rozpočtované v návrhu rozpočtu na rok 2011 až 2013. Návrh rozpočtu osobných výdavkov verejných vysokých škôl v roku 2011 oproti schválenému rozpočtu na rok  2010 predpokladá rast osobných výdavkov o 4,31 % (12 123  tis. eur) na sumu  293 113 tis. eur pre 21 529 zamestnancov. </w:t>
      </w:r>
    </w:p>
    <w:p w:rsidR="003156E9" w:rsidP="003156E9">
      <w:pPr>
        <w:bidi w:val="0"/>
        <w:ind w:firstLine="708"/>
        <w:jc w:val="both"/>
        <w:rPr>
          <w:rFonts w:ascii="Arial Narrow" w:hAnsi="Arial Narrow" w:cs="Arial Narrow"/>
          <w:sz w:val="22"/>
          <w:szCs w:val="22"/>
        </w:rPr>
      </w:pPr>
      <w:bookmarkEnd w:id="61"/>
    </w:p>
    <w:p w:rsidR="00026163" w:rsidP="003156E9">
      <w:pPr>
        <w:bidi w:val="0"/>
        <w:ind w:firstLine="708"/>
        <w:jc w:val="both"/>
        <w:rPr>
          <w:rFonts w:ascii="Arial Narrow" w:hAnsi="Arial Narrow" w:cs="Arial Narrow"/>
          <w:sz w:val="22"/>
          <w:szCs w:val="22"/>
        </w:rPr>
      </w:pPr>
    </w:p>
    <w:p w:rsidR="00DE1A34" w:rsidRPr="00F930C1" w:rsidP="00DE1A34">
      <w:pPr>
        <w:pStyle w:val="Heading2"/>
        <w:bidi w:val="0"/>
        <w:spacing w:before="0" w:after="0"/>
        <w:rPr>
          <w:rFonts w:ascii="Arial Narrow" w:hAnsi="Arial Narrow" w:cs="Arial Narrow"/>
          <w:i w:val="0"/>
          <w:iCs w:val="0"/>
          <w:sz w:val="24"/>
          <w:szCs w:val="24"/>
        </w:rPr>
      </w:pPr>
      <w:bookmarkStart w:id="63" w:name="_Toc273979624"/>
      <w:r w:rsidRPr="00DE1A34" w:rsidR="00F930C1">
        <w:rPr>
          <w:rFonts w:ascii="Arial Narrow" w:hAnsi="Arial Narrow" w:cs="Arial Narrow"/>
          <w:i w:val="0"/>
          <w:iCs w:val="0"/>
          <w:sz w:val="24"/>
          <w:szCs w:val="24"/>
        </w:rPr>
        <w:t>4.</w:t>
      </w:r>
      <w:r w:rsidR="00DB4442">
        <w:rPr>
          <w:rFonts w:ascii="Arial Narrow" w:hAnsi="Arial Narrow" w:cs="Arial Narrow"/>
          <w:i w:val="0"/>
          <w:iCs w:val="0"/>
          <w:sz w:val="24"/>
          <w:szCs w:val="24"/>
        </w:rPr>
        <w:t>3</w:t>
      </w:r>
      <w:r w:rsidRPr="00DE1A34" w:rsidR="00F930C1">
        <w:rPr>
          <w:rFonts w:ascii="Arial Narrow" w:hAnsi="Arial Narrow" w:cs="Arial Narrow"/>
          <w:i w:val="0"/>
          <w:iCs w:val="0"/>
          <w:sz w:val="24"/>
          <w:szCs w:val="24"/>
        </w:rPr>
        <w:t xml:space="preserve">. Rozpočtovanie výdavkov podľa </w:t>
      </w:r>
      <w:r w:rsidRPr="00DE1A34">
        <w:rPr>
          <w:rFonts w:ascii="Arial Narrow" w:hAnsi="Arial Narrow" w:cs="Arial Narrow"/>
          <w:i w:val="0"/>
          <w:iCs w:val="0"/>
          <w:sz w:val="24"/>
          <w:szCs w:val="24"/>
        </w:rPr>
        <w:t>kapitol štátneho rozpočtu</w:t>
      </w:r>
      <w:bookmarkEnd w:id="63"/>
    </w:p>
    <w:p w:rsidR="00DB4442" w:rsidP="001E5B24">
      <w:pPr>
        <w:pBdr>
          <w:bottom w:val="single" w:sz="4" w:space="1" w:color="auto"/>
        </w:pBd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bookmarkStart w:id="64" w:name="_Toc148255259"/>
      <w:bookmarkStart w:id="65" w:name="_Toc174871976"/>
      <w:bookmarkStart w:id="66" w:name="_Toc206478411"/>
    </w:p>
    <w:p w:rsidR="00026163" w:rsidP="001E5B24">
      <w:pPr>
        <w:pBdr>
          <w:bottom w:val="single" w:sz="4" w:space="1" w:color="auto"/>
        </w:pBd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p>
    <w:p w:rsidR="001E5B24" w:rsidRPr="00C12067" w:rsidP="001E5B24">
      <w:pPr>
        <w:pBdr>
          <w:bottom w:val="single" w:sz="4" w:space="1" w:color="auto"/>
        </w:pBd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r>
        <w:rPr>
          <w:rFonts w:ascii="Arial Narrow" w:hAnsi="Arial Narrow" w:cs="Arial Narrow"/>
          <w:b/>
          <w:bCs/>
          <w:color w:val="000000"/>
          <w:sz w:val="22"/>
          <w:szCs w:val="22"/>
        </w:rPr>
        <w:t>Ministerstvo práce, sociálnych vecí a rodiny SR</w:t>
      </w:r>
      <w:r w:rsidRPr="00C12067">
        <w:rPr>
          <w:rFonts w:ascii="Arial Narrow" w:hAnsi="Arial Narrow" w:cs="Arial Narrow"/>
          <w:b/>
          <w:bCs/>
          <w:color w:val="000000"/>
          <w:sz w:val="22"/>
          <w:szCs w:val="22"/>
        </w:rPr>
        <w:t xml:space="preserve"> </w:t>
      </w:r>
    </w:p>
    <w:p w:rsidR="001E5B24" w:rsidP="001E5B24">
      <w:pPr>
        <w:bidi w:val="0"/>
        <w:jc w:val="both"/>
        <w:outlineLvl w:val="0"/>
        <w:rPr>
          <w:rFonts w:ascii="Arial Narrow" w:hAnsi="Arial Narrow" w:cs="Arial Narrow"/>
          <w:b/>
          <w:bCs/>
          <w:sz w:val="22"/>
          <w:szCs w:val="22"/>
          <w:u w:val="single"/>
        </w:rPr>
      </w:pPr>
    </w:p>
    <w:p w:rsidR="001E5B24" w:rsidRPr="00480C5A"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sz w:val="22"/>
          <w:szCs w:val="22"/>
        </w:rPr>
      </w:pPr>
      <w:r>
        <w:rPr>
          <w:rFonts w:ascii="Arial Narrow" w:hAnsi="Arial Narrow" w:cs="Arial Narrow"/>
          <w:sz w:val="22"/>
          <w:szCs w:val="22"/>
        </w:rPr>
        <w:tab/>
        <w:t>Rozpočet na rok 2011 zohľadňuje legislatívne zmeny prijaté v roku 2010 a vytvára priestor na splnenie cieľov a úloh Programového vyhlásenia vlády SR.</w:t>
      </w:r>
    </w:p>
    <w:p w:rsidR="001E5B24" w:rsidRPr="005F090E" w:rsidP="001E5B24">
      <w:pPr>
        <w:bidi w:val="0"/>
        <w:jc w:val="both"/>
        <w:outlineLvl w:val="0"/>
        <w:rPr>
          <w:rFonts w:ascii="Arial" w:hAnsi="Arial" w:cs="Arial"/>
          <w:color w:val="000000"/>
          <w:sz w:val="20"/>
          <w:szCs w:val="20"/>
        </w:rPr>
      </w:pPr>
    </w:p>
    <w:tbl>
      <w:tblPr>
        <w:tblStyle w:val="TableNormal"/>
        <w:tblW w:w="91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700"/>
        <w:gridCol w:w="1339"/>
        <w:gridCol w:w="1015"/>
        <w:gridCol w:w="1015"/>
        <w:gridCol w:w="1015"/>
        <w:gridCol w:w="1015"/>
        <w:gridCol w:w="1015"/>
      </w:tblGrid>
      <w:tr>
        <w:tblPrEx>
          <w:tblW w:w="91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Zdroje príslušnej kapitoly</w:t>
            </w:r>
          </w:p>
        </w:tc>
        <w:tc>
          <w:tcPr>
            <w:tcW w:w="1339"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1 682 170</w:t>
            </w:r>
          </w:p>
        </w:tc>
        <w:tc>
          <w:tcPr>
            <w:tcW w:w="10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1 814 744</w:t>
            </w:r>
          </w:p>
        </w:tc>
        <w:tc>
          <w:tcPr>
            <w:tcW w:w="10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1 967 688</w:t>
            </w:r>
          </w:p>
        </w:tc>
        <w:tc>
          <w:tcPr>
            <w:tcW w:w="10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2 010 892</w:t>
            </w:r>
          </w:p>
        </w:tc>
        <w:tc>
          <w:tcPr>
            <w:tcW w:w="10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2 065 114</w:t>
            </w:r>
          </w:p>
        </w:tc>
        <w:tc>
          <w:tcPr>
            <w:tcW w:w="10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9731C7" w:rsidP="001E5B24">
            <w:pPr>
              <w:bidi w:val="0"/>
              <w:jc w:val="right"/>
              <w:rPr>
                <w:rFonts w:ascii="Arial Narrow" w:hAnsi="Arial Narrow" w:cs="Arial Narrow"/>
                <w:b/>
                <w:bCs/>
                <w:color w:val="000000"/>
                <w:sz w:val="16"/>
                <w:szCs w:val="16"/>
                <w:lang w:eastAsia="sk-SK"/>
              </w:rPr>
            </w:pPr>
            <w:r w:rsidRPr="009731C7">
              <w:rPr>
                <w:rFonts w:ascii="Arial Narrow" w:hAnsi="Arial Narrow" w:cs="Arial Narrow"/>
                <w:b/>
                <w:bCs/>
                <w:color w:val="000000"/>
                <w:sz w:val="16"/>
                <w:szCs w:val="16"/>
                <w:lang w:eastAsia="sk-SK"/>
              </w:rPr>
              <w:t>2 129 526</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z toho:</w:t>
            </w:r>
          </w:p>
        </w:tc>
        <w:tc>
          <w:tcPr>
            <w:tcW w:w="133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c>
          <w:tcPr>
            <w:tcW w:w="10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c>
          <w:tcPr>
            <w:tcW w:w="10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c>
          <w:tcPr>
            <w:tcW w:w="10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c>
          <w:tcPr>
            <w:tcW w:w="10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c>
          <w:tcPr>
            <w:tcW w:w="10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 xml:space="preserve">rozpočtové zdroje kapitoly </w:t>
            </w:r>
          </w:p>
        </w:tc>
        <w:tc>
          <w:tcPr>
            <w:tcW w:w="1339"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1 539 286</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1 661 348</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1 815 752</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1 850 593</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1 898 094</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1 958 666</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presun z min. rokov (§8)</w:t>
            </w:r>
          </w:p>
        </w:tc>
        <w:tc>
          <w:tcPr>
            <w:tcW w:w="1339"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3 083</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1 959</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EÚ prostriedky</w:t>
            </w:r>
          </w:p>
        </w:tc>
        <w:tc>
          <w:tcPr>
            <w:tcW w:w="1339"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105 002</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117 701</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129 146</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136 230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141 941</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145 202</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spolufinancovanie</w:t>
            </w:r>
          </w:p>
        </w:tc>
        <w:tc>
          <w:tcPr>
            <w:tcW w:w="1339"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32 981</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32 170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22 790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24 069</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25 079</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25 658</w:t>
            </w:r>
          </w:p>
        </w:tc>
      </w:tr>
      <w:tr>
        <w:tblPrEx>
          <w:tblW w:w="9114" w:type="dxa"/>
          <w:tblInd w:w="55" w:type="dxa"/>
          <w:tblCellMar>
            <w:left w:w="70" w:type="dxa"/>
            <w:right w:w="70" w:type="dxa"/>
          </w:tblCellMar>
          <w:tblLook w:val="00A0"/>
        </w:tblPrEx>
        <w:trPr>
          <w:trHeight w:val="240"/>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9731C7" w:rsidP="001E5B24">
            <w:pPr>
              <w:bidi w:val="0"/>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iné zdroje*</w:t>
            </w:r>
          </w:p>
        </w:tc>
        <w:tc>
          <w:tcPr>
            <w:tcW w:w="1339"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1 818</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1 566</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c>
          <w:tcPr>
            <w:tcW w:w="1015" w:type="dxa"/>
            <w:tcBorders>
              <w:top w:val="single" w:sz="4" w:space="0" w:color="auto"/>
              <w:left w:val="single" w:sz="4" w:space="0" w:color="auto"/>
              <w:bottom w:val="single" w:sz="4" w:space="0" w:color="auto"/>
              <w:right w:val="single" w:sz="4" w:space="0" w:color="auto"/>
            </w:tcBorders>
            <w:textDirection w:val="lrTb"/>
            <w:vAlign w:val="bottom"/>
          </w:tcPr>
          <w:p w:rsidR="001E5B24" w:rsidRPr="009731C7" w:rsidP="001E5B24">
            <w:pPr>
              <w:bidi w:val="0"/>
              <w:jc w:val="right"/>
              <w:rPr>
                <w:rFonts w:ascii="Arial Narrow" w:hAnsi="Arial Narrow" w:cs="Arial Narrow"/>
                <w:color w:val="000000"/>
                <w:sz w:val="16"/>
                <w:szCs w:val="16"/>
                <w:lang w:eastAsia="sk-SK"/>
              </w:rPr>
            </w:pPr>
            <w:r w:rsidRPr="009731C7">
              <w:rPr>
                <w:rFonts w:ascii="Arial Narrow" w:hAnsi="Arial Narrow" w:cs="Arial Narrow"/>
                <w:color w:val="000000"/>
                <w:sz w:val="16"/>
                <w:szCs w:val="16"/>
                <w:lang w:eastAsia="sk-SK"/>
              </w:rPr>
              <w:t>0</w:t>
            </w:r>
          </w:p>
        </w:tc>
      </w:tr>
    </w:tbl>
    <w:p w:rsidR="001E5B24" w:rsidRPr="009731C7" w:rsidP="001E5B24">
      <w:pPr>
        <w:bidi w:val="0"/>
        <w:jc w:val="both"/>
        <w:rPr>
          <w:rFonts w:ascii="Arial Narrow" w:hAnsi="Arial Narrow" w:cs="Arial Narrow"/>
          <w:sz w:val="16"/>
          <w:szCs w:val="16"/>
          <w:lang w:eastAsia="sk-SK"/>
        </w:rPr>
      </w:pPr>
      <w:r w:rsidRPr="009731C7">
        <w:rPr>
          <w:rFonts w:ascii="Arial Narrow" w:hAnsi="Arial Narrow" w:cs="Arial Narrow"/>
          <w:sz w:val="16"/>
          <w:szCs w:val="16"/>
          <w:lang w:eastAsia="sk-SK"/>
        </w:rPr>
        <w:t>*úver Svetovej Banky, zdroje zo zahraničia (nenávratné), iné zdroje</w:t>
      </w:r>
    </w:p>
    <w:p w:rsidR="001E5B24"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p>
    <w:p w:rsidR="001E5B24" w:rsidP="001E5B24">
      <w:pPr>
        <w:bidi w:val="0"/>
        <w:ind w:firstLine="708"/>
        <w:jc w:val="both"/>
        <w:rPr>
          <w:rFonts w:ascii="Arial Narrow" w:hAnsi="Arial Narrow" w:cs="Arial Narrow"/>
          <w:sz w:val="22"/>
          <w:szCs w:val="22"/>
        </w:rPr>
      </w:pPr>
      <w:r w:rsidRPr="00084BEA">
        <w:rPr>
          <w:rFonts w:ascii="Arial Narrow" w:hAnsi="Arial Narrow" w:cs="Arial Narrow"/>
          <w:sz w:val="22"/>
          <w:szCs w:val="22"/>
        </w:rPr>
        <w:t>Celkové výdavky kapitoly Ministerstva práce, sociálnych vecí a rodiny SR sú pre rok 2011 rozpočtované v objeme 2,01 mld. eur. V porovnaní so schváleným rozpočtom na rok 2010 tak medziročne rastú o 2,20%</w:t>
      </w:r>
      <w:r>
        <w:rPr>
          <w:rFonts w:ascii="Arial Narrow" w:hAnsi="Arial Narrow" w:cs="Arial Narrow"/>
          <w:sz w:val="22"/>
          <w:szCs w:val="22"/>
        </w:rPr>
        <w:t>.</w:t>
      </w:r>
      <w:r w:rsidRPr="00084BEA">
        <w:rPr>
          <w:rFonts w:ascii="Arial Narrow" w:hAnsi="Arial Narrow" w:cs="Arial Narrow"/>
          <w:sz w:val="22"/>
          <w:szCs w:val="22"/>
        </w:rPr>
        <w:t xml:space="preserve"> Rozpočtové zdroje kapitoly oproti roku 2010 rastú o 1,92%</w:t>
      </w:r>
      <w:r>
        <w:rPr>
          <w:rFonts w:ascii="Arial Narrow" w:hAnsi="Arial Narrow" w:cs="Arial Narrow"/>
          <w:sz w:val="22"/>
          <w:szCs w:val="22"/>
        </w:rPr>
        <w:t>.</w:t>
      </w:r>
      <w:r w:rsidRPr="00084BEA">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EA661B">
        <w:rPr>
          <w:rFonts w:ascii="Arial Narrow" w:hAnsi="Arial Narrow" w:cs="Arial Narrow"/>
          <w:color w:val="000000"/>
          <w:sz w:val="22"/>
          <w:szCs w:val="22"/>
        </w:rPr>
        <w:t>Nárast celkových výdavkov kapitoly ovplyvňuje predovšetkým rast výdavkov na transfery, ktorý predstavuje v</w:t>
      </w:r>
      <w:r>
        <w:rPr>
          <w:rFonts w:ascii="Arial Narrow" w:hAnsi="Arial Narrow" w:cs="Arial Narrow"/>
          <w:color w:val="000000"/>
          <w:sz w:val="22"/>
          <w:szCs w:val="22"/>
        </w:rPr>
        <w:t xml:space="preserve"> porovnaní so schváleným rozpočtom roku 2010 zvýšenie o 3,09%. </w:t>
      </w:r>
      <w:r w:rsidRPr="005711EE">
        <w:rPr>
          <w:rFonts w:ascii="Arial Narrow" w:hAnsi="Arial Narrow" w:cs="Arial Narrow"/>
          <w:sz w:val="22"/>
          <w:szCs w:val="22"/>
        </w:rPr>
        <w:t>Na ich raste</w:t>
      </w:r>
      <w:r>
        <w:rPr>
          <w:rFonts w:ascii="Arial Narrow" w:hAnsi="Arial Narrow" w:cs="Arial Narrow"/>
          <w:sz w:val="22"/>
          <w:szCs w:val="22"/>
        </w:rPr>
        <w:t xml:space="preserve"> sa najvýraznejšou mierou podieľajú výdavky na dávky sociálnej inklúzie, ktoré sú rozpočtované v celkovej sume </w:t>
      </w:r>
      <w:r w:rsidRPr="00B06A04">
        <w:rPr>
          <w:rFonts w:ascii="Arial Narrow" w:hAnsi="Arial Narrow" w:cs="Arial Narrow"/>
          <w:sz w:val="22"/>
          <w:szCs w:val="22"/>
        </w:rPr>
        <w:t>vyššej o</w:t>
      </w:r>
      <w:r>
        <w:rPr>
          <w:rFonts w:ascii="Arial Narrow" w:hAnsi="Arial Narrow" w:cs="Arial Narrow"/>
          <w:sz w:val="22"/>
          <w:szCs w:val="22"/>
        </w:rPr>
        <w:t> 7,09</w:t>
      </w:r>
      <w:r w:rsidRPr="00B06A04">
        <w:rPr>
          <w:rFonts w:ascii="Arial Narrow" w:hAnsi="Arial Narrow" w:cs="Arial Narrow"/>
          <w:sz w:val="22"/>
          <w:szCs w:val="22"/>
        </w:rPr>
        <w:t>%</w:t>
      </w:r>
      <w:r>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r>
        <w:rPr>
          <w:rFonts w:ascii="Arial Narrow" w:hAnsi="Arial Narrow" w:cs="Arial Narrow"/>
          <w:color w:val="000000"/>
          <w:sz w:val="22"/>
          <w:szCs w:val="22"/>
        </w:rPr>
        <w:tab/>
      </w:r>
      <w:r w:rsidRPr="00070631">
        <w:rPr>
          <w:rFonts w:ascii="Arial Narrow" w:hAnsi="Arial Narrow" w:cs="Arial Narrow"/>
          <w:color w:val="000000"/>
          <w:sz w:val="22"/>
          <w:szCs w:val="22"/>
        </w:rPr>
        <w:t xml:space="preserve">Objem osobných výdavkov sa pre rok 2011 rozpočtuje na úrovni 130 mil. </w:t>
      </w:r>
      <w:r>
        <w:rPr>
          <w:rFonts w:ascii="Arial Narrow" w:hAnsi="Arial Narrow" w:cs="Arial Narrow"/>
          <w:color w:val="000000"/>
          <w:sz w:val="22"/>
          <w:szCs w:val="22"/>
        </w:rPr>
        <w:t>eur</w:t>
      </w:r>
      <w:r w:rsidRPr="00070631">
        <w:rPr>
          <w:rFonts w:ascii="Arial Narrow" w:hAnsi="Arial Narrow" w:cs="Arial Narrow"/>
          <w:color w:val="000000"/>
          <w:sz w:val="22"/>
          <w:szCs w:val="22"/>
        </w:rPr>
        <w:t xml:space="preserve">, čo v porovnaní s rokom 2010 predstavuje pokles 8,75 % (12,5 mil. </w:t>
      </w:r>
      <w:r>
        <w:rPr>
          <w:rFonts w:ascii="Arial Narrow" w:hAnsi="Arial Narrow" w:cs="Arial Narrow"/>
          <w:color w:val="000000"/>
          <w:sz w:val="22"/>
          <w:szCs w:val="22"/>
        </w:rPr>
        <w:t xml:space="preserve">eur). </w:t>
      </w:r>
      <w:r w:rsidRPr="00070631">
        <w:rPr>
          <w:rFonts w:ascii="Arial Narrow" w:hAnsi="Arial Narrow" w:cs="Arial Narrow"/>
          <w:color w:val="000000"/>
          <w:sz w:val="22"/>
          <w:szCs w:val="22"/>
        </w:rPr>
        <w:t xml:space="preserve">Medziročný pokles osobných výdavkov je ovplyvnený ich znížením v súvislosti so znížením počtu zamestnancov úradov práce o 350 osôb (UV SR č. 458/2009, prijaté na obdobie 1,5 roka), viazaním osobných výdavkov na úrovni 10 % </w:t>
      </w:r>
      <w:r w:rsidR="008E59B4">
        <w:rPr>
          <w:rFonts w:ascii="Arial Narrow" w:hAnsi="Arial Narrow" w:cs="Arial Narrow"/>
          <w:color w:val="000000"/>
          <w:sz w:val="22"/>
          <w:szCs w:val="22"/>
        </w:rPr>
        <w:t>pre</w:t>
      </w:r>
      <w:r w:rsidRPr="00070631">
        <w:rPr>
          <w:rFonts w:ascii="Arial Narrow" w:hAnsi="Arial Narrow" w:cs="Arial Narrow"/>
          <w:color w:val="000000"/>
          <w:sz w:val="22"/>
          <w:szCs w:val="22"/>
        </w:rPr>
        <w:t> štátnych zamestnancov a zamestnancov pri výkone práce vo verejnom záujme pri zohľadnení dopočtu 1% valorizácie z roku 2010. Zo znižovania bolo vylúčených 1 307 pedagogických zamestnancov s</w:t>
      </w:r>
      <w:r>
        <w:rPr>
          <w:rFonts w:ascii="Arial Narrow" w:hAnsi="Arial Narrow" w:cs="Arial Narrow"/>
          <w:color w:val="000000"/>
          <w:sz w:val="22"/>
          <w:szCs w:val="22"/>
        </w:rPr>
        <w:t xml:space="preserve"> príslušným</w:t>
      </w:r>
      <w:r w:rsidRPr="00070631">
        <w:rPr>
          <w:rFonts w:ascii="Arial Narrow" w:hAnsi="Arial Narrow" w:cs="Arial Narrow"/>
          <w:color w:val="000000"/>
          <w:sz w:val="22"/>
          <w:szCs w:val="22"/>
        </w:rPr>
        <w:t> objemom osobných výdavkov</w:t>
      </w:r>
      <w:r>
        <w:rPr>
          <w:rFonts w:ascii="Arial Narrow" w:hAnsi="Arial Narrow" w:cs="Arial Narrow"/>
          <w:color w:val="000000"/>
          <w:sz w:val="22"/>
          <w:szCs w:val="22"/>
        </w:rPr>
        <w:t>.</w:t>
      </w:r>
      <w:r w:rsidRPr="00070631">
        <w:rPr>
          <w:rFonts w:ascii="Arial Narrow" w:hAnsi="Arial Narrow" w:cs="Arial Narrow"/>
          <w:color w:val="000000"/>
          <w:sz w:val="22"/>
          <w:szCs w:val="22"/>
        </w:rPr>
        <w:t xml:space="preserve"> </w:t>
      </w:r>
      <w:r>
        <w:rPr>
          <w:rFonts w:ascii="Arial Narrow" w:hAnsi="Arial Narrow" w:cs="Arial Narrow"/>
          <w:color w:val="000000"/>
          <w:sz w:val="22"/>
          <w:szCs w:val="22"/>
        </w:rPr>
        <w:t>Z</w:t>
      </w:r>
      <w:r w:rsidRPr="00070631">
        <w:rPr>
          <w:rFonts w:ascii="Arial Narrow" w:hAnsi="Arial Narrow" w:cs="Arial Narrow"/>
          <w:color w:val="000000"/>
          <w:sz w:val="22"/>
          <w:szCs w:val="22"/>
        </w:rPr>
        <w:t>níženie osobných výdavkov</w:t>
      </w:r>
      <w:r>
        <w:rPr>
          <w:rFonts w:ascii="Arial Narrow" w:hAnsi="Arial Narrow" w:cs="Arial Narrow"/>
          <w:color w:val="000000"/>
          <w:sz w:val="22"/>
          <w:szCs w:val="22"/>
        </w:rPr>
        <w:t xml:space="preserve"> o 10%</w:t>
      </w:r>
      <w:r w:rsidRPr="00070631">
        <w:rPr>
          <w:rFonts w:ascii="Arial Narrow" w:hAnsi="Arial Narrow" w:cs="Arial Narrow"/>
          <w:color w:val="000000"/>
          <w:sz w:val="22"/>
          <w:szCs w:val="22"/>
        </w:rPr>
        <w:t xml:space="preserve"> je upravené o sumu 2,28 mil. </w:t>
      </w:r>
      <w:r>
        <w:rPr>
          <w:rFonts w:ascii="Arial Narrow" w:hAnsi="Arial Narrow" w:cs="Arial Narrow"/>
          <w:color w:val="000000"/>
          <w:sz w:val="22"/>
          <w:szCs w:val="22"/>
        </w:rPr>
        <w:t xml:space="preserve">eur pre 223 </w:t>
      </w:r>
      <w:r w:rsidRPr="00070631">
        <w:rPr>
          <w:rFonts w:ascii="Arial Narrow" w:hAnsi="Arial Narrow" w:cs="Arial Narrow"/>
          <w:color w:val="000000"/>
          <w:sz w:val="22"/>
          <w:szCs w:val="22"/>
        </w:rPr>
        <w:t xml:space="preserve">zamestnancov detských domovov z dôvodu </w:t>
      </w:r>
      <w:r>
        <w:rPr>
          <w:rFonts w:ascii="Arial Narrow" w:hAnsi="Arial Narrow" w:cs="Arial Narrow"/>
          <w:color w:val="000000"/>
          <w:sz w:val="22"/>
          <w:szCs w:val="22"/>
        </w:rPr>
        <w:t xml:space="preserve">personálneho </w:t>
      </w:r>
      <w:r w:rsidRPr="00070631">
        <w:rPr>
          <w:rFonts w:ascii="Arial Narrow" w:hAnsi="Arial Narrow" w:cs="Arial Narrow"/>
          <w:color w:val="000000"/>
          <w:sz w:val="22"/>
          <w:szCs w:val="22"/>
        </w:rPr>
        <w:t xml:space="preserve">zabezpečenia </w:t>
      </w:r>
      <w:r>
        <w:rPr>
          <w:rFonts w:ascii="Arial Narrow" w:hAnsi="Arial Narrow" w:cs="Arial Narrow"/>
          <w:color w:val="000000"/>
          <w:sz w:val="22"/>
          <w:szCs w:val="22"/>
        </w:rPr>
        <w:t>výkonu súdnych rozhodnutí</w:t>
      </w:r>
      <w:r w:rsidRPr="00070631">
        <w:rPr>
          <w:rFonts w:ascii="Arial Narrow" w:hAnsi="Arial Narrow" w:cs="Arial Narrow"/>
          <w:color w:val="000000"/>
          <w:sz w:val="22"/>
          <w:szCs w:val="22"/>
        </w:rPr>
        <w:t xml:space="preserve"> v štátnych detských domovoch. </w:t>
      </w:r>
    </w:p>
    <w:p w:rsidR="001E5B24"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p>
    <w:p w:rsidR="001E5B24" w:rsidRPr="00070631"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r>
        <w:rPr>
          <w:rFonts w:ascii="Arial Narrow" w:hAnsi="Arial Narrow" w:cs="Arial Narrow"/>
          <w:color w:val="000000"/>
          <w:sz w:val="22"/>
          <w:szCs w:val="22"/>
        </w:rPr>
        <w:tab/>
        <w:t>Po abstrahovaní od zníženia zamestnancov úradov práce (3,80 mil. eur) a neznižovaní pedagogických zamestnancov (1,62 mil. eur) a zamestnancov detských domovov (2,28 mil. eur) by pokles osobných výdavkov oproti schválenému rozpočtu 2010 bol 7,70%.</w:t>
      </w:r>
    </w:p>
    <w:p w:rsidR="001E5B24"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p>
    <w:p w:rsidR="001E5B24" w:rsidRPr="00084BEA"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r>
        <w:rPr>
          <w:rFonts w:ascii="Arial Narrow" w:hAnsi="Arial Narrow" w:cs="Arial Narrow"/>
          <w:sz w:val="22"/>
          <w:szCs w:val="22"/>
        </w:rPr>
        <w:tab/>
      </w:r>
      <w:r w:rsidRPr="00084BEA">
        <w:rPr>
          <w:rFonts w:ascii="Arial Narrow" w:hAnsi="Arial Narrow" w:cs="Arial Narrow"/>
          <w:sz w:val="22"/>
          <w:szCs w:val="22"/>
        </w:rPr>
        <w:t xml:space="preserve">Na medziročnom raste výdavkov sa </w:t>
      </w:r>
      <w:r>
        <w:rPr>
          <w:rFonts w:ascii="Arial Narrow" w:hAnsi="Arial Narrow" w:cs="Arial Narrow"/>
          <w:sz w:val="22"/>
          <w:szCs w:val="22"/>
        </w:rPr>
        <w:t>výrazne</w:t>
      </w:r>
      <w:r w:rsidRPr="00084BEA">
        <w:rPr>
          <w:rFonts w:ascii="Arial Narrow" w:hAnsi="Arial Narrow" w:cs="Arial Narrow"/>
          <w:sz w:val="22"/>
          <w:szCs w:val="22"/>
        </w:rPr>
        <w:t xml:space="preserve"> podieľajú </w:t>
      </w:r>
      <w:r>
        <w:rPr>
          <w:rFonts w:ascii="Arial Narrow" w:hAnsi="Arial Narrow" w:cs="Arial Narrow"/>
          <w:sz w:val="22"/>
          <w:szCs w:val="22"/>
        </w:rPr>
        <w:t xml:space="preserve">EÚ </w:t>
      </w:r>
      <w:r w:rsidRPr="00084BEA">
        <w:rPr>
          <w:rFonts w:ascii="Arial Narrow" w:hAnsi="Arial Narrow" w:cs="Arial Narrow"/>
          <w:sz w:val="22"/>
          <w:szCs w:val="22"/>
        </w:rPr>
        <w:t xml:space="preserve">zdroje vrátane spolufinancovania, ktoré medziročne rastú o 5,50%. </w:t>
      </w:r>
    </w:p>
    <w:p w:rsidR="001E5B24" w:rsidRPr="00C12067"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p>
    <w:p w:rsidR="001E5B24" w:rsidRPr="00C12067"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color w:val="000000"/>
          <w:sz w:val="22"/>
          <w:szCs w:val="22"/>
        </w:rPr>
      </w:pPr>
      <w:r w:rsidRPr="00C12067">
        <w:rPr>
          <w:rFonts w:ascii="Arial Narrow" w:hAnsi="Arial Narrow" w:cs="Arial Narrow"/>
          <w:color w:val="000000"/>
          <w:sz w:val="22"/>
          <w:szCs w:val="22"/>
        </w:rPr>
        <w:t xml:space="preserve">Sociálna inklúzia </w:t>
      </w:r>
    </w:p>
    <w:p w:rsidR="001E5B24"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p>
    <w:p w:rsidR="00DB4442" w:rsidRPr="00C12067" w:rsidP="001E5B24">
      <w:pPr>
        <w:tabs>
          <w:tab w:val="left" w:pos="0"/>
          <w:tab w:val="left" w:pos="720"/>
          <w:tab w:val="left" w:pos="1440"/>
          <w:tab w:val="left" w:pos="2160"/>
          <w:tab w:val="left" w:pos="2880"/>
          <w:tab w:val="left" w:pos="3600"/>
          <w:tab w:val="left" w:pos="4320"/>
        </w:tabs>
        <w:bidi w:val="0"/>
        <w:adjustRightInd w:val="0"/>
        <w:spacing w:line="240" w:lineRule="atLeast"/>
        <w:jc w:val="both"/>
        <w:rPr>
          <w:rFonts w:ascii="Arial Narrow" w:hAnsi="Arial Narrow" w:cs="Arial Narrow"/>
          <w:b/>
          <w:bCs/>
          <w:color w:val="000000"/>
          <w:sz w:val="22"/>
          <w:szCs w:val="22"/>
        </w:rPr>
      </w:pPr>
    </w:p>
    <w:tbl>
      <w:tblPr>
        <w:tblStyle w:val="TableNormal"/>
        <w:tblW w:w="91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359"/>
        <w:gridCol w:w="957"/>
        <w:gridCol w:w="957"/>
        <w:gridCol w:w="957"/>
        <w:gridCol w:w="957"/>
        <w:gridCol w:w="957"/>
        <w:gridCol w:w="957"/>
      </w:tblGrid>
      <w:tr>
        <w:tblPrEx>
          <w:tblW w:w="91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rPr>
                <w:rFonts w:ascii="Arial Narrow" w:hAnsi="Arial Narrow" w:cs="Arial Narrow"/>
                <w:b/>
                <w:bCs/>
                <w:color w:val="000000"/>
                <w:sz w:val="16"/>
                <w:szCs w:val="16"/>
                <w:lang w:eastAsia="sk-SK"/>
              </w:rPr>
            </w:pPr>
            <w:r>
              <w:rPr>
                <w:rFonts w:ascii="Arial Narrow" w:hAnsi="Arial Narrow" w:cs="Arial Narrow"/>
                <w:b/>
                <w:bCs/>
                <w:color w:val="000000"/>
                <w:sz w:val="16"/>
                <w:szCs w:val="16"/>
                <w:lang w:eastAsia="sk-SK"/>
              </w:rPr>
              <w:t>Sociálna inklúzia celkom</w:t>
            </w:r>
            <w:r w:rsidRPr="002A7807">
              <w:rPr>
                <w:rFonts w:ascii="Arial Narrow" w:hAnsi="Arial Narrow" w:cs="Arial Narrow"/>
                <w:b/>
                <w:bCs/>
                <w:color w:val="000000"/>
                <w:sz w:val="16"/>
                <w:szCs w:val="16"/>
                <w:lang w:eastAsia="sk-SK"/>
              </w:rPr>
              <w:t>, z toho:</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1 331 870</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1 473 384</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1 608 021</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1 722 023</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1 722 412</w:t>
            </w:r>
          </w:p>
        </w:tc>
        <w:tc>
          <w:tcPr>
            <w:tcW w:w="95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A7807" w:rsidP="001E5B24">
            <w:pPr>
              <w:bidi w:val="0"/>
              <w:jc w:val="right"/>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1 785 420</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 xml:space="preserve"> pomoc v hmotnej núdzi</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220 347</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248 955</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287 634</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308 228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311 336</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 xml:space="preserve">313 054 </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 xml:space="preserve"> podpora rodiny   v tom: </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759 427</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859 675</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889 354</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958 017</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940 739</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978 046</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 xml:space="preserve">       platba štátu</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211 088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235 842</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245 384</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231 518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254 195</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266 705</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i/>
                <w:iCs/>
                <w:color w:val="000000"/>
                <w:sz w:val="16"/>
                <w:szCs w:val="16"/>
                <w:lang w:eastAsia="sk-SK"/>
              </w:rPr>
            </w:pPr>
            <w:r>
              <w:rPr>
                <w:rFonts w:ascii="Arial Narrow" w:hAnsi="Arial Narrow" w:cs="Arial Narrow"/>
                <w:i/>
                <w:iCs/>
                <w:color w:val="000000"/>
                <w:sz w:val="16"/>
                <w:szCs w:val="16"/>
                <w:lang w:eastAsia="sk-SK"/>
              </w:rPr>
              <w:t xml:space="preserve">     </w:t>
            </w:r>
            <w:r w:rsidRPr="002A7807">
              <w:rPr>
                <w:rFonts w:ascii="Arial Narrow" w:hAnsi="Arial Narrow" w:cs="Arial Narrow"/>
                <w:i/>
                <w:iCs/>
                <w:color w:val="000000"/>
                <w:sz w:val="16"/>
                <w:szCs w:val="16"/>
                <w:lang w:eastAsia="sk-SK"/>
              </w:rPr>
              <w:t xml:space="preserve">  rodičovský príspevok</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260 323</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269 578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271 794</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350 877</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301 791</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i/>
                <w:iCs/>
                <w:color w:val="000000"/>
                <w:sz w:val="16"/>
                <w:szCs w:val="16"/>
                <w:lang w:eastAsia="sk-SK"/>
              </w:rPr>
            </w:pPr>
            <w:r w:rsidRPr="002A7807">
              <w:rPr>
                <w:rFonts w:ascii="Arial Narrow" w:hAnsi="Arial Narrow" w:cs="Arial Narrow"/>
                <w:i/>
                <w:iCs/>
                <w:color w:val="000000"/>
                <w:sz w:val="16"/>
                <w:szCs w:val="16"/>
                <w:lang w:eastAsia="sk-SK"/>
              </w:rPr>
              <w:t>303 554</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 xml:space="preserve"> kompenzácie ŤZP</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177 947</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184 610</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214 808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227 912</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236 300</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252 196</w:t>
            </w:r>
          </w:p>
        </w:tc>
      </w:tr>
      <w:tr>
        <w:tblPrEx>
          <w:tblW w:w="9101" w:type="dxa"/>
          <w:tblInd w:w="55" w:type="dxa"/>
          <w:tblLayout w:type="fixed"/>
          <w:tblCellMar>
            <w:left w:w="70" w:type="dxa"/>
            <w:right w:w="70" w:type="dxa"/>
          </w:tblCellMar>
          <w:tblLook w:val="00A0"/>
        </w:tblPrEx>
        <w:trPr>
          <w:trHeight w:val="220"/>
        </w:trPr>
        <w:tc>
          <w:tcPr>
            <w:tcW w:w="3359"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 xml:space="preserve"> vianočný príspevok</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56 430</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62 113</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66 756</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68 378</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70 001</w:t>
            </w:r>
          </w:p>
        </w:tc>
        <w:tc>
          <w:tcPr>
            <w:tcW w:w="957" w:type="dxa"/>
            <w:tcBorders>
              <w:top w:val="single" w:sz="4" w:space="0" w:color="auto"/>
              <w:left w:val="single" w:sz="4" w:space="0" w:color="auto"/>
              <w:bottom w:val="single" w:sz="4" w:space="0" w:color="auto"/>
              <w:right w:val="single" w:sz="4" w:space="0" w:color="auto"/>
            </w:tcBorders>
            <w:textDirection w:val="lrTb"/>
            <w:vAlign w:val="bottom"/>
          </w:tcPr>
          <w:p w:rsidR="001E5B24" w:rsidRPr="002A7807" w:rsidP="001E5B24">
            <w:pPr>
              <w:bidi w:val="0"/>
              <w:jc w:val="right"/>
              <w:rPr>
                <w:rFonts w:ascii="Arial Narrow" w:hAnsi="Arial Narrow" w:cs="Arial Narrow"/>
                <w:color w:val="000000"/>
                <w:sz w:val="16"/>
                <w:szCs w:val="16"/>
                <w:lang w:eastAsia="sk-SK"/>
              </w:rPr>
            </w:pPr>
            <w:r w:rsidRPr="002A7807">
              <w:rPr>
                <w:rFonts w:ascii="Arial Narrow" w:hAnsi="Arial Narrow" w:cs="Arial Narrow"/>
                <w:color w:val="000000"/>
                <w:sz w:val="16"/>
                <w:szCs w:val="16"/>
                <w:lang w:eastAsia="sk-SK"/>
              </w:rPr>
              <w:t>71 623</w:t>
            </w:r>
          </w:p>
        </w:tc>
      </w:tr>
    </w:tbl>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7295D">
        <w:rPr>
          <w:rFonts w:ascii="Arial Narrow" w:hAnsi="Arial Narrow" w:cs="Arial Narrow"/>
          <w:sz w:val="22"/>
          <w:szCs w:val="22"/>
        </w:rPr>
        <w:t>V roku 201</w:t>
      </w:r>
      <w:r>
        <w:rPr>
          <w:rFonts w:ascii="Arial Narrow" w:hAnsi="Arial Narrow" w:cs="Arial Narrow"/>
          <w:sz w:val="22"/>
          <w:szCs w:val="22"/>
        </w:rPr>
        <w:t>1</w:t>
      </w:r>
      <w:r w:rsidRPr="0057295D">
        <w:rPr>
          <w:rFonts w:ascii="Arial Narrow" w:hAnsi="Arial Narrow" w:cs="Arial Narrow"/>
          <w:sz w:val="22"/>
          <w:szCs w:val="22"/>
        </w:rPr>
        <w:t xml:space="preserve"> sa budú financovať všetky doposiaľ uplatňované dávky, príspevky v hmotnej núdzi a dotačné programy pre deti z nízkopríjmových skupín. Rozpočtovaný objem výdavkov</w:t>
      </w:r>
      <w:r>
        <w:rPr>
          <w:rFonts w:ascii="Arial Narrow" w:hAnsi="Arial Narrow" w:cs="Arial Narrow"/>
          <w:sz w:val="22"/>
          <w:szCs w:val="22"/>
        </w:rPr>
        <w:t xml:space="preserve"> reaguje na predpoklad prekročenia výdavkov na dávky sociálnej inklúzie a ich dodatočnú potrebu v dôsledku vývoja počtu poberateľov, novej legislatívy, ako aj vplyvu makroekonomických ukazovateľov tak, aby</w:t>
      </w:r>
      <w:r w:rsidRPr="0057295D">
        <w:rPr>
          <w:rFonts w:ascii="Arial Narrow" w:hAnsi="Arial Narrow" w:cs="Arial Narrow"/>
          <w:sz w:val="22"/>
          <w:szCs w:val="22"/>
        </w:rPr>
        <w:t xml:space="preserve"> umožň</w:t>
      </w:r>
      <w:r>
        <w:rPr>
          <w:rFonts w:ascii="Arial Narrow" w:hAnsi="Arial Narrow" w:cs="Arial Narrow"/>
          <w:sz w:val="22"/>
          <w:szCs w:val="22"/>
        </w:rPr>
        <w:t>ovala</w:t>
      </w:r>
      <w:r w:rsidRPr="0057295D">
        <w:rPr>
          <w:rFonts w:ascii="Arial Narrow" w:hAnsi="Arial Narrow" w:cs="Arial Narrow"/>
          <w:sz w:val="22"/>
          <w:szCs w:val="22"/>
        </w:rPr>
        <w:t xml:space="preserve"> celoplošnú valorizáciu </w:t>
      </w:r>
      <w:r>
        <w:rPr>
          <w:rFonts w:ascii="Arial Narrow" w:hAnsi="Arial Narrow" w:cs="Arial Narrow"/>
          <w:sz w:val="22"/>
          <w:szCs w:val="22"/>
        </w:rPr>
        <w:t xml:space="preserve">dávok v zákonnej výške. </w:t>
      </w: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t xml:space="preserve">Rozpočet celkových zdrojov na program Sociálnej inklúzie v roku 2011 v porovnaní so schváleným rozpočtom na rok 2010 rastie o 7,09%. </w:t>
      </w: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04C14">
        <w:rPr>
          <w:rFonts w:ascii="Arial Narrow" w:hAnsi="Arial Narrow" w:cs="Arial Narrow"/>
          <w:sz w:val="22"/>
          <w:szCs w:val="22"/>
        </w:rPr>
        <w:t xml:space="preserve">V roku 2011 sa na pomoc v hmotnej núdzi uvažuje so sumou 308 mil. eur, čo predstavuje nárast o 7,16% </w:t>
      </w:r>
      <w:r>
        <w:rPr>
          <w:rFonts w:ascii="Arial Narrow" w:hAnsi="Arial Narrow" w:cs="Arial Narrow"/>
          <w:sz w:val="22"/>
          <w:szCs w:val="22"/>
        </w:rPr>
        <w:t xml:space="preserve">v porovnaní so schváleným rozpočtom roku </w:t>
      </w:r>
      <w:r w:rsidRPr="00504C14">
        <w:rPr>
          <w:rFonts w:ascii="Arial Narrow" w:hAnsi="Arial Narrow" w:cs="Arial Narrow"/>
          <w:sz w:val="22"/>
          <w:szCs w:val="22"/>
        </w:rPr>
        <w:t>2010.</w:t>
      </w:r>
      <w:r>
        <w:rPr>
          <w:rFonts w:ascii="Arial Narrow" w:hAnsi="Arial Narrow" w:cs="Arial Narrow"/>
          <w:sz w:val="22"/>
          <w:szCs w:val="22"/>
        </w:rPr>
        <w:t xml:space="preserve"> V rozpočtovanej sume tvorí najvýraznejší podiel dávka v hmotnej núdzi, v ktorej sa premieta predpokladaný počet poberateľov 182 721 osôb, čo je o 4 721 osôb viac v porovnaní so schváleným rozpočtom na rok 2010. Valorizácia dávky sa predpokladá vo výške rastu životného minima.</w:t>
      </w: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04C14">
        <w:rPr>
          <w:rFonts w:ascii="Arial Narrow" w:hAnsi="Arial Narrow" w:cs="Arial Narrow"/>
          <w:sz w:val="22"/>
          <w:szCs w:val="22"/>
        </w:rPr>
        <w:t>Obdobne ako v roku 2010 sa na zmiernenie nepriaznivej sociálnej situácie poberateľov dôchodkových dávok rozpočtuje v roku 2011 vianočný príspevok dôchodcom a to vo výške 68,4 mil. eur, čím sa oproti</w:t>
      </w:r>
      <w:r>
        <w:rPr>
          <w:rFonts w:ascii="Arial Narrow" w:hAnsi="Arial Narrow" w:cs="Arial Narrow"/>
          <w:sz w:val="22"/>
          <w:szCs w:val="22"/>
        </w:rPr>
        <w:t xml:space="preserve"> schválenému rozpočtu roku 2010</w:t>
      </w:r>
      <w:r w:rsidRPr="00504C14">
        <w:rPr>
          <w:rFonts w:ascii="Arial Narrow" w:hAnsi="Arial Narrow" w:cs="Arial Narrow"/>
          <w:sz w:val="22"/>
          <w:szCs w:val="22"/>
        </w:rPr>
        <w:t xml:space="preserve"> zvyšuje o 2,43%.</w:t>
      </w: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A1F9C">
        <w:rPr>
          <w:rFonts w:ascii="Arial Narrow" w:hAnsi="Arial Narrow" w:cs="Arial Narrow"/>
          <w:sz w:val="22"/>
          <w:szCs w:val="22"/>
        </w:rPr>
        <w:t xml:space="preserve">Na podporu rodiny sa v roku 2011 rozpočtuje 958 mil. eur, </w:t>
      </w:r>
      <w:r w:rsidR="007C7DA8">
        <w:rPr>
          <w:rFonts w:ascii="Arial Narrow" w:hAnsi="Arial Narrow" w:cs="Arial Narrow"/>
          <w:sz w:val="22"/>
          <w:szCs w:val="22"/>
        </w:rPr>
        <w:t>t. j.</w:t>
      </w:r>
      <w:r w:rsidRPr="005A1F9C">
        <w:rPr>
          <w:rFonts w:ascii="Arial Narrow" w:hAnsi="Arial Narrow" w:cs="Arial Narrow"/>
          <w:sz w:val="22"/>
          <w:szCs w:val="22"/>
        </w:rPr>
        <w:t xml:space="preserve"> o 7,72% viac v porovnaní so schváleným rozpočtom roku 2010. Návrh rozpoč</w:t>
      </w:r>
      <w:r>
        <w:rPr>
          <w:rFonts w:ascii="Arial Narrow" w:hAnsi="Arial Narrow" w:cs="Arial Narrow"/>
          <w:sz w:val="22"/>
          <w:szCs w:val="22"/>
        </w:rPr>
        <w:t>tovanej sumy uvedeného podprogramu</w:t>
      </w:r>
      <w:r w:rsidRPr="005A1F9C">
        <w:rPr>
          <w:rFonts w:ascii="Arial Narrow" w:hAnsi="Arial Narrow" w:cs="Arial Narrow"/>
          <w:sz w:val="22"/>
          <w:szCs w:val="22"/>
        </w:rPr>
        <w:t xml:space="preserve"> zohľadňuje najmä nové legislatívne podmienky pre poskytovanie rodičovského príspevku, vrátane dopočtu prostriedkov na jeho krytie</w:t>
      </w:r>
      <w:r>
        <w:rPr>
          <w:rFonts w:ascii="Arial Narrow" w:hAnsi="Arial Narrow" w:cs="Arial Narrow"/>
          <w:sz w:val="22"/>
          <w:szCs w:val="22"/>
        </w:rPr>
        <w:t xml:space="preserve">, čo predstavuje rast výdavkov </w:t>
      </w:r>
      <w:r w:rsidRPr="005A1F9C">
        <w:rPr>
          <w:rFonts w:ascii="Arial Narrow" w:hAnsi="Arial Narrow" w:cs="Arial Narrow"/>
          <w:sz w:val="22"/>
          <w:szCs w:val="22"/>
        </w:rPr>
        <w:t>o 29,1% v porovnaní so sc</w:t>
      </w:r>
      <w:r>
        <w:rPr>
          <w:rFonts w:ascii="Arial Narrow" w:hAnsi="Arial Narrow" w:cs="Arial Narrow"/>
          <w:sz w:val="22"/>
          <w:szCs w:val="22"/>
        </w:rPr>
        <w:t>hváleným rozpočtom na rok 2010. Uvedená legislatívna zmena spôsobila zvýšenie počtu poberateľov príspevku. Pre rok 2011 sa očakáva 145 320 poberateľov dávky, čo je o 9 555 poberateľov viac ako predpokladal schválený rozpočet na rok 2010. V rámci podpory rodiny je rozpočtovaný aj prídavok na dieťa, ktorého čerpanie sa predpokladá takmer na úrovni schváleného rozpočtu na rok 2010. Rozpočtovaná suma zohľadňuje predpokladaný pokles počtu detí na 1 200 598 a valorizáciu dávky vo väzbe na životné minimum. Celkovú úroveň rozpočtu na podporu rodiny ovplyvňuje aj pokles predpokladanej sumy pre platbu poistného plateného štátom o 5,65% v porovnaní so schváleným rozpočtom na rok 2010, v ktorom je zohľadnený vývoj počtu poistencov s predpokladom jeho poklesu o 9 302 osôb v prepočítanom stave.</w:t>
      </w: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RPr="00504C1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04C14">
        <w:rPr>
          <w:rFonts w:ascii="Arial Narrow" w:hAnsi="Arial Narrow" w:cs="Arial Narrow"/>
          <w:sz w:val="22"/>
          <w:szCs w:val="22"/>
        </w:rPr>
        <w:t xml:space="preserve">Peňažné príspevky na kompenzáciu ťažkého zdravotného postihnutia sú pre rok 2011 uvažované </w:t>
      </w:r>
      <w:r>
        <w:rPr>
          <w:rFonts w:ascii="Arial Narrow" w:hAnsi="Arial Narrow" w:cs="Arial Narrow"/>
          <w:sz w:val="22"/>
          <w:szCs w:val="22"/>
        </w:rPr>
        <w:t xml:space="preserve">pre 222 326 poberateľov, čo je o 6 684 osôb viac oproti predpokladanému počtu poberateľov v roku 2010. Sú rozpočtované </w:t>
      </w:r>
      <w:r w:rsidRPr="00504C14">
        <w:rPr>
          <w:rFonts w:ascii="Arial Narrow" w:hAnsi="Arial Narrow" w:cs="Arial Narrow"/>
          <w:sz w:val="22"/>
          <w:szCs w:val="22"/>
        </w:rPr>
        <w:t xml:space="preserve">v sume 228 mil. eur, </w:t>
      </w:r>
      <w:r w:rsidR="007C7DA8">
        <w:rPr>
          <w:rFonts w:ascii="Arial Narrow" w:hAnsi="Arial Narrow" w:cs="Arial Narrow"/>
          <w:sz w:val="22"/>
          <w:szCs w:val="22"/>
        </w:rPr>
        <w:t>t. j.</w:t>
      </w:r>
      <w:r w:rsidRPr="00504C14">
        <w:rPr>
          <w:rFonts w:ascii="Arial Narrow" w:hAnsi="Arial Narrow" w:cs="Arial Narrow"/>
          <w:sz w:val="22"/>
          <w:szCs w:val="22"/>
        </w:rPr>
        <w:t xml:space="preserve"> o 6,10% vyššej oproti </w:t>
      </w:r>
      <w:r>
        <w:rPr>
          <w:rFonts w:ascii="Arial Narrow" w:hAnsi="Arial Narrow" w:cs="Arial Narrow"/>
          <w:sz w:val="22"/>
          <w:szCs w:val="22"/>
        </w:rPr>
        <w:t>schválenému rozpočtu na rok 2010, v ktorej je zohľadnená i valorizácia dávok vo väzbe na životné minimum.</w:t>
      </w:r>
    </w:p>
    <w:p w:rsidR="001E5B24" w:rsidRPr="0057295D"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tbl>
      <w:tblPr>
        <w:tblStyle w:val="TableNormal"/>
        <w:tblW w:w="90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78"/>
        <w:gridCol w:w="1210"/>
        <w:gridCol w:w="1210"/>
        <w:gridCol w:w="1142"/>
        <w:gridCol w:w="1142"/>
        <w:gridCol w:w="1142"/>
        <w:gridCol w:w="1142"/>
      </w:tblGrid>
      <w:tr>
        <w:tblPrEx>
          <w:tblW w:w="90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14"/>
        </w:trPr>
        <w:tc>
          <w:tcPr>
            <w:tcW w:w="207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66" w:type="dxa"/>
          <w:tblInd w:w="55" w:type="dxa"/>
          <w:tblCellMar>
            <w:left w:w="70" w:type="dxa"/>
            <w:right w:w="70" w:type="dxa"/>
          </w:tblCellMar>
          <w:tblLook w:val="00A0"/>
        </w:tblPrEx>
        <w:trPr>
          <w:trHeight w:val="214"/>
        </w:trPr>
        <w:tc>
          <w:tcPr>
            <w:tcW w:w="207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poistné platené štátom</w:t>
            </w:r>
          </w:p>
        </w:tc>
        <w:tc>
          <w:tcPr>
            <w:tcW w:w="1210"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209 355  </w:t>
            </w:r>
          </w:p>
        </w:tc>
        <w:tc>
          <w:tcPr>
            <w:tcW w:w="1210"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239 153 </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245 384</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231 518</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254 195</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266 705</w:t>
            </w:r>
          </w:p>
        </w:tc>
      </w:tr>
      <w:tr>
        <w:tblPrEx>
          <w:tblW w:w="9066" w:type="dxa"/>
          <w:tblInd w:w="55" w:type="dxa"/>
          <w:tblCellMar>
            <w:left w:w="70" w:type="dxa"/>
            <w:right w:w="70" w:type="dxa"/>
          </w:tblCellMar>
          <w:tblLook w:val="00A0"/>
        </w:tblPrEx>
        <w:trPr>
          <w:trHeight w:val="214"/>
        </w:trPr>
        <w:tc>
          <w:tcPr>
            <w:tcW w:w="207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počet poistencov</w:t>
            </w:r>
          </w:p>
        </w:tc>
        <w:tc>
          <w:tcPr>
            <w:tcW w:w="1210"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178 900 </w:t>
            </w:r>
          </w:p>
        </w:tc>
        <w:tc>
          <w:tcPr>
            <w:tcW w:w="1210"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180 929 </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177 495</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168 193</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167 223</w:t>
            </w:r>
          </w:p>
        </w:tc>
        <w:tc>
          <w:tcPr>
            <w:tcW w:w="114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170 651</w:t>
            </w:r>
          </w:p>
        </w:tc>
      </w:tr>
    </w:tbl>
    <w:p w:rsidR="001E5B24" w:rsidRPr="00C57056"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16"/>
          <w:szCs w:val="16"/>
        </w:rPr>
      </w:pPr>
      <w:r>
        <w:rPr>
          <w:rFonts w:ascii="Arial" w:hAnsi="Arial" w:cs="Arial"/>
          <w:sz w:val="16"/>
          <w:szCs w:val="16"/>
        </w:rPr>
        <w:t xml:space="preserve"> </w:t>
      </w:r>
      <w:r w:rsidRPr="00C57056">
        <w:rPr>
          <w:rFonts w:ascii="Arial Narrow" w:hAnsi="Arial Narrow" w:cs="Arial Narrow"/>
          <w:sz w:val="16"/>
          <w:szCs w:val="16"/>
        </w:rPr>
        <w:t>*rok 2008, 2009 vrátane zúčtovania</w:t>
      </w: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RPr="00C66C9F"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C66C9F">
        <w:rPr>
          <w:rFonts w:ascii="Arial Narrow" w:hAnsi="Arial Narrow" w:cs="Arial Narrow"/>
          <w:sz w:val="22"/>
          <w:szCs w:val="22"/>
        </w:rPr>
        <w:t xml:space="preserve">Poistné platené štátom sa pre rok 2011 rozpočtuje vo výške 232 mil. eur. Uvedená suma </w:t>
      </w:r>
      <w:r>
        <w:rPr>
          <w:rFonts w:ascii="Arial Narrow" w:hAnsi="Arial Narrow" w:cs="Arial Narrow"/>
          <w:sz w:val="22"/>
          <w:szCs w:val="22"/>
        </w:rPr>
        <w:t xml:space="preserve"> v porovnaní so schváleným rozpočtom roku</w:t>
      </w:r>
      <w:r w:rsidRPr="00C66C9F">
        <w:rPr>
          <w:rFonts w:ascii="Arial Narrow" w:hAnsi="Arial Narrow" w:cs="Arial Narrow"/>
          <w:sz w:val="22"/>
          <w:szCs w:val="22"/>
        </w:rPr>
        <w:t xml:space="preserve"> 2010 predstavuje pokles o 5,65</w:t>
      </w:r>
      <w:r>
        <w:rPr>
          <w:rFonts w:ascii="Arial Narrow" w:hAnsi="Arial Narrow" w:cs="Arial Narrow"/>
          <w:sz w:val="22"/>
          <w:szCs w:val="22"/>
        </w:rPr>
        <w:t xml:space="preserve">%. </w:t>
      </w:r>
      <w:r w:rsidRPr="00C66C9F">
        <w:rPr>
          <w:rFonts w:ascii="Arial Narrow" w:hAnsi="Arial Narrow" w:cs="Arial Narrow"/>
          <w:sz w:val="22"/>
          <w:szCs w:val="22"/>
        </w:rPr>
        <w:t>Platba pre poistné platené štátom zohľadňuje legislatívne zmeny vyplývajúce z novely zákona č. 461/2003 Z.</w:t>
      </w:r>
      <w:r>
        <w:rPr>
          <w:rFonts w:ascii="Arial Narrow" w:hAnsi="Arial Narrow" w:cs="Arial Narrow"/>
          <w:sz w:val="22"/>
          <w:szCs w:val="22"/>
        </w:rPr>
        <w:t xml:space="preserve"> </w:t>
      </w:r>
      <w:r w:rsidRPr="00C66C9F">
        <w:rPr>
          <w:rFonts w:ascii="Arial Narrow" w:hAnsi="Arial Narrow" w:cs="Arial Narrow"/>
          <w:sz w:val="22"/>
          <w:szCs w:val="22"/>
        </w:rPr>
        <w:t>z. o sociálnom poistení, ktorá najmä mení súčasný vymeriavací základ pre platbu poistného plateného štátom na ročný variant, pričom bude využívaná priemerná mzda spred dvoch rokov.</w:t>
      </w: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w:hAnsi="Arial" w:cs="Arial"/>
          <w:b/>
          <w:bCs/>
          <w:color w:val="000000"/>
          <w:sz w:val="20"/>
          <w:szCs w:val="20"/>
        </w:rPr>
      </w:pPr>
    </w:p>
    <w:p w:rsidR="001E5B24" w:rsidRPr="00C12067"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color w:val="000000"/>
          <w:sz w:val="22"/>
          <w:szCs w:val="22"/>
        </w:rPr>
      </w:pPr>
      <w:r w:rsidRPr="00C12067">
        <w:rPr>
          <w:rFonts w:ascii="Arial Narrow" w:hAnsi="Arial Narrow" w:cs="Arial Narrow"/>
          <w:color w:val="000000"/>
          <w:sz w:val="22"/>
          <w:szCs w:val="22"/>
        </w:rPr>
        <w:t>Politika zamestnanosti</w:t>
      </w:r>
    </w:p>
    <w:p w:rsidR="001E5B24" w:rsidRPr="00C12067"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color w:val="000000"/>
          <w:sz w:val="22"/>
          <w:szCs w:val="22"/>
          <w:highlight w:val="yellow"/>
        </w:rPr>
      </w:pPr>
    </w:p>
    <w:tbl>
      <w:tblPr>
        <w:tblStyle w:val="TableNormal"/>
        <w:tblW w:w="90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472"/>
        <w:gridCol w:w="1160"/>
        <w:gridCol w:w="1117"/>
        <w:gridCol w:w="1075"/>
        <w:gridCol w:w="1097"/>
        <w:gridCol w:w="1097"/>
        <w:gridCol w:w="1053"/>
      </w:tblGrid>
      <w:tr>
        <w:tblPrEx>
          <w:tblW w:w="90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16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07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09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09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05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71" w:type="dxa"/>
          <w:tblInd w:w="55" w:type="dxa"/>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 xml:space="preserve">Ľudské zdroje </w:t>
            </w:r>
          </w:p>
        </w:tc>
        <w:tc>
          <w:tcPr>
            <w:tcW w:w="1160"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 xml:space="preserve">196 413 </w:t>
            </w:r>
          </w:p>
        </w:tc>
        <w:tc>
          <w:tcPr>
            <w:tcW w:w="111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186 506</w:t>
            </w:r>
          </w:p>
        </w:tc>
        <w:tc>
          <w:tcPr>
            <w:tcW w:w="107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210 265</w:t>
            </w:r>
          </w:p>
        </w:tc>
        <w:tc>
          <w:tcPr>
            <w:tcW w:w="109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154 711</w:t>
            </w:r>
          </w:p>
        </w:tc>
        <w:tc>
          <w:tcPr>
            <w:tcW w:w="1097"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208 391</w:t>
            </w:r>
          </w:p>
        </w:tc>
        <w:tc>
          <w:tcPr>
            <w:tcW w:w="1053"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209 763</w:t>
            </w:r>
          </w:p>
        </w:tc>
      </w:tr>
      <w:tr>
        <w:tblPrEx>
          <w:tblW w:w="9071" w:type="dxa"/>
          <w:tblInd w:w="55" w:type="dxa"/>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EÚ prostriedky</w:t>
            </w:r>
          </w:p>
        </w:tc>
        <w:tc>
          <w:tcPr>
            <w:tcW w:w="1160"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104 834</w:t>
            </w:r>
          </w:p>
        </w:tc>
        <w:tc>
          <w:tcPr>
            <w:tcW w:w="111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113 106</w:t>
            </w:r>
          </w:p>
        </w:tc>
        <w:tc>
          <w:tcPr>
            <w:tcW w:w="1075"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101 384</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107 216</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111 712</w:t>
            </w:r>
          </w:p>
        </w:tc>
        <w:tc>
          <w:tcPr>
            <w:tcW w:w="1053"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114 278</w:t>
            </w:r>
          </w:p>
        </w:tc>
      </w:tr>
      <w:tr>
        <w:tblPrEx>
          <w:tblW w:w="9071" w:type="dxa"/>
          <w:tblInd w:w="55" w:type="dxa"/>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spolufinancovanie</w:t>
            </w:r>
          </w:p>
        </w:tc>
        <w:tc>
          <w:tcPr>
            <w:tcW w:w="1160"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32 961</w:t>
            </w:r>
          </w:p>
        </w:tc>
        <w:tc>
          <w:tcPr>
            <w:tcW w:w="111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31 584</w:t>
            </w:r>
          </w:p>
        </w:tc>
        <w:tc>
          <w:tcPr>
            <w:tcW w:w="1075"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17 891</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 xml:space="preserve">18 943 </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19 738</w:t>
            </w:r>
          </w:p>
        </w:tc>
        <w:tc>
          <w:tcPr>
            <w:tcW w:w="1053"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20 193</w:t>
            </w:r>
          </w:p>
        </w:tc>
      </w:tr>
      <w:tr>
        <w:tblPrEx>
          <w:tblW w:w="9071" w:type="dxa"/>
          <w:tblInd w:w="55" w:type="dxa"/>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 xml:space="preserve">národné programy a úč. prostr. APTP </w:t>
            </w:r>
          </w:p>
        </w:tc>
        <w:tc>
          <w:tcPr>
            <w:tcW w:w="1160"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37 057</w:t>
            </w:r>
          </w:p>
        </w:tc>
        <w:tc>
          <w:tcPr>
            <w:tcW w:w="111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25 426</w:t>
            </w:r>
          </w:p>
        </w:tc>
        <w:tc>
          <w:tcPr>
            <w:tcW w:w="1075"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68 191</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16 821</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73 996</w:t>
            </w:r>
          </w:p>
        </w:tc>
        <w:tc>
          <w:tcPr>
            <w:tcW w:w="1053"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74 008</w:t>
            </w:r>
          </w:p>
        </w:tc>
      </w:tr>
      <w:tr>
        <w:tblPrEx>
          <w:tblW w:w="9071" w:type="dxa"/>
          <w:tblInd w:w="55" w:type="dxa"/>
          <w:tblCellMar>
            <w:left w:w="70" w:type="dxa"/>
            <w:right w:w="70" w:type="dxa"/>
          </w:tblCellMar>
          <w:tblLook w:val="00A0"/>
        </w:tblPrEx>
        <w:trPr>
          <w:trHeight w:val="220"/>
        </w:trPr>
        <w:tc>
          <w:tcPr>
            <w:tcW w:w="2472"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investičné stimuly</w:t>
            </w:r>
          </w:p>
        </w:tc>
        <w:tc>
          <w:tcPr>
            <w:tcW w:w="1160"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21 561</w:t>
            </w:r>
          </w:p>
        </w:tc>
        <w:tc>
          <w:tcPr>
            <w:tcW w:w="111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16 390</w:t>
            </w:r>
          </w:p>
        </w:tc>
        <w:tc>
          <w:tcPr>
            <w:tcW w:w="1075"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22 799</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11 731</w:t>
            </w:r>
          </w:p>
        </w:tc>
        <w:tc>
          <w:tcPr>
            <w:tcW w:w="1097"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2 945</w:t>
            </w:r>
          </w:p>
        </w:tc>
        <w:tc>
          <w:tcPr>
            <w:tcW w:w="1053" w:type="dxa"/>
            <w:tcBorders>
              <w:top w:val="single" w:sz="4" w:space="0" w:color="auto"/>
              <w:left w:val="single" w:sz="4" w:space="0" w:color="auto"/>
              <w:bottom w:val="single" w:sz="4" w:space="0" w:color="auto"/>
              <w:right w:val="single" w:sz="4" w:space="0" w:color="auto"/>
            </w:tcBorders>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1 283</w:t>
            </w:r>
          </w:p>
        </w:tc>
      </w:tr>
    </w:tbl>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highlight w:val="yellow"/>
        </w:rPr>
      </w:pPr>
    </w:p>
    <w:p w:rsidR="001E5B24" w:rsidRPr="00514F3A"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D33D9E">
        <w:rPr>
          <w:rFonts w:ascii="Arial Narrow" w:hAnsi="Arial Narrow" w:cs="Arial Narrow"/>
          <w:sz w:val="22"/>
          <w:szCs w:val="22"/>
        </w:rPr>
        <w:t>V rozpočte na rok 2011</w:t>
      </w:r>
      <w:r>
        <w:rPr>
          <w:rFonts w:ascii="Arial Narrow" w:hAnsi="Arial Narrow" w:cs="Arial Narrow"/>
          <w:sz w:val="22"/>
          <w:szCs w:val="22"/>
        </w:rPr>
        <w:t xml:space="preserve"> je na politiku zamestnanosti (medzirezortný program Ľudské zdroje) rozpočtovaná suma 155 mil. eur, čo v porovnaní so schváleným rozpočtom roku 2010 predstavuje pokles o 26,4%. Na tejto skutočnosti sa podieľa predovšetkým presun prostriedkov z účelových prostriedkov aktívnej politiky trhu práce v sume 56,0 mil. eur na posilnenie výdavkov na dávky sociálnej inklúzie, najmä z dôvodu účinnosti novej legislatívnej úpravy rodičovského príspevku. Účelové prostriedky sú uvoľnené z dôvodu prehodnotenia financovania dotknutých nástrojov aktívnej politiky trhu práce. Ich </w:t>
      </w:r>
      <w:r w:rsidRPr="00514F3A">
        <w:rPr>
          <w:rFonts w:ascii="Arial Narrow" w:hAnsi="Arial Narrow" w:cs="Arial Narrow"/>
          <w:sz w:val="22"/>
          <w:szCs w:val="22"/>
        </w:rPr>
        <w:t xml:space="preserve">financovanie </w:t>
      </w:r>
      <w:r>
        <w:rPr>
          <w:rFonts w:ascii="Arial Narrow" w:hAnsi="Arial Narrow" w:cs="Arial Narrow"/>
          <w:sz w:val="22"/>
          <w:szCs w:val="22"/>
        </w:rPr>
        <w:t xml:space="preserve">sa </w:t>
      </w:r>
      <w:r w:rsidRPr="00514F3A">
        <w:rPr>
          <w:rFonts w:ascii="Arial Narrow" w:hAnsi="Arial Narrow" w:cs="Arial Narrow"/>
          <w:sz w:val="22"/>
          <w:szCs w:val="22"/>
        </w:rPr>
        <w:t xml:space="preserve">predpokladá v rámci alokácie prostriedkov na Operačný program Zamestnanosť a sociálna inklúzia. </w:t>
      </w: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r>
        <w:rPr>
          <w:rFonts w:ascii="Arial Narrow" w:hAnsi="Arial Narrow" w:cs="Arial Narrow"/>
          <w:sz w:val="22"/>
          <w:szCs w:val="22"/>
        </w:rPr>
        <w:tab/>
      </w:r>
      <w:r w:rsidRPr="00514F3A">
        <w:rPr>
          <w:rFonts w:ascii="Arial Narrow" w:hAnsi="Arial Narrow" w:cs="Arial Narrow"/>
          <w:sz w:val="22"/>
          <w:szCs w:val="22"/>
        </w:rPr>
        <w:t xml:space="preserve">V rámci aktívnej politiky trhu práce sa rozpočtujú zdroje na investičné stimuly poskytované formou príspevku na tvorbu nových pracovných miest. V rozpočte na rok 2011 sú zabezpečené zdroje na </w:t>
      </w:r>
      <w:r>
        <w:rPr>
          <w:rFonts w:ascii="Arial Narrow" w:hAnsi="Arial Narrow" w:cs="Arial Narrow"/>
          <w:sz w:val="22"/>
          <w:szCs w:val="22"/>
        </w:rPr>
        <w:t xml:space="preserve">26 </w:t>
      </w:r>
      <w:r w:rsidRPr="00514F3A">
        <w:rPr>
          <w:rFonts w:ascii="Arial Narrow" w:hAnsi="Arial Narrow" w:cs="Arial Narrow"/>
          <w:sz w:val="22"/>
          <w:szCs w:val="22"/>
        </w:rPr>
        <w:t>projekt</w:t>
      </w:r>
      <w:r>
        <w:rPr>
          <w:rFonts w:ascii="Arial Narrow" w:hAnsi="Arial Narrow" w:cs="Arial Narrow"/>
          <w:sz w:val="22"/>
          <w:szCs w:val="22"/>
        </w:rPr>
        <w:t>ov</w:t>
      </w:r>
      <w:r w:rsidRPr="00514F3A">
        <w:rPr>
          <w:rFonts w:ascii="Arial Narrow" w:hAnsi="Arial Narrow" w:cs="Arial Narrow"/>
          <w:sz w:val="22"/>
          <w:szCs w:val="22"/>
        </w:rPr>
        <w:t xml:space="preserve"> schválen</w:t>
      </w:r>
      <w:r>
        <w:rPr>
          <w:rFonts w:ascii="Arial Narrow" w:hAnsi="Arial Narrow" w:cs="Arial Narrow"/>
          <w:sz w:val="22"/>
          <w:szCs w:val="22"/>
        </w:rPr>
        <w:t>ých</w:t>
      </w:r>
      <w:r w:rsidRPr="00514F3A">
        <w:rPr>
          <w:rFonts w:ascii="Arial Narrow" w:hAnsi="Arial Narrow" w:cs="Arial Narrow"/>
          <w:sz w:val="22"/>
          <w:szCs w:val="22"/>
        </w:rPr>
        <w:t xml:space="preserve"> vládou v rokoch 2006 až 20</w:t>
      </w:r>
      <w:r>
        <w:rPr>
          <w:rFonts w:ascii="Arial Narrow" w:hAnsi="Arial Narrow" w:cs="Arial Narrow"/>
          <w:sz w:val="22"/>
          <w:szCs w:val="22"/>
        </w:rPr>
        <w:t>10. V návrhu rozpočtu je vytvorená rezerva na investičné stimuly v sume 500 tis. eur.</w:t>
      </w:r>
      <w:r w:rsidRPr="00FC6EBE">
        <w:rPr>
          <w:rFonts w:ascii="Arial Narrow" w:hAnsi="Arial Narrow" w:cs="Arial Narrow"/>
          <w:sz w:val="22"/>
          <w:szCs w:val="22"/>
        </w:rPr>
        <w:t xml:space="preserve"> </w:t>
      </w:r>
    </w:p>
    <w:p w:rsidR="001E5B24" w:rsidP="001E5B24">
      <w:pPr>
        <w:tabs>
          <w:tab w:val="left" w:pos="0"/>
          <w:tab w:val="left" w:pos="720"/>
          <w:tab w:val="left" w:pos="1440"/>
          <w:tab w:val="left" w:pos="2160"/>
          <w:tab w:val="left" w:pos="2880"/>
          <w:tab w:val="left" w:pos="3600"/>
          <w:tab w:val="left" w:pos="4320"/>
        </w:tabs>
        <w:bidi w:val="0"/>
        <w:adjustRightInd w:val="0"/>
        <w:jc w:val="both"/>
        <w:rPr>
          <w:rFonts w:ascii="Arial Narrow" w:hAnsi="Arial Narrow" w:cs="Arial Narrow"/>
          <w:sz w:val="22"/>
          <w:szCs w:val="22"/>
        </w:rPr>
      </w:pPr>
    </w:p>
    <w:tbl>
      <w:tblPr>
        <w:tblStyle w:val="TableNormal"/>
        <w:tblW w:w="9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679"/>
        <w:gridCol w:w="1468"/>
        <w:gridCol w:w="1468"/>
        <w:gridCol w:w="1468"/>
      </w:tblGrid>
      <w:tr>
        <w:tblPrEx>
          <w:tblW w:w="9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20"/>
        </w:trPr>
        <w:tc>
          <w:tcPr>
            <w:tcW w:w="4679"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2A7807" w:rsidP="001E5B24">
            <w:pPr>
              <w:bidi w:val="0"/>
              <w:rPr>
                <w:rFonts w:ascii="Arial Narrow" w:hAnsi="Arial Narrow" w:cs="Arial Narrow"/>
                <w:b/>
                <w:bCs/>
                <w:color w:val="000000"/>
                <w:sz w:val="16"/>
                <w:szCs w:val="16"/>
                <w:lang w:eastAsia="sk-SK"/>
              </w:rPr>
            </w:pPr>
            <w:r>
              <w:rPr>
                <w:rFonts w:ascii="Arial Narrow" w:hAnsi="Arial Narrow" w:cs="Arial Narrow"/>
                <w:b/>
                <w:bCs/>
                <w:color w:val="000000"/>
                <w:sz w:val="16"/>
                <w:szCs w:val="16"/>
                <w:lang w:eastAsia="sk-SK"/>
              </w:rPr>
              <w:t>(v tis. eur)</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2A7807" w:rsidP="001E5B24">
            <w:pPr>
              <w:bidi w:val="0"/>
              <w:jc w:val="center"/>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2011</w:t>
            </w:r>
            <w:r>
              <w:rPr>
                <w:rFonts w:ascii="Arial Narrow" w:hAnsi="Arial Narrow" w:cs="Arial Narrow"/>
                <w:b/>
                <w:bCs/>
                <w:color w:val="000000"/>
                <w:sz w:val="16"/>
                <w:szCs w:val="16"/>
                <w:lang w:eastAsia="sk-SK"/>
              </w:rPr>
              <w:t xml:space="preserve"> N</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2A7807" w:rsidP="001E5B24">
            <w:pPr>
              <w:bidi w:val="0"/>
              <w:jc w:val="center"/>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2012</w:t>
            </w:r>
            <w:r>
              <w:rPr>
                <w:rFonts w:ascii="Arial Narrow" w:hAnsi="Arial Narrow" w:cs="Arial Narrow"/>
                <w:b/>
                <w:bCs/>
                <w:color w:val="000000"/>
                <w:sz w:val="16"/>
                <w:szCs w:val="16"/>
                <w:lang w:eastAsia="sk-SK"/>
              </w:rPr>
              <w:t xml:space="preserve"> N</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2A7807" w:rsidP="001E5B24">
            <w:pPr>
              <w:bidi w:val="0"/>
              <w:jc w:val="center"/>
              <w:rPr>
                <w:rFonts w:ascii="Arial Narrow" w:hAnsi="Arial Narrow" w:cs="Arial Narrow"/>
                <w:b/>
                <w:bCs/>
                <w:color w:val="000000"/>
                <w:sz w:val="16"/>
                <w:szCs w:val="16"/>
                <w:lang w:eastAsia="sk-SK"/>
              </w:rPr>
            </w:pPr>
            <w:r w:rsidRPr="002A7807">
              <w:rPr>
                <w:rFonts w:ascii="Arial Narrow" w:hAnsi="Arial Narrow" w:cs="Arial Narrow"/>
                <w:b/>
                <w:bCs/>
                <w:color w:val="000000"/>
                <w:sz w:val="16"/>
                <w:szCs w:val="16"/>
                <w:lang w:eastAsia="sk-SK"/>
              </w:rPr>
              <w:t>2013</w:t>
            </w:r>
            <w:r>
              <w:rPr>
                <w:rFonts w:ascii="Arial Narrow" w:hAnsi="Arial Narrow" w:cs="Arial Narrow"/>
                <w:b/>
                <w:bCs/>
                <w:color w:val="000000"/>
                <w:sz w:val="16"/>
                <w:szCs w:val="16"/>
                <w:lang w:eastAsia="sk-SK"/>
              </w:rPr>
              <w:t xml:space="preserve"> N</w:t>
            </w:r>
          </w:p>
        </w:tc>
      </w:tr>
      <w:tr>
        <w:tblPrEx>
          <w:tblW w:w="9083" w:type="dxa"/>
          <w:tblInd w:w="55" w:type="dxa"/>
          <w:tblCellMar>
            <w:left w:w="70" w:type="dxa"/>
            <w:right w:w="70" w:type="dxa"/>
          </w:tblCellMar>
          <w:tblLook w:val="00A0"/>
        </w:tblPrEx>
        <w:trPr>
          <w:trHeight w:val="220"/>
        </w:trPr>
        <w:tc>
          <w:tcPr>
            <w:tcW w:w="4679"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rPr>
                <w:rFonts w:ascii="Arial Narrow" w:hAnsi="Arial Narrow" w:cs="Arial Narrow"/>
                <w:color w:val="000000"/>
                <w:sz w:val="16"/>
                <w:szCs w:val="16"/>
                <w:lang w:eastAsia="sk-SK"/>
              </w:rPr>
            </w:pPr>
            <w:r>
              <w:rPr>
                <w:rFonts w:ascii="Arial Narrow" w:hAnsi="Arial Narrow" w:cs="Arial Narrow"/>
                <w:color w:val="000000"/>
                <w:sz w:val="16"/>
                <w:szCs w:val="16"/>
                <w:lang w:eastAsia="sk-SK"/>
              </w:rPr>
              <w:t>vládou schválené investičné stimuly</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11 231</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2 445</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783</w:t>
            </w:r>
          </w:p>
        </w:tc>
      </w:tr>
      <w:tr>
        <w:tblPrEx>
          <w:tblW w:w="9083" w:type="dxa"/>
          <w:tblInd w:w="55" w:type="dxa"/>
          <w:tblCellMar>
            <w:left w:w="70" w:type="dxa"/>
            <w:right w:w="70" w:type="dxa"/>
          </w:tblCellMar>
          <w:tblLook w:val="00A0"/>
        </w:tblPrEx>
        <w:trPr>
          <w:trHeight w:val="220"/>
        </w:trPr>
        <w:tc>
          <w:tcPr>
            <w:tcW w:w="4679"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rPr>
                <w:rFonts w:ascii="Arial Narrow" w:hAnsi="Arial Narrow" w:cs="Arial Narrow"/>
                <w:color w:val="000000"/>
                <w:sz w:val="16"/>
                <w:szCs w:val="16"/>
                <w:lang w:eastAsia="sk-SK"/>
              </w:rPr>
            </w:pPr>
            <w:r>
              <w:rPr>
                <w:rFonts w:ascii="Arial Narrow" w:hAnsi="Arial Narrow" w:cs="Arial Narrow"/>
                <w:color w:val="000000"/>
                <w:sz w:val="16"/>
                <w:szCs w:val="16"/>
                <w:lang w:eastAsia="sk-SK"/>
              </w:rPr>
              <w:t>r</w:t>
            </w:r>
            <w:r w:rsidRPr="00364E41">
              <w:rPr>
                <w:rFonts w:ascii="Arial Narrow" w:hAnsi="Arial Narrow" w:cs="Arial Narrow"/>
                <w:color w:val="000000"/>
                <w:sz w:val="16"/>
                <w:szCs w:val="16"/>
                <w:lang w:eastAsia="sk-SK"/>
              </w:rPr>
              <w:t>ezerva na neschválené projekty</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500</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500</w:t>
            </w:r>
          </w:p>
        </w:tc>
        <w:tc>
          <w:tcPr>
            <w:tcW w:w="146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364E41" w:rsidP="001E5B24">
            <w:pPr>
              <w:bidi w:val="0"/>
              <w:jc w:val="right"/>
              <w:rPr>
                <w:rFonts w:ascii="Arial Narrow" w:hAnsi="Arial Narrow" w:cs="Arial Narrow"/>
                <w:color w:val="000000"/>
                <w:sz w:val="16"/>
                <w:szCs w:val="16"/>
                <w:lang w:eastAsia="sk-SK"/>
              </w:rPr>
            </w:pPr>
            <w:r w:rsidRPr="00364E41">
              <w:rPr>
                <w:rFonts w:ascii="Arial Narrow" w:hAnsi="Arial Narrow" w:cs="Arial Narrow"/>
                <w:color w:val="000000"/>
                <w:sz w:val="16"/>
                <w:szCs w:val="16"/>
                <w:lang w:eastAsia="sk-SK"/>
              </w:rPr>
              <w:t>500</w:t>
            </w:r>
          </w:p>
        </w:tc>
      </w:tr>
    </w:tbl>
    <w:p w:rsidR="001E5B24" w:rsidP="001E5B24">
      <w:pPr>
        <w:bidi w:val="0"/>
        <w:rPr>
          <w:rFonts w:ascii="Arial" w:hAnsi="Arial" w:cs="Arial"/>
          <w:color w:val="000000"/>
          <w:sz w:val="20"/>
          <w:szCs w:val="20"/>
        </w:rPr>
      </w:pPr>
    </w:p>
    <w:p w:rsidR="001E5B24" w:rsidRPr="009B1229" w:rsidP="001E5B24">
      <w:pPr>
        <w:bidi w:val="0"/>
        <w:rPr>
          <w:rFonts w:ascii="Arial" w:hAnsi="Arial" w:cs="Arial"/>
          <w:sz w:val="20"/>
          <w:szCs w:val="20"/>
        </w:rPr>
      </w:pPr>
      <w:r w:rsidRPr="009B1229">
        <w:rPr>
          <w:rFonts w:ascii="Arial Narrow" w:hAnsi="Arial Narrow" w:cs="Arial Narrow"/>
          <w:sz w:val="22"/>
          <w:szCs w:val="22"/>
        </w:rPr>
        <w:t>Inštitucionálna podpora</w:t>
      </w:r>
    </w:p>
    <w:p w:rsidR="001E5B24" w:rsidP="001E5B24">
      <w:pPr>
        <w:bidi w:val="0"/>
      </w:pPr>
    </w:p>
    <w:tbl>
      <w:tblPr>
        <w:tblStyle w:val="TableNormal"/>
        <w:tblW w:w="90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948"/>
        <w:gridCol w:w="1020"/>
        <w:gridCol w:w="1020"/>
        <w:gridCol w:w="1020"/>
        <w:gridCol w:w="1020"/>
        <w:gridCol w:w="1020"/>
        <w:gridCol w:w="1020"/>
      </w:tblGrid>
      <w:tr>
        <w:tblPrEx>
          <w:tblW w:w="90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20"/>
        </w:trPr>
        <w:tc>
          <w:tcPr>
            <w:tcW w:w="2948"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68" w:type="dxa"/>
          <w:tblInd w:w="70" w:type="dxa"/>
          <w:tblCellMar>
            <w:left w:w="70" w:type="dxa"/>
            <w:right w:w="70" w:type="dxa"/>
          </w:tblCellMar>
          <w:tblLook w:val="00A0"/>
        </w:tblPrEx>
        <w:trPr>
          <w:trHeight w:val="220"/>
        </w:trPr>
        <w:tc>
          <w:tcPr>
            <w:tcW w:w="2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Inštitucionálna podpora spolu</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152 915</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148 578</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149 402</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134 158</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134 313</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717FAD" w:rsidP="001E5B24">
            <w:pPr>
              <w:bidi w:val="0"/>
              <w:jc w:val="right"/>
              <w:rPr>
                <w:rFonts w:ascii="Arial Narrow" w:hAnsi="Arial Narrow" w:cs="Arial Narrow"/>
                <w:b/>
                <w:color w:val="000000"/>
                <w:sz w:val="16"/>
                <w:szCs w:val="16"/>
                <w:lang w:eastAsia="sk-SK"/>
              </w:rPr>
            </w:pPr>
            <w:r w:rsidRPr="00717FAD">
              <w:rPr>
                <w:rFonts w:ascii="Arial Narrow" w:hAnsi="Arial Narrow" w:cs="Arial Narrow"/>
                <w:b/>
                <w:color w:val="000000"/>
                <w:sz w:val="16"/>
                <w:szCs w:val="16"/>
                <w:lang w:eastAsia="sk-SK"/>
              </w:rPr>
              <w:t>134 343</w:t>
            </w:r>
          </w:p>
        </w:tc>
      </w:tr>
      <w:tr>
        <w:tblPrEx>
          <w:tblW w:w="9068" w:type="dxa"/>
          <w:tblInd w:w="70" w:type="dxa"/>
          <w:tblCellMar>
            <w:left w:w="70" w:type="dxa"/>
            <w:right w:w="70" w:type="dxa"/>
          </w:tblCellMar>
          <w:tblLook w:val="00A0"/>
        </w:tblPrEx>
        <w:trPr>
          <w:trHeight w:val="220"/>
        </w:trPr>
        <w:tc>
          <w:tcPr>
            <w:tcW w:w="2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Tvorba a  implementácia politík</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152 728</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148 340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149 175</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133 693</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134 078</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134 108</w:t>
            </w:r>
          </w:p>
        </w:tc>
      </w:tr>
      <w:tr>
        <w:tblPrEx>
          <w:tblW w:w="9068" w:type="dxa"/>
          <w:tblInd w:w="70" w:type="dxa"/>
          <w:tblCellMar>
            <w:left w:w="70" w:type="dxa"/>
            <w:right w:w="70" w:type="dxa"/>
          </w:tblCellMar>
          <w:tblLook w:val="00A0"/>
        </w:tblPrEx>
        <w:trPr>
          <w:trHeight w:val="220"/>
        </w:trPr>
        <w:tc>
          <w:tcPr>
            <w:tcW w:w="2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Hospodárska mobilizácia</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55</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37</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45</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45</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45</w:t>
            </w:r>
          </w:p>
        </w:tc>
      </w:tr>
      <w:tr>
        <w:tblPrEx>
          <w:tblW w:w="9068" w:type="dxa"/>
          <w:tblInd w:w="70" w:type="dxa"/>
          <w:tblCellMar>
            <w:left w:w="70" w:type="dxa"/>
            <w:right w:w="70" w:type="dxa"/>
          </w:tblCellMar>
          <w:tblLook w:val="00A0"/>
        </w:tblPrEx>
        <w:trPr>
          <w:trHeight w:val="220"/>
        </w:trPr>
        <w:tc>
          <w:tcPr>
            <w:tcW w:w="2948" w:type="dxa"/>
            <w:tcBorders>
              <w:top w:val="single" w:sz="4" w:space="0" w:color="auto"/>
              <w:left w:val="single" w:sz="4" w:space="0" w:color="auto"/>
              <w:bottom w:val="single" w:sz="4" w:space="0" w:color="auto"/>
              <w:right w:val="single" w:sz="4" w:space="0" w:color="auto"/>
            </w:tcBorders>
            <w:textDirection w:val="lrTb"/>
            <w:vAlign w:val="bottom"/>
          </w:tcPr>
          <w:p w:rsidR="001E5B24" w:rsidRPr="00C57056" w:rsidP="001E5B24">
            <w:pPr>
              <w:bidi w:val="0"/>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Príspevky do medzinár. organizácií</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187</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183</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190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420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190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57056" w:rsidP="001E5B24">
            <w:pPr>
              <w:bidi w:val="0"/>
              <w:jc w:val="right"/>
              <w:rPr>
                <w:rFonts w:ascii="Arial Narrow" w:hAnsi="Arial Narrow" w:cs="Arial Narrow"/>
                <w:color w:val="000000"/>
                <w:sz w:val="16"/>
                <w:szCs w:val="16"/>
                <w:lang w:eastAsia="sk-SK"/>
              </w:rPr>
            </w:pPr>
            <w:r w:rsidRPr="00C57056">
              <w:rPr>
                <w:rFonts w:ascii="Arial Narrow" w:hAnsi="Arial Narrow" w:cs="Arial Narrow"/>
                <w:color w:val="000000"/>
                <w:sz w:val="16"/>
                <w:szCs w:val="16"/>
                <w:lang w:eastAsia="sk-SK"/>
              </w:rPr>
              <w:t>190</w:t>
            </w:r>
          </w:p>
        </w:tc>
      </w:tr>
    </w:tbl>
    <w:p w:rsidR="001E5B24" w:rsidP="001E5B24">
      <w:pPr>
        <w:bidi w:val="0"/>
      </w:pPr>
    </w:p>
    <w:p w:rsidR="001E5B24" w:rsidRPr="00514F3A" w:rsidP="001E5B24">
      <w:pPr>
        <w:bidi w:val="0"/>
        <w:ind w:firstLine="708"/>
        <w:jc w:val="both"/>
        <w:outlineLvl w:val="0"/>
      </w:pPr>
      <w:r w:rsidRPr="00514F3A">
        <w:rPr>
          <w:rFonts w:ascii="Arial Narrow" w:hAnsi="Arial Narrow" w:cs="Arial Narrow"/>
          <w:sz w:val="22"/>
          <w:szCs w:val="22"/>
        </w:rPr>
        <w:t xml:space="preserve">Pre rok 2011 je pre inštitucionálnu podporu vyčlenených 134,2 mil. eur, čo predstavuje pokles </w:t>
      </w:r>
      <w:r>
        <w:rPr>
          <w:rFonts w:ascii="Arial Narrow" w:hAnsi="Arial Narrow" w:cs="Arial Narrow"/>
          <w:sz w:val="22"/>
          <w:szCs w:val="22"/>
        </w:rPr>
        <w:t>v porovnaní so schváleným rozpočtom roku 2011</w:t>
      </w:r>
      <w:r w:rsidRPr="00514F3A">
        <w:rPr>
          <w:rFonts w:ascii="Arial Narrow" w:hAnsi="Arial Narrow" w:cs="Arial Narrow"/>
          <w:sz w:val="22"/>
          <w:szCs w:val="22"/>
        </w:rPr>
        <w:t xml:space="preserve"> zníženie</w:t>
      </w:r>
      <w:r>
        <w:rPr>
          <w:rFonts w:ascii="Arial Narrow" w:hAnsi="Arial Narrow" w:cs="Arial Narrow"/>
          <w:sz w:val="22"/>
          <w:szCs w:val="22"/>
        </w:rPr>
        <w:t xml:space="preserve"> </w:t>
      </w:r>
      <w:r w:rsidRPr="00514F3A">
        <w:rPr>
          <w:rFonts w:ascii="Arial Narrow" w:hAnsi="Arial Narrow" w:cs="Arial Narrow"/>
          <w:sz w:val="22"/>
          <w:szCs w:val="22"/>
        </w:rPr>
        <w:t xml:space="preserve">o 10,2%. </w:t>
      </w:r>
    </w:p>
    <w:p w:rsidR="001E5B24" w:rsidP="001E5B24">
      <w:pPr>
        <w:bidi w:val="0"/>
      </w:pPr>
    </w:p>
    <w:p w:rsidR="001E5B24" w:rsidRPr="0015768D" w:rsidP="001E5B24">
      <w:pP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Ministerstvo dopravy, pôšt a telekomunikácií SR</w:t>
      </w:r>
    </w:p>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Kapitola má v roku 2011 k dispozícií výdavky vo výške 1,89 mld. eur</w:t>
      </w:r>
      <w:r>
        <w:rPr>
          <w:rFonts w:ascii="Arial Narrow" w:hAnsi="Arial Narrow" w:cs="Arial Narrow"/>
          <w:sz w:val="22"/>
          <w:szCs w:val="22"/>
        </w:rPr>
        <w:t xml:space="preserve"> vrátane zdrojov z EÚ a spolufinancovania, čo v porovnaní so schváleným rozpočtom roku 2010 predstavuje zvýšenie o  32,7%. Uvedený nárast je spôsobený presunom kompetencií v oblasti podpory rozvoja bývania, technickej pomoci a podpory cestovného ruchu, ktoré sa v rozpočte kapitoly rozpočtujú od roku 2011 (pre rok 2011 predstavujú celkovú sumu 233 mil. eur). Po abstrahovaní predmetnej zmeny by celkové výdavky kapitoly v roku 2011 oproti schválenému rozpočtu na rok 2010 rástli iba o 14,7%.</w:t>
      </w:r>
    </w:p>
    <w:p w:rsidR="001E5B24" w:rsidP="001E5B24">
      <w:pPr>
        <w:bidi w:val="0"/>
        <w:jc w:val="both"/>
        <w:rPr>
          <w:rFonts w:ascii="Arial Narrow" w:hAnsi="Arial Narrow" w:cs="Arial Narrow"/>
          <w:sz w:val="22"/>
          <w:szCs w:val="22"/>
        </w:rPr>
      </w:pPr>
      <w:r>
        <w:rPr>
          <w:rFonts w:ascii="Arial Narrow" w:hAnsi="Arial Narrow" w:cs="Arial Narrow"/>
          <w:sz w:val="22"/>
          <w:szCs w:val="22"/>
        </w:rPr>
        <w:t xml:space="preserve"> </w:t>
      </w:r>
    </w:p>
    <w:tbl>
      <w:tblPr>
        <w:tblStyle w:val="TableNormal"/>
        <w:tblW w:w="9100" w:type="dxa"/>
        <w:tblInd w:w="57" w:type="dxa"/>
        <w:tblLayout w:type="fixed"/>
        <w:tblCellMar>
          <w:left w:w="70" w:type="dxa"/>
          <w:right w:w="70" w:type="dxa"/>
        </w:tblCellMar>
        <w:tblLook w:val="00A0"/>
      </w:tblPr>
      <w:tblGrid>
        <w:gridCol w:w="3132"/>
        <w:gridCol w:w="994"/>
        <w:gridCol w:w="995"/>
        <w:gridCol w:w="995"/>
        <w:gridCol w:w="994"/>
        <w:gridCol w:w="995"/>
        <w:gridCol w:w="995"/>
      </w:tblGrid>
      <w:tr>
        <w:tblPrEx>
          <w:tblW w:w="9100" w:type="dxa"/>
          <w:tblInd w:w="57" w:type="dxa"/>
          <w:tblLayout w:type="fixed"/>
          <w:tblCellMar>
            <w:left w:w="70" w:type="dxa"/>
            <w:right w:w="70" w:type="dxa"/>
          </w:tblCellMar>
          <w:tblLook w:val="00A0"/>
        </w:tblPrEx>
        <w:trPr>
          <w:trHeight w:val="255"/>
        </w:trPr>
        <w:tc>
          <w:tcPr>
            <w:tcW w:w="3132"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94"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9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9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94"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9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9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00" w:type="dxa"/>
          <w:tblInd w:w="57" w:type="dxa"/>
          <w:tblLayout w:type="fixed"/>
          <w:tblCellMar>
            <w:left w:w="70" w:type="dxa"/>
            <w:right w:w="70" w:type="dxa"/>
          </w:tblCellMar>
          <w:tblLook w:val="00A0"/>
        </w:tblPrEx>
        <w:trPr>
          <w:trHeight w:val="255"/>
        </w:trPr>
        <w:tc>
          <w:tcPr>
            <w:tcW w:w="3132"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39F5" w:rsidP="001E5B24">
            <w:pPr>
              <w:bidi w:val="0"/>
              <w:rPr>
                <w:rFonts w:ascii="Arial Narrow" w:hAnsi="Arial Narrow" w:cs="Arial Narrow"/>
                <w:b/>
                <w:bCs/>
                <w:color w:val="000000"/>
                <w:sz w:val="16"/>
                <w:szCs w:val="16"/>
                <w:lang w:eastAsia="sk-SK"/>
              </w:rPr>
            </w:pPr>
            <w:r w:rsidRPr="00B439F5">
              <w:rPr>
                <w:rFonts w:ascii="Arial Narrow" w:hAnsi="Arial Narrow" w:cs="Arial Narrow"/>
                <w:b/>
                <w:bCs/>
                <w:color w:val="000000"/>
                <w:sz w:val="16"/>
                <w:szCs w:val="16"/>
                <w:lang w:eastAsia="sk-SK"/>
              </w:rPr>
              <w:t>Zdroje príslušnej kapitoly</w:t>
            </w:r>
          </w:p>
        </w:tc>
        <w:tc>
          <w:tcPr>
            <w:tcW w:w="994"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1 125 892</w:t>
            </w:r>
          </w:p>
        </w:tc>
        <w:tc>
          <w:tcPr>
            <w:tcW w:w="995"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1 250 693</w:t>
            </w:r>
          </w:p>
        </w:tc>
        <w:tc>
          <w:tcPr>
            <w:tcW w:w="995"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1 425 031</w:t>
            </w:r>
          </w:p>
        </w:tc>
        <w:tc>
          <w:tcPr>
            <w:tcW w:w="994"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1 890 953</w:t>
            </w:r>
          </w:p>
        </w:tc>
        <w:tc>
          <w:tcPr>
            <w:tcW w:w="995"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1 900 747</w:t>
            </w:r>
          </w:p>
        </w:tc>
        <w:tc>
          <w:tcPr>
            <w:tcW w:w="995"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B439F5" w:rsidP="001E5B24">
            <w:pPr>
              <w:bidi w:val="0"/>
              <w:jc w:val="right"/>
              <w:rPr>
                <w:rFonts w:ascii="Arial Narrow" w:hAnsi="Arial Narrow" w:cs="Arial Narrow"/>
                <w:b/>
                <w:color w:val="000000"/>
                <w:sz w:val="16"/>
                <w:szCs w:val="16"/>
                <w:lang w:eastAsia="sk-SK"/>
              </w:rPr>
            </w:pPr>
            <w:r w:rsidRPr="00B439F5">
              <w:rPr>
                <w:rFonts w:ascii="Arial Narrow" w:hAnsi="Arial Narrow" w:cs="Arial Narrow"/>
                <w:b/>
                <w:color w:val="000000"/>
                <w:sz w:val="16"/>
                <w:szCs w:val="16"/>
                <w:lang w:eastAsia="sk-SK"/>
              </w:rPr>
              <w:t>1 831 504</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z toho:</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c>
          <w:tcPr>
            <w:tcW w:w="995" w:type="dxa"/>
            <w:tcBorders>
              <w:top w:val="nil"/>
              <w:left w:val="nil"/>
              <w:bottom w:val="single" w:sz="4" w:space="0" w:color="auto"/>
              <w:right w:val="single" w:sz="4" w:space="0" w:color="auto"/>
            </w:tcBorders>
            <w:noWrap/>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c>
          <w:tcPr>
            <w:tcW w:w="995" w:type="dxa"/>
            <w:tcBorders>
              <w:top w:val="nil"/>
              <w:left w:val="nil"/>
              <w:bottom w:val="single" w:sz="4" w:space="0" w:color="auto"/>
              <w:right w:val="single" w:sz="4" w:space="0" w:color="auto"/>
            </w:tcBorders>
            <w:noWrap/>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c>
          <w:tcPr>
            <w:tcW w:w="994" w:type="dxa"/>
            <w:tcBorders>
              <w:top w:val="nil"/>
              <w:left w:val="nil"/>
              <w:bottom w:val="single" w:sz="4" w:space="0" w:color="auto"/>
              <w:right w:val="single" w:sz="4" w:space="0" w:color="auto"/>
            </w:tcBorders>
            <w:noWrap/>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xml:space="preserve">rozpočtové zdroje kapitoly </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919 295</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839 129</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571 817</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1 152 749</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837 680</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869 379</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presun z min</w:t>
            </w:r>
            <w:r>
              <w:rPr>
                <w:rFonts w:ascii="Arial Narrow" w:hAnsi="Arial Narrow" w:cs="Arial Narrow"/>
                <w:color w:val="000000"/>
                <w:sz w:val="16"/>
                <w:szCs w:val="16"/>
                <w:lang w:eastAsia="sk-SK"/>
              </w:rPr>
              <w:t>ulých</w:t>
            </w:r>
            <w:r w:rsidRPr="00FE185D">
              <w:rPr>
                <w:rFonts w:ascii="Arial Narrow" w:hAnsi="Arial Narrow" w:cs="Arial Narrow"/>
                <w:color w:val="000000"/>
                <w:sz w:val="16"/>
                <w:szCs w:val="16"/>
                <w:lang w:eastAsia="sk-SK"/>
              </w:rPr>
              <w:t xml:space="preserve"> rokov § 8 </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39 712</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50 090</w:t>
            </w:r>
          </w:p>
        </w:tc>
        <w:tc>
          <w:tcPr>
            <w:tcW w:w="995" w:type="dxa"/>
            <w:tcBorders>
              <w:top w:val="nil"/>
              <w:left w:val="nil"/>
              <w:bottom w:val="single" w:sz="4" w:space="0" w:color="auto"/>
              <w:right w:val="single" w:sz="4" w:space="0" w:color="auto"/>
            </w:tcBorders>
            <w:textDirection w:val="lrTb"/>
            <w:vAlign w:val="bottom"/>
          </w:tcPr>
          <w:p w:rsidR="001E5B24" w:rsidRPr="007D3FE9" w:rsidP="001E5B24">
            <w:pPr>
              <w:bidi w:val="0"/>
              <w:jc w:val="right"/>
              <w:rPr>
                <w:rFonts w:ascii="Arial Narrow" w:hAnsi="Arial Narrow" w:cs="Arial Narrow"/>
                <w:color w:val="000000"/>
                <w:sz w:val="16"/>
                <w:szCs w:val="16"/>
                <w:lang w:eastAsia="sk-SK"/>
              </w:rPr>
            </w:pPr>
            <w:r w:rsidRPr="007D3FE9">
              <w:rPr>
                <w:rFonts w:ascii="Arial Narrow" w:hAnsi="Arial Narrow" w:cs="Arial Narrow"/>
                <w:color w:val="000000"/>
                <w:sz w:val="16"/>
                <w:szCs w:val="16"/>
                <w:lang w:eastAsia="sk-SK"/>
              </w:rPr>
              <w:t>0</w:t>
            </w:r>
          </w:p>
        </w:tc>
        <w:tc>
          <w:tcPr>
            <w:tcW w:w="994" w:type="dxa"/>
            <w:tcBorders>
              <w:top w:val="nil"/>
              <w:left w:val="nil"/>
              <w:bottom w:val="single" w:sz="4" w:space="0" w:color="auto"/>
              <w:right w:val="single" w:sz="4" w:space="0" w:color="auto"/>
            </w:tcBorders>
            <w:textDirection w:val="lrTb"/>
            <w:vAlign w:val="bottom"/>
          </w:tcPr>
          <w:p w:rsidR="001E5B24" w:rsidRPr="007D3FE9" w:rsidP="001E5B24">
            <w:pPr>
              <w:bidi w:val="0"/>
              <w:jc w:val="right"/>
              <w:rPr>
                <w:rFonts w:ascii="Arial Narrow" w:hAnsi="Arial Narrow" w:cs="Arial Narrow"/>
                <w:color w:val="000000"/>
                <w:sz w:val="16"/>
                <w:szCs w:val="16"/>
                <w:lang w:eastAsia="sk-SK"/>
              </w:rPr>
            </w:pPr>
            <w:r w:rsidRPr="007D3FE9">
              <w:rPr>
                <w:rFonts w:ascii="Arial Narrow" w:hAnsi="Arial Narrow" w:cs="Arial Narrow"/>
                <w:color w:val="000000"/>
                <w:sz w:val="16"/>
                <w:szCs w:val="16"/>
                <w:lang w:eastAsia="sk-SK"/>
              </w:rPr>
              <w:t>0</w:t>
            </w:r>
          </w:p>
        </w:tc>
        <w:tc>
          <w:tcPr>
            <w:tcW w:w="995" w:type="dxa"/>
            <w:tcBorders>
              <w:top w:val="nil"/>
              <w:left w:val="nil"/>
              <w:bottom w:val="single" w:sz="4" w:space="0" w:color="auto"/>
              <w:right w:val="single" w:sz="4" w:space="0" w:color="auto"/>
            </w:tcBorders>
            <w:textDirection w:val="lrTb"/>
            <w:vAlign w:val="bottom"/>
          </w:tcPr>
          <w:p w:rsidR="001E5B24" w:rsidRPr="007D3FE9" w:rsidP="001E5B24">
            <w:pPr>
              <w:bidi w:val="0"/>
              <w:jc w:val="right"/>
              <w:rPr>
                <w:rFonts w:ascii="Arial Narrow" w:hAnsi="Arial Narrow" w:cs="Arial Narrow"/>
                <w:color w:val="000000"/>
                <w:sz w:val="16"/>
                <w:szCs w:val="16"/>
                <w:lang w:eastAsia="sk-SK"/>
              </w:rPr>
            </w:pPr>
            <w:r w:rsidRPr="007D3FE9">
              <w:rPr>
                <w:rFonts w:ascii="Arial Narrow" w:hAnsi="Arial Narrow" w:cs="Arial Narrow"/>
                <w:color w:val="000000"/>
                <w:sz w:val="16"/>
                <w:szCs w:val="16"/>
                <w:lang w:eastAsia="sk-SK"/>
              </w:rPr>
              <w:t>0</w:t>
            </w:r>
          </w:p>
        </w:tc>
        <w:tc>
          <w:tcPr>
            <w:tcW w:w="995" w:type="dxa"/>
            <w:tcBorders>
              <w:top w:val="nil"/>
              <w:left w:val="nil"/>
              <w:bottom w:val="single" w:sz="4" w:space="0" w:color="auto"/>
              <w:right w:val="single" w:sz="4" w:space="0" w:color="auto"/>
            </w:tcBorders>
            <w:textDirection w:val="lrTb"/>
            <w:vAlign w:val="bottom"/>
          </w:tcPr>
          <w:p w:rsidR="001E5B24" w:rsidRPr="007D3FE9" w:rsidP="001E5B24">
            <w:pPr>
              <w:bidi w:val="0"/>
              <w:jc w:val="right"/>
              <w:rPr>
                <w:rFonts w:ascii="Arial Narrow" w:hAnsi="Arial Narrow" w:cs="Arial Narrow"/>
                <w:color w:val="000000"/>
                <w:sz w:val="16"/>
                <w:szCs w:val="16"/>
                <w:lang w:eastAsia="sk-SK"/>
              </w:rPr>
            </w:pPr>
            <w:r w:rsidRPr="007D3FE9">
              <w:rPr>
                <w:rFonts w:ascii="Arial Narrow" w:hAnsi="Arial Narrow" w:cs="Arial Narrow"/>
                <w:color w:val="000000"/>
                <w:sz w:val="16"/>
                <w:szCs w:val="16"/>
                <w:lang w:eastAsia="sk-SK"/>
              </w:rPr>
              <w:t>0</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 xml:space="preserve">zdroje EÚ  </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123 460</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290 163</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713 100</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607 535</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878 136</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807 359</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spolufinancovanie</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40 569</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67 639</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140 078</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130 669</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184 931</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154 766</w:t>
            </w:r>
          </w:p>
        </w:tc>
      </w:tr>
      <w:tr>
        <w:tblPrEx>
          <w:tblW w:w="9100" w:type="dxa"/>
          <w:tblInd w:w="57" w:type="dxa"/>
          <w:tblLayout w:type="fixed"/>
          <w:tblCellMar>
            <w:left w:w="70" w:type="dxa"/>
            <w:right w:w="70" w:type="dxa"/>
          </w:tblCellMar>
          <w:tblLook w:val="00A0"/>
        </w:tblPrEx>
        <w:trPr>
          <w:trHeight w:val="255"/>
        </w:trPr>
        <w:tc>
          <w:tcPr>
            <w:tcW w:w="3132" w:type="dxa"/>
            <w:tcBorders>
              <w:top w:val="nil"/>
              <w:left w:val="single" w:sz="4" w:space="0" w:color="auto"/>
              <w:bottom w:val="single" w:sz="4" w:space="0" w:color="auto"/>
              <w:right w:val="single" w:sz="4" w:space="0" w:color="auto"/>
            </w:tcBorders>
            <w:noWrap/>
            <w:textDirection w:val="lrTb"/>
            <w:vAlign w:val="bottom"/>
          </w:tcPr>
          <w:p w:rsidR="001E5B24" w:rsidRPr="00FE185D" w:rsidP="001E5B24">
            <w:pPr>
              <w:bidi w:val="0"/>
              <w:rPr>
                <w:rFonts w:ascii="Arial Narrow" w:hAnsi="Arial Narrow" w:cs="Arial Narrow"/>
                <w:color w:val="000000"/>
                <w:sz w:val="16"/>
                <w:szCs w:val="16"/>
                <w:lang w:eastAsia="sk-SK"/>
              </w:rPr>
            </w:pPr>
            <w:r w:rsidRPr="007D3FE9">
              <w:rPr>
                <w:rFonts w:ascii="Arial Narrow" w:hAnsi="Arial Narrow" w:cs="Arial Narrow"/>
                <w:color w:val="000000"/>
                <w:sz w:val="16"/>
                <w:szCs w:val="16"/>
                <w:lang w:eastAsia="sk-SK"/>
              </w:rPr>
              <w:t>iné zdroje (mimorozpočtové, ISPA)</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2 856</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3 672</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36</w:t>
            </w:r>
          </w:p>
        </w:tc>
        <w:tc>
          <w:tcPr>
            <w:tcW w:w="994"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0</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0</w:t>
            </w:r>
          </w:p>
        </w:tc>
        <w:tc>
          <w:tcPr>
            <w:tcW w:w="995" w:type="dxa"/>
            <w:tcBorders>
              <w:top w:val="nil"/>
              <w:left w:val="nil"/>
              <w:bottom w:val="single" w:sz="4" w:space="0" w:color="auto"/>
              <w:right w:val="single" w:sz="4" w:space="0" w:color="auto"/>
            </w:tcBorders>
            <w:textDirection w:val="lrTb"/>
            <w:vAlign w:val="bottom"/>
          </w:tcPr>
          <w:p w:rsidR="001E5B24" w:rsidRPr="00FE185D" w:rsidP="001E5B24">
            <w:pPr>
              <w:bidi w:val="0"/>
              <w:jc w:val="right"/>
              <w:rPr>
                <w:rFonts w:ascii="Arial Narrow" w:hAnsi="Arial Narrow" w:cs="Arial Narrow"/>
                <w:color w:val="000000"/>
                <w:sz w:val="16"/>
                <w:szCs w:val="16"/>
                <w:lang w:eastAsia="sk-SK"/>
              </w:rPr>
            </w:pPr>
            <w:r w:rsidRPr="00FE185D">
              <w:rPr>
                <w:rFonts w:ascii="Arial Narrow" w:hAnsi="Arial Narrow" w:cs="Arial Narrow"/>
                <w:color w:val="000000"/>
                <w:sz w:val="16"/>
                <w:szCs w:val="16"/>
                <w:lang w:eastAsia="sk-SK"/>
              </w:rPr>
              <w:t>0</w:t>
            </w:r>
          </w:p>
        </w:tc>
      </w:tr>
    </w:tbl>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Výdavky zo zdrojov</w:t>
      </w:r>
      <w:r w:rsidRPr="006259BE">
        <w:rPr>
          <w:rFonts w:ascii="Arial Narrow" w:hAnsi="Arial Narrow" w:cs="Arial Narrow"/>
          <w:b/>
          <w:bCs/>
          <w:sz w:val="22"/>
          <w:szCs w:val="22"/>
        </w:rPr>
        <w:t xml:space="preserve"> </w:t>
      </w:r>
      <w:r w:rsidRPr="00337D03">
        <w:rPr>
          <w:rFonts w:ascii="Arial Narrow" w:hAnsi="Arial Narrow" w:cs="Arial Narrow"/>
          <w:sz w:val="22"/>
          <w:szCs w:val="22"/>
        </w:rPr>
        <w:t xml:space="preserve">EÚ </w:t>
      </w:r>
      <w:r>
        <w:rPr>
          <w:rFonts w:ascii="Arial Narrow" w:hAnsi="Arial Narrow" w:cs="Arial Narrow"/>
          <w:sz w:val="22"/>
          <w:szCs w:val="22"/>
        </w:rPr>
        <w:t>v roku 2011 v porovnaní so schváleným rozpočtom roku 2010</w:t>
      </w:r>
      <w:r w:rsidRPr="00337D03">
        <w:rPr>
          <w:rFonts w:ascii="Arial Narrow" w:hAnsi="Arial Narrow" w:cs="Arial Narrow"/>
          <w:sz w:val="22"/>
          <w:szCs w:val="22"/>
        </w:rPr>
        <w:t xml:space="preserve"> klesli o 14,8 %  a spolufinancovanie o 6,72 %.</w:t>
      </w:r>
    </w:p>
    <w:p w:rsidR="001E5B24" w:rsidP="001E5B24">
      <w:pPr>
        <w:bidi w:val="0"/>
        <w:ind w:firstLine="708"/>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337D03">
        <w:rPr>
          <w:rFonts w:ascii="Arial Narrow" w:hAnsi="Arial Narrow" w:cs="Arial Narrow"/>
          <w:sz w:val="22"/>
          <w:szCs w:val="22"/>
        </w:rPr>
        <w:t>Rozpočtové prostriedky</w:t>
      </w:r>
      <w:r w:rsidRPr="006259BE">
        <w:rPr>
          <w:rFonts w:ascii="Arial Narrow" w:hAnsi="Arial Narrow" w:cs="Arial Narrow"/>
          <w:sz w:val="22"/>
          <w:szCs w:val="22"/>
        </w:rPr>
        <w:t xml:space="preserve"> kapitoly v roku 2011 v porovnaní </w:t>
      </w:r>
      <w:r w:rsidRPr="007D3FE9">
        <w:rPr>
          <w:rFonts w:ascii="Arial Narrow" w:hAnsi="Arial Narrow" w:cs="Arial Narrow"/>
          <w:sz w:val="22"/>
          <w:szCs w:val="22"/>
        </w:rPr>
        <w:t>so schváleným rozpočtom</w:t>
      </w:r>
      <w:r w:rsidRPr="006259BE">
        <w:rPr>
          <w:rFonts w:ascii="Arial Narrow" w:hAnsi="Arial Narrow" w:cs="Arial Narrow"/>
          <w:sz w:val="22"/>
          <w:szCs w:val="22"/>
        </w:rPr>
        <w:t> rok</w:t>
      </w:r>
      <w:r>
        <w:rPr>
          <w:rFonts w:ascii="Arial Narrow" w:hAnsi="Arial Narrow" w:cs="Arial Narrow"/>
          <w:sz w:val="22"/>
          <w:szCs w:val="22"/>
        </w:rPr>
        <w:t>u</w:t>
      </w:r>
      <w:r w:rsidRPr="006259BE">
        <w:rPr>
          <w:rFonts w:ascii="Arial Narrow" w:hAnsi="Arial Narrow" w:cs="Arial Narrow"/>
          <w:sz w:val="22"/>
          <w:szCs w:val="22"/>
        </w:rPr>
        <w:t xml:space="preserve"> 2010 </w:t>
      </w:r>
      <w:r w:rsidRPr="00337D03">
        <w:rPr>
          <w:rFonts w:ascii="Arial Narrow" w:hAnsi="Arial Narrow" w:cs="Arial Narrow"/>
          <w:sz w:val="22"/>
          <w:szCs w:val="22"/>
        </w:rPr>
        <w:t>rastú o 102 %</w:t>
      </w:r>
      <w:r w:rsidRPr="006259BE">
        <w:rPr>
          <w:rFonts w:ascii="Arial Narrow" w:hAnsi="Arial Narrow" w:cs="Arial Narrow"/>
          <w:b/>
          <w:bCs/>
          <w:sz w:val="22"/>
          <w:szCs w:val="22"/>
        </w:rPr>
        <w:t xml:space="preserve">.  </w:t>
      </w:r>
      <w:r w:rsidRPr="006259BE">
        <w:rPr>
          <w:rFonts w:ascii="Arial Narrow" w:hAnsi="Arial Narrow" w:cs="Arial Narrow"/>
          <w:sz w:val="22"/>
          <w:szCs w:val="22"/>
        </w:rPr>
        <w:t xml:space="preserve">Uvedenú zmenu spôsobil presun kompetencií v oblasti podpory rozvoja </w:t>
      </w:r>
      <w:r w:rsidRPr="007D3FE9">
        <w:rPr>
          <w:rFonts w:ascii="Arial Narrow" w:hAnsi="Arial Narrow" w:cs="Arial Narrow"/>
          <w:sz w:val="22"/>
          <w:szCs w:val="22"/>
        </w:rPr>
        <w:t xml:space="preserve">bývania  </w:t>
      </w:r>
      <w:r>
        <w:rPr>
          <w:rFonts w:ascii="Arial Narrow" w:hAnsi="Arial Narrow" w:cs="Arial Narrow"/>
          <w:sz w:val="22"/>
          <w:szCs w:val="22"/>
        </w:rPr>
        <w:t xml:space="preserve">v sume 159,3 mil. eur a </w:t>
      </w:r>
      <w:r w:rsidRPr="007D3FE9">
        <w:rPr>
          <w:rFonts w:ascii="Arial Narrow" w:hAnsi="Arial Narrow" w:cs="Arial Narrow"/>
          <w:sz w:val="22"/>
          <w:szCs w:val="22"/>
        </w:rPr>
        <w:t>podpory cestovného</w:t>
      </w:r>
      <w:r w:rsidRPr="006259BE">
        <w:rPr>
          <w:rFonts w:ascii="Arial Narrow" w:hAnsi="Arial Narrow" w:cs="Arial Narrow"/>
          <w:sz w:val="22"/>
          <w:szCs w:val="22"/>
        </w:rPr>
        <w:t xml:space="preserve"> ruchu </w:t>
      </w:r>
      <w:r>
        <w:rPr>
          <w:rFonts w:ascii="Arial Narrow" w:hAnsi="Arial Narrow" w:cs="Arial Narrow"/>
          <w:sz w:val="22"/>
          <w:szCs w:val="22"/>
        </w:rPr>
        <w:t xml:space="preserve">v sume 2,7 mil. eur, vrátane administratívy k uvedeným oblastiam v sume 16,7 mil. eur, </w:t>
      </w:r>
      <w:r w:rsidRPr="006259BE">
        <w:rPr>
          <w:rFonts w:ascii="Arial Narrow" w:hAnsi="Arial Narrow" w:cs="Arial Narrow"/>
          <w:sz w:val="22"/>
          <w:szCs w:val="22"/>
        </w:rPr>
        <w:t>a</w:t>
      </w:r>
      <w:r>
        <w:rPr>
          <w:rFonts w:ascii="Arial Narrow" w:hAnsi="Arial Narrow" w:cs="Arial Narrow"/>
          <w:sz w:val="22"/>
          <w:szCs w:val="22"/>
        </w:rPr>
        <w:t>ko aj</w:t>
      </w:r>
      <w:r w:rsidRPr="006259BE">
        <w:rPr>
          <w:rFonts w:ascii="Arial Narrow" w:hAnsi="Arial Narrow" w:cs="Arial Narrow"/>
          <w:sz w:val="22"/>
          <w:szCs w:val="22"/>
        </w:rPr>
        <w:t> rast výdavkov na cestnú infraštruktúru a železničnú dopravu.</w:t>
      </w:r>
    </w:p>
    <w:p w:rsidR="001E5B24" w:rsidP="001E5B24">
      <w:pPr>
        <w:bidi w:val="0"/>
        <w:jc w:val="both"/>
        <w:rPr>
          <w:rFonts w:ascii="Arial Narrow" w:hAnsi="Arial Narrow" w:cs="Arial Narrow"/>
          <w:sz w:val="22"/>
          <w:szCs w:val="22"/>
        </w:rPr>
      </w:pPr>
    </w:p>
    <w:p w:rsidR="001E5B24" w:rsidRPr="00453811" w:rsidP="001E5B24">
      <w:pPr>
        <w:bidi w:val="0"/>
        <w:ind w:firstLine="708"/>
        <w:jc w:val="both"/>
        <w:rPr>
          <w:rFonts w:ascii="Arial Narrow" w:hAnsi="Arial Narrow" w:cs="Arial Narrow"/>
          <w:sz w:val="22"/>
          <w:szCs w:val="22"/>
        </w:rPr>
      </w:pPr>
      <w:r w:rsidRPr="00A97717">
        <w:rPr>
          <w:rFonts w:ascii="Arial Narrow" w:hAnsi="Arial Narrow" w:cs="Arial Narrow"/>
          <w:sz w:val="22"/>
          <w:szCs w:val="22"/>
        </w:rPr>
        <w:t xml:space="preserve">Objem osobných výdavkov sa pre rok 2011 rozpočtuje na úrovni 28,7 mil. </w:t>
      </w:r>
      <w:r>
        <w:rPr>
          <w:rFonts w:ascii="Arial Narrow" w:hAnsi="Arial Narrow" w:cs="Arial Narrow"/>
          <w:sz w:val="22"/>
          <w:szCs w:val="22"/>
        </w:rPr>
        <w:t>eur</w:t>
      </w:r>
      <w:r w:rsidRPr="00A97717">
        <w:rPr>
          <w:rFonts w:ascii="Arial Narrow" w:hAnsi="Arial Narrow" w:cs="Arial Narrow"/>
          <w:sz w:val="22"/>
          <w:szCs w:val="22"/>
        </w:rPr>
        <w:t>, čo v porovnaní s</w:t>
      </w:r>
      <w:r>
        <w:rPr>
          <w:rFonts w:ascii="Arial Narrow" w:hAnsi="Arial Narrow" w:cs="Arial Narrow"/>
          <w:sz w:val="22"/>
          <w:szCs w:val="22"/>
        </w:rPr>
        <w:t>o schváleným rozpočtom</w:t>
      </w:r>
      <w:r w:rsidRPr="00A97717">
        <w:rPr>
          <w:rFonts w:ascii="Arial Narrow" w:hAnsi="Arial Narrow" w:cs="Arial Narrow"/>
          <w:sz w:val="22"/>
          <w:szCs w:val="22"/>
        </w:rPr>
        <w:t> rok</w:t>
      </w:r>
      <w:r>
        <w:rPr>
          <w:rFonts w:ascii="Arial Narrow" w:hAnsi="Arial Narrow" w:cs="Arial Narrow"/>
          <w:sz w:val="22"/>
          <w:szCs w:val="22"/>
        </w:rPr>
        <w:t>u</w:t>
      </w:r>
      <w:r w:rsidRPr="00A97717">
        <w:rPr>
          <w:rFonts w:ascii="Arial Narrow" w:hAnsi="Arial Narrow" w:cs="Arial Narrow"/>
          <w:sz w:val="22"/>
          <w:szCs w:val="22"/>
        </w:rPr>
        <w:t xml:space="preserve"> 2010 predstavuje nárast 18,94 %</w:t>
      </w:r>
      <w:r>
        <w:rPr>
          <w:rFonts w:ascii="Arial Narrow" w:hAnsi="Arial Narrow" w:cs="Arial Narrow"/>
          <w:sz w:val="22"/>
          <w:szCs w:val="22"/>
        </w:rPr>
        <w:t xml:space="preserve"> (4,57 mil. eur )</w:t>
      </w:r>
      <w:r w:rsidRPr="00A97717">
        <w:rPr>
          <w:rFonts w:ascii="Arial Narrow" w:hAnsi="Arial Narrow" w:cs="Arial Narrow"/>
          <w:sz w:val="22"/>
          <w:szCs w:val="22"/>
        </w:rPr>
        <w:t xml:space="preserve">. Medziročná zmena </w:t>
      </w:r>
      <w:r>
        <w:rPr>
          <w:rFonts w:ascii="Arial Narrow" w:hAnsi="Arial Narrow" w:cs="Arial Narrow"/>
          <w:sz w:val="22"/>
          <w:szCs w:val="22"/>
        </w:rPr>
        <w:t>v porovnaní s rokom 2010</w:t>
      </w:r>
      <w:r w:rsidRPr="00A97717">
        <w:rPr>
          <w:rFonts w:ascii="Arial Narrow" w:hAnsi="Arial Narrow" w:cs="Arial Narrow"/>
          <w:sz w:val="22"/>
          <w:szCs w:val="22"/>
        </w:rPr>
        <w:t xml:space="preserve"> predstavuje celkové zvýšenie osobných výdavkov a zahŕňa najmä rozpočet </w:t>
      </w:r>
      <w:r>
        <w:rPr>
          <w:rFonts w:ascii="Arial Narrow" w:hAnsi="Arial Narrow" w:cs="Arial Narrow"/>
          <w:sz w:val="22"/>
          <w:szCs w:val="22"/>
        </w:rPr>
        <w:t xml:space="preserve">zrušenej </w:t>
      </w:r>
      <w:r w:rsidRPr="00A97717">
        <w:rPr>
          <w:rFonts w:ascii="Arial Narrow" w:hAnsi="Arial Narrow" w:cs="Arial Narrow"/>
          <w:sz w:val="22"/>
          <w:szCs w:val="22"/>
        </w:rPr>
        <w:t>kapitoly Ministerstva výstavby a regionálneho rozvoja SR</w:t>
      </w:r>
      <w:r>
        <w:rPr>
          <w:rFonts w:ascii="Arial Narrow" w:hAnsi="Arial Narrow" w:cs="Arial Narrow"/>
          <w:sz w:val="22"/>
          <w:szCs w:val="22"/>
        </w:rPr>
        <w:t xml:space="preserve"> (ďalej len „MVRR SR“)</w:t>
      </w:r>
      <w:r w:rsidRPr="00A97717">
        <w:rPr>
          <w:rFonts w:ascii="Arial Narrow" w:hAnsi="Arial Narrow" w:cs="Arial Narrow"/>
          <w:sz w:val="22"/>
          <w:szCs w:val="22"/>
        </w:rPr>
        <w:t xml:space="preserve">, s výnimkou časti regionálneho rozvoja a sekciu cestovného ruchu z kapitoly Ministerstva hospodárstva </w:t>
      </w:r>
      <w:r>
        <w:rPr>
          <w:rFonts w:ascii="Arial Narrow" w:hAnsi="Arial Narrow" w:cs="Arial Narrow"/>
          <w:sz w:val="22"/>
          <w:szCs w:val="22"/>
        </w:rPr>
        <w:t xml:space="preserve">a výstavby </w:t>
      </w:r>
      <w:r w:rsidRPr="00A97717">
        <w:rPr>
          <w:rFonts w:ascii="Arial Narrow" w:hAnsi="Arial Narrow" w:cs="Arial Narrow"/>
          <w:sz w:val="22"/>
          <w:szCs w:val="22"/>
        </w:rPr>
        <w:t xml:space="preserve">SR, 10% zníženie osobných výdavkov </w:t>
      </w:r>
      <w:r w:rsidR="008E59B4">
        <w:rPr>
          <w:rFonts w:ascii="Arial Narrow" w:hAnsi="Arial Narrow" w:cs="Arial Narrow"/>
          <w:sz w:val="22"/>
          <w:szCs w:val="22"/>
        </w:rPr>
        <w:t>pre</w:t>
      </w:r>
      <w:r>
        <w:rPr>
          <w:rFonts w:ascii="Arial Narrow" w:hAnsi="Arial Narrow" w:cs="Arial Narrow"/>
          <w:sz w:val="22"/>
          <w:szCs w:val="22"/>
        </w:rPr>
        <w:t xml:space="preserve"> štátnych zamestnancov a zamestnancov pri výkone práce vo verejnom záujme pri zohľadnení dopočtu 1% valorizácie z roku </w:t>
      </w:r>
      <w:r w:rsidRPr="00453811">
        <w:rPr>
          <w:rFonts w:ascii="Arial Narrow" w:hAnsi="Arial Narrow" w:cs="Arial Narrow"/>
          <w:sz w:val="22"/>
          <w:szCs w:val="22"/>
        </w:rPr>
        <w:t xml:space="preserve">2010 a 10% viazaním osobných výdavkov ministra z úrovne roku 2010. </w:t>
      </w:r>
      <w:r w:rsidRPr="00453811">
        <w:rPr>
          <w:rFonts w:ascii="Arial Narrow" w:hAnsi="Arial Narrow"/>
          <w:sz w:val="22"/>
          <w:szCs w:val="22"/>
        </w:rPr>
        <w:t>Po odpočítaní prostriedkov súvisiacich s delimitáciou z Ministerstva výstavby a regionálneho rozvoja SR a Ministerstva hospodárstva a cestovného ruchu SR a pri zohľadnení úpravy poistného vykonaného kapitolou, by osobné výdavky v porovnaní so schváleným rozpočtom roku 2010 klesali o 9,07%.</w:t>
      </w:r>
    </w:p>
    <w:p w:rsidR="001E5B24" w:rsidRPr="006259BE"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Výdavky na tovary a služby v roku 2011 v porovnaní so schváleným rozpočtom roku 2010 sú vyššie o 60,3 % z dôvodu presunu kompetencií v oblasti implementácie politík MVRR SR a cestovného ruchu a rozpočtovania výdavkov na platbu za dostupnosť pre 2. balík PPP a na zavádzanie digitálneho vysielania v SR. </w:t>
      </w:r>
      <w:r w:rsidRPr="006A0EC7">
        <w:rPr>
          <w:rFonts w:ascii="Arial Narrow" w:hAnsi="Arial Narrow" w:cs="Arial Narrow"/>
          <w:sz w:val="22"/>
          <w:szCs w:val="22"/>
        </w:rPr>
        <w:t xml:space="preserve">Pri abstrahovaní </w:t>
      </w:r>
      <w:r>
        <w:rPr>
          <w:rFonts w:ascii="Arial Narrow" w:hAnsi="Arial Narrow" w:cs="Arial Narrow"/>
          <w:sz w:val="22"/>
          <w:szCs w:val="22"/>
        </w:rPr>
        <w:t>presunutých výdavkov</w:t>
      </w:r>
      <w:r w:rsidRPr="006A0EC7">
        <w:rPr>
          <w:rFonts w:ascii="Arial Narrow" w:hAnsi="Arial Narrow" w:cs="Arial Narrow"/>
          <w:sz w:val="22"/>
          <w:szCs w:val="22"/>
        </w:rPr>
        <w:t xml:space="preserve"> </w:t>
      </w:r>
      <w:r>
        <w:rPr>
          <w:rFonts w:ascii="Arial Narrow" w:hAnsi="Arial Narrow" w:cs="Arial Narrow"/>
          <w:sz w:val="22"/>
          <w:szCs w:val="22"/>
        </w:rPr>
        <w:t>v oblasti implementácie politík MVRR SR a cestovného ruchu,</w:t>
      </w:r>
      <w:r w:rsidRPr="006A0EC7">
        <w:rPr>
          <w:rFonts w:ascii="Arial Narrow" w:hAnsi="Arial Narrow" w:cs="Arial Narrow"/>
          <w:sz w:val="22"/>
          <w:szCs w:val="22"/>
        </w:rPr>
        <w:t xml:space="preserve"> </w:t>
      </w:r>
      <w:r>
        <w:rPr>
          <w:rFonts w:ascii="Arial Narrow" w:hAnsi="Arial Narrow" w:cs="Arial Narrow"/>
          <w:sz w:val="22"/>
          <w:szCs w:val="22"/>
        </w:rPr>
        <w:t xml:space="preserve">výdavky </w:t>
      </w:r>
      <w:r w:rsidRPr="006A0EC7">
        <w:rPr>
          <w:rFonts w:ascii="Arial Narrow" w:hAnsi="Arial Narrow" w:cs="Arial Narrow"/>
          <w:sz w:val="22"/>
          <w:szCs w:val="22"/>
        </w:rPr>
        <w:t>na tovary a služby medziročne</w:t>
      </w:r>
      <w:r>
        <w:rPr>
          <w:rFonts w:ascii="Arial Narrow" w:hAnsi="Arial Narrow" w:cs="Arial Narrow"/>
          <w:sz w:val="22"/>
          <w:szCs w:val="22"/>
        </w:rPr>
        <w:t xml:space="preserve"> rastú o 51,8</w:t>
      </w:r>
      <w:r w:rsidRPr="006A0EC7">
        <w:rPr>
          <w:rFonts w:ascii="Arial Narrow" w:hAnsi="Arial Narrow" w:cs="Arial Narrow"/>
          <w:sz w:val="22"/>
          <w:szCs w:val="22"/>
        </w:rPr>
        <w:t xml:space="preserve"> %. </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t xml:space="preserve">Výdavky na bežné transfery v roku 2011 sú v porovnaní so schváleným rozpočtom roku 2010 vyššie o 44,1 % z dôvodu presunu kompetencií v oblasti implementácie politík MVRR SR, podpory rozvoja bývania  a cestovného ruchu. </w:t>
      </w:r>
      <w:r w:rsidRPr="006A0EC7">
        <w:rPr>
          <w:rFonts w:ascii="Arial Narrow" w:hAnsi="Arial Narrow" w:cs="Arial Narrow"/>
          <w:sz w:val="22"/>
          <w:szCs w:val="22"/>
        </w:rPr>
        <w:t xml:space="preserve">Pri abstrahovaní </w:t>
      </w:r>
      <w:r>
        <w:rPr>
          <w:rFonts w:ascii="Arial Narrow" w:hAnsi="Arial Narrow" w:cs="Arial Narrow"/>
          <w:sz w:val="22"/>
          <w:szCs w:val="22"/>
        </w:rPr>
        <w:t>uvedených presunutých výdavkov,</w:t>
      </w:r>
      <w:r w:rsidRPr="006A0EC7">
        <w:rPr>
          <w:rFonts w:ascii="Arial Narrow" w:hAnsi="Arial Narrow" w:cs="Arial Narrow"/>
          <w:sz w:val="22"/>
          <w:szCs w:val="22"/>
        </w:rPr>
        <w:t xml:space="preserve"> výdavky </w:t>
      </w:r>
      <w:r>
        <w:rPr>
          <w:rFonts w:ascii="Arial Narrow" w:hAnsi="Arial Narrow" w:cs="Arial Narrow"/>
          <w:sz w:val="22"/>
          <w:szCs w:val="22"/>
        </w:rPr>
        <w:t xml:space="preserve">na bežné transfery </w:t>
      </w:r>
      <w:r w:rsidRPr="006A0EC7">
        <w:rPr>
          <w:rFonts w:ascii="Arial Narrow" w:hAnsi="Arial Narrow" w:cs="Arial Narrow"/>
          <w:sz w:val="22"/>
          <w:szCs w:val="22"/>
        </w:rPr>
        <w:t>medziročne</w:t>
      </w:r>
      <w:r>
        <w:rPr>
          <w:rFonts w:ascii="Arial Narrow" w:hAnsi="Arial Narrow" w:cs="Arial Narrow"/>
          <w:sz w:val="22"/>
          <w:szCs w:val="22"/>
        </w:rPr>
        <w:t xml:space="preserve"> klesajú o 0,35</w:t>
      </w:r>
      <w:r w:rsidRPr="006A0EC7">
        <w:rPr>
          <w:rFonts w:ascii="Arial Narrow" w:hAnsi="Arial Narrow" w:cs="Arial Narrow"/>
          <w:sz w:val="22"/>
          <w:szCs w:val="22"/>
        </w:rPr>
        <w:t xml:space="preserve"> %.</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t xml:space="preserve">Kapitálové výdavky v roku 2011 sú v porovnaní so schváleným rozpočtom roku 2010 vyššie o 217 % z dôvodu presunu kompetencií v oblasti podpory rozvoja bývania a cestovného ruchu, ako aj z dôvodu zvýšenia výdavkov na výstavbu cestnej infraštruktúry a výstavbu a obnovu železničnej siete. </w:t>
      </w:r>
      <w:r w:rsidRPr="006A0EC7">
        <w:rPr>
          <w:rFonts w:ascii="Arial Narrow" w:hAnsi="Arial Narrow" w:cs="Arial Narrow"/>
          <w:sz w:val="22"/>
          <w:szCs w:val="22"/>
        </w:rPr>
        <w:t xml:space="preserve">Pri abstrahovaní od </w:t>
      </w:r>
      <w:r>
        <w:rPr>
          <w:rFonts w:ascii="Arial Narrow" w:hAnsi="Arial Narrow" w:cs="Arial Narrow"/>
          <w:sz w:val="22"/>
          <w:szCs w:val="22"/>
        </w:rPr>
        <w:t>presunutých výdavkov v oblasti podpory rozvoja bývania</w:t>
      </w:r>
      <w:r w:rsidRPr="009843B5">
        <w:rPr>
          <w:rFonts w:ascii="Arial Narrow" w:hAnsi="Arial Narrow" w:cs="Arial Narrow"/>
          <w:sz w:val="22"/>
          <w:szCs w:val="22"/>
        </w:rPr>
        <w:t xml:space="preserve"> </w:t>
      </w:r>
      <w:r>
        <w:rPr>
          <w:rFonts w:ascii="Arial Narrow" w:hAnsi="Arial Narrow" w:cs="Arial Narrow"/>
          <w:sz w:val="22"/>
          <w:szCs w:val="22"/>
        </w:rPr>
        <w:t>a cestovného ruchu,</w:t>
      </w:r>
      <w:r w:rsidRPr="006A0EC7">
        <w:rPr>
          <w:rFonts w:ascii="Arial Narrow" w:hAnsi="Arial Narrow" w:cs="Arial Narrow"/>
          <w:sz w:val="22"/>
          <w:szCs w:val="22"/>
        </w:rPr>
        <w:t xml:space="preserve"> </w:t>
      </w:r>
      <w:r>
        <w:rPr>
          <w:rFonts w:ascii="Arial Narrow" w:hAnsi="Arial Narrow" w:cs="Arial Narrow"/>
          <w:sz w:val="22"/>
          <w:szCs w:val="22"/>
        </w:rPr>
        <w:t>kapitálové</w:t>
      </w:r>
      <w:r w:rsidRPr="006A0EC7">
        <w:rPr>
          <w:rFonts w:ascii="Arial Narrow" w:hAnsi="Arial Narrow" w:cs="Arial Narrow"/>
          <w:sz w:val="22"/>
          <w:szCs w:val="22"/>
        </w:rPr>
        <w:t xml:space="preserve"> výdavky</w:t>
      </w:r>
      <w:r>
        <w:rPr>
          <w:rFonts w:ascii="Arial Narrow" w:hAnsi="Arial Narrow" w:cs="Arial Narrow"/>
          <w:sz w:val="22"/>
          <w:szCs w:val="22"/>
        </w:rPr>
        <w:t xml:space="preserve"> rastú o 200 %.</w:t>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Výdavky kapitoly Ministerstva dopravy, pôšt a telekomunikácií SR sú smerované do oblastí:</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Cestná infraštruktúra</w:t>
      </w:r>
    </w:p>
    <w:p w:rsidR="001E5B24" w:rsidRPr="006259BE" w:rsidP="001E5B24">
      <w:pPr>
        <w:bidi w:val="0"/>
        <w:jc w:val="both"/>
        <w:rPr>
          <w:rFonts w:ascii="Arial Narrow" w:hAnsi="Arial Narrow" w:cs="Arial Narrow"/>
          <w:sz w:val="22"/>
          <w:szCs w:val="22"/>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7"/>
        <w:gridCol w:w="948"/>
        <w:gridCol w:w="947"/>
        <w:gridCol w:w="948"/>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b/>
                <w:bCs/>
                <w:sz w:val="16"/>
                <w:szCs w:val="16"/>
              </w:rPr>
            </w:pPr>
            <w:r w:rsidRPr="002504EC">
              <w:rPr>
                <w:rFonts w:ascii="Arial Narrow" w:hAnsi="Arial Narrow" w:cs="Arial Narrow"/>
                <w:b/>
                <w:bCs/>
                <w:sz w:val="16"/>
                <w:szCs w:val="16"/>
              </w:rPr>
              <w:t> 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2010 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2013 N</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504EC" w:rsidP="001E5B24">
            <w:pPr>
              <w:bidi w:val="0"/>
              <w:rPr>
                <w:rFonts w:ascii="Arial Narrow" w:hAnsi="Arial Narrow" w:cs="Arial Narrow"/>
                <w:b/>
                <w:bCs/>
                <w:color w:val="000000"/>
                <w:sz w:val="16"/>
                <w:szCs w:val="16"/>
              </w:rPr>
            </w:pPr>
            <w:r>
              <w:rPr>
                <w:rFonts w:ascii="Arial Narrow" w:hAnsi="Arial Narrow" w:cs="Arial Narrow"/>
                <w:b/>
                <w:bCs/>
                <w:color w:val="000000"/>
                <w:sz w:val="16"/>
                <w:szCs w:val="16"/>
              </w:rPr>
              <w:t>Cestná infraštruktúra celkom, z toho:</w:t>
            </w:r>
          </w:p>
        </w:tc>
        <w:tc>
          <w:tcPr>
            <w:tcW w:w="94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574 834</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722 021</w:t>
            </w:r>
          </w:p>
        </w:tc>
        <w:tc>
          <w:tcPr>
            <w:tcW w:w="94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761 771</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946 280</w:t>
            </w:r>
          </w:p>
        </w:tc>
        <w:tc>
          <w:tcPr>
            <w:tcW w:w="94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923 508</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2504EC" w:rsidP="001E5B24">
            <w:pPr>
              <w:bidi w:val="0"/>
              <w:jc w:val="right"/>
              <w:rPr>
                <w:rFonts w:ascii="Arial Narrow" w:hAnsi="Arial Narrow" w:cs="Arial Narrow"/>
                <w:b/>
                <w:bCs/>
                <w:color w:val="000000"/>
                <w:sz w:val="16"/>
                <w:szCs w:val="16"/>
              </w:rPr>
            </w:pPr>
            <w:r w:rsidRPr="002504EC">
              <w:rPr>
                <w:rFonts w:ascii="Arial Narrow" w:hAnsi="Arial Narrow" w:cs="Arial Narrow"/>
                <w:b/>
                <w:bCs/>
                <w:color w:val="000000"/>
                <w:sz w:val="16"/>
                <w:szCs w:val="16"/>
              </w:rPr>
              <w:t>975 088</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štátny rozpočet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419 423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384 569</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252 840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596 683</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357 712</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385 678</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presun z min</w:t>
            </w:r>
            <w:r>
              <w:rPr>
                <w:rFonts w:ascii="Arial Narrow" w:hAnsi="Arial Narrow" w:cs="Arial Narrow"/>
                <w:color w:val="000000"/>
                <w:sz w:val="16"/>
                <w:szCs w:val="16"/>
              </w:rPr>
              <w:t>ulých</w:t>
            </w:r>
            <w:r w:rsidRPr="002504EC">
              <w:rPr>
                <w:rFonts w:ascii="Arial Narrow" w:hAnsi="Arial Narrow" w:cs="Arial Narrow"/>
                <w:color w:val="000000"/>
                <w:sz w:val="16"/>
                <w:szCs w:val="16"/>
              </w:rPr>
              <w:t xml:space="preserve"> rokov § 8</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33 830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49 731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EÚ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91 265</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237 038</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423 622</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297 930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482 018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500 723</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spolufinancovanie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29 869</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50 602</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85 309</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51 667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83 778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88 687</w:t>
            </w:r>
          </w:p>
        </w:tc>
      </w:tr>
      <w:tr>
        <w:tblPrEx>
          <w:tblW w:w="9100" w:type="dxa"/>
          <w:tblInd w:w="57" w:type="dxa"/>
          <w:tblLayout w:type="fixed"/>
          <w:tblCellMar>
            <w:left w:w="70" w:type="dxa"/>
            <w:right w:w="70" w:type="dxa"/>
          </w:tblCellMar>
          <w:tblLook w:val="00A0"/>
        </w:tblPrEx>
        <w:trPr>
          <w:trHeight w:val="24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iné zdroje (mimorozpočtové a ISPA)</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447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r>
    </w:tbl>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Na výdavky súvisiace s cestnou infraštruktúrou je rozpočtovaných 946 mil. eur</w:t>
      </w:r>
      <w:r>
        <w:rPr>
          <w:rFonts w:ascii="Arial Narrow" w:hAnsi="Arial Narrow" w:cs="Arial Narrow"/>
          <w:sz w:val="22"/>
          <w:szCs w:val="22"/>
        </w:rPr>
        <w:t xml:space="preserve"> vrátane prostriedkov zo zdrojov EÚ a spolufinancovania. </w:t>
      </w:r>
      <w:r w:rsidRPr="006259BE">
        <w:rPr>
          <w:rFonts w:ascii="Arial Narrow" w:hAnsi="Arial Narrow" w:cs="Arial Narrow"/>
          <w:sz w:val="22"/>
          <w:szCs w:val="22"/>
        </w:rPr>
        <w:t>Výdavky v roku 2011 v porovnaní s</w:t>
      </w:r>
      <w:r>
        <w:rPr>
          <w:rFonts w:ascii="Arial Narrow" w:hAnsi="Arial Narrow" w:cs="Arial Narrow"/>
          <w:sz w:val="22"/>
          <w:szCs w:val="22"/>
        </w:rPr>
        <w:t xml:space="preserve">o schváleným rozpočtom </w:t>
      </w:r>
      <w:r w:rsidRPr="006259BE">
        <w:rPr>
          <w:rFonts w:ascii="Arial Narrow" w:hAnsi="Arial Narrow" w:cs="Arial Narrow"/>
          <w:sz w:val="22"/>
          <w:szCs w:val="22"/>
        </w:rPr>
        <w:t> rok</w:t>
      </w:r>
      <w:r>
        <w:rPr>
          <w:rFonts w:ascii="Arial Narrow" w:hAnsi="Arial Narrow" w:cs="Arial Narrow"/>
          <w:sz w:val="22"/>
          <w:szCs w:val="22"/>
        </w:rPr>
        <w:t>u</w:t>
      </w:r>
      <w:r w:rsidRPr="006259BE">
        <w:rPr>
          <w:rFonts w:ascii="Arial Narrow" w:hAnsi="Arial Narrow" w:cs="Arial Narrow"/>
          <w:sz w:val="22"/>
          <w:szCs w:val="22"/>
        </w:rPr>
        <w:t xml:space="preserve"> 2010 rastú o 24,2 %, </w:t>
      </w:r>
      <w:r w:rsidR="007C7DA8">
        <w:rPr>
          <w:rFonts w:ascii="Arial Narrow" w:hAnsi="Arial Narrow" w:cs="Arial Narrow"/>
          <w:sz w:val="22"/>
          <w:szCs w:val="22"/>
        </w:rPr>
        <w:t>t. j.</w:t>
      </w:r>
      <w:r w:rsidRPr="006259BE">
        <w:rPr>
          <w:rFonts w:ascii="Arial Narrow" w:hAnsi="Arial Narrow" w:cs="Arial Narrow"/>
          <w:sz w:val="22"/>
          <w:szCs w:val="22"/>
        </w:rPr>
        <w:t xml:space="preserve"> o 185 mil. eur.</w:t>
      </w:r>
    </w:p>
    <w:p w:rsidR="001E5B24" w:rsidRPr="006259BE" w:rsidP="001E5B24">
      <w:pPr>
        <w:bidi w:val="0"/>
        <w:ind w:firstLine="708"/>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Prostriedky zo štátneho rozpočtu v porovnaní s</w:t>
      </w:r>
      <w:r>
        <w:rPr>
          <w:rFonts w:ascii="Arial Narrow" w:hAnsi="Arial Narrow" w:cs="Arial Narrow"/>
          <w:sz w:val="22"/>
          <w:szCs w:val="22"/>
        </w:rPr>
        <w:t xml:space="preserve">o schváleným rozpočtom </w:t>
      </w:r>
      <w:r w:rsidRPr="006259BE">
        <w:rPr>
          <w:rFonts w:ascii="Arial Narrow" w:hAnsi="Arial Narrow" w:cs="Arial Narrow"/>
          <w:sz w:val="22"/>
          <w:szCs w:val="22"/>
        </w:rPr>
        <w:t> rok</w:t>
      </w:r>
      <w:r>
        <w:rPr>
          <w:rFonts w:ascii="Arial Narrow" w:hAnsi="Arial Narrow" w:cs="Arial Narrow"/>
          <w:sz w:val="22"/>
          <w:szCs w:val="22"/>
        </w:rPr>
        <w:t>u</w:t>
      </w:r>
      <w:r w:rsidRPr="006259BE">
        <w:rPr>
          <w:rFonts w:ascii="Arial Narrow" w:hAnsi="Arial Narrow" w:cs="Arial Narrow"/>
          <w:sz w:val="22"/>
          <w:szCs w:val="22"/>
        </w:rPr>
        <w:t xml:space="preserve"> 2010 rastú o 136 %, t.</w:t>
      </w:r>
      <w:r w:rsidR="008E59B4">
        <w:rPr>
          <w:rFonts w:ascii="Arial Narrow" w:hAnsi="Arial Narrow" w:cs="Arial Narrow"/>
          <w:sz w:val="22"/>
          <w:szCs w:val="22"/>
        </w:rPr>
        <w:t xml:space="preserve"> </w:t>
      </w:r>
      <w:r w:rsidRPr="006259BE">
        <w:rPr>
          <w:rFonts w:ascii="Arial Narrow" w:hAnsi="Arial Narrow" w:cs="Arial Narrow"/>
          <w:sz w:val="22"/>
          <w:szCs w:val="22"/>
        </w:rPr>
        <w:t xml:space="preserve">j. o 344 mil. eur z dôvodu rozpočtovania výdavkov na platbu za dostupnosť, na úhradu DPH a zvýšenia výdavkov na výstavbu  diaľnic.  </w:t>
      </w:r>
    </w:p>
    <w:p w:rsidR="001E5B24" w:rsidRPr="006259BE" w:rsidP="001E5B24">
      <w:pPr>
        <w:bidi w:val="0"/>
        <w:jc w:val="both"/>
        <w:rPr>
          <w:rFonts w:ascii="Arial Narrow" w:hAnsi="Arial Narrow" w:cs="Arial Narrow"/>
          <w:sz w:val="22"/>
          <w:szCs w:val="22"/>
        </w:rPr>
      </w:pPr>
    </w:p>
    <w:p w:rsidR="001E5B24" w:rsidRPr="007D3FE9" w:rsidP="001E5B24">
      <w:pPr>
        <w:bidi w:val="0"/>
        <w:jc w:val="both"/>
        <w:rPr>
          <w:rFonts w:ascii="Arial Narrow" w:hAnsi="Arial Narrow" w:cs="Arial Narrow"/>
          <w:i/>
          <w:iCs/>
          <w:sz w:val="22"/>
          <w:szCs w:val="22"/>
        </w:rPr>
      </w:pPr>
      <w:r w:rsidRPr="007D3FE9">
        <w:rPr>
          <w:rFonts w:ascii="Arial Narrow" w:hAnsi="Arial Narrow" w:cs="Arial Narrow"/>
          <w:i/>
          <w:iCs/>
          <w:sz w:val="22"/>
          <w:szCs w:val="22"/>
        </w:rPr>
        <w:t>Správa a údržba</w:t>
      </w:r>
    </w:p>
    <w:p w:rsidR="001E5B24" w:rsidP="001E5B24">
      <w:pPr>
        <w:bidi w:val="0"/>
        <w:jc w:val="both"/>
        <w:rPr>
          <w:rFonts w:ascii="Arial Narrow" w:hAnsi="Arial Narrow" w:cs="Arial Narrow"/>
          <w:sz w:val="22"/>
          <w:szCs w:val="22"/>
        </w:rPr>
      </w:pPr>
    </w:p>
    <w:tbl>
      <w:tblPr>
        <w:tblStyle w:val="TableNormal"/>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8"/>
        <w:gridCol w:w="947"/>
        <w:gridCol w:w="948"/>
        <w:gridCol w:w="948"/>
      </w:tblGrid>
      <w:tr>
        <w:tblPrEx>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4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rPr>
                <w:rFonts w:ascii="Arial Narrow" w:hAnsi="Arial Narrow" w:cs="Arial Narrow"/>
                <w:b/>
                <w:bCs/>
                <w:sz w:val="16"/>
                <w:szCs w:val="16"/>
              </w:rPr>
            </w:pPr>
            <w:r w:rsidRPr="009D6CF9">
              <w:rPr>
                <w:rFonts w:ascii="Arial Narrow" w:hAnsi="Arial Narrow" w:cs="Arial Narrow"/>
                <w:b/>
                <w:bCs/>
                <w:sz w:val="16"/>
                <w:szCs w:val="16"/>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2009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2010 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2011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D6CF9" w:rsidP="001E5B24">
            <w:pPr>
              <w:bidi w:val="0"/>
              <w:jc w:val="center"/>
              <w:rPr>
                <w:rFonts w:ascii="Arial Narrow" w:hAnsi="Arial Narrow" w:cs="Arial Narrow"/>
                <w:b/>
                <w:bCs/>
                <w:sz w:val="16"/>
                <w:szCs w:val="16"/>
              </w:rPr>
            </w:pPr>
            <w:r w:rsidRPr="009D6CF9">
              <w:rPr>
                <w:rFonts w:ascii="Arial Narrow" w:hAnsi="Arial Narrow" w:cs="Arial Narrow"/>
                <w:b/>
                <w:bCs/>
                <w:sz w:val="16"/>
                <w:szCs w:val="16"/>
              </w:rPr>
              <w:t>2013 N</w:t>
            </w:r>
          </w:p>
        </w:tc>
      </w:tr>
      <w:tr>
        <w:tblPrEx>
          <w:tblW w:w="9101" w:type="dxa"/>
          <w:tblInd w:w="57" w:type="dxa"/>
          <w:tblLayout w:type="fixed"/>
          <w:tblCellMar>
            <w:left w:w="70" w:type="dxa"/>
            <w:right w:w="70" w:type="dxa"/>
          </w:tblCellMar>
          <w:tblLook w:val="00A0"/>
        </w:tblPrEx>
        <w:trPr>
          <w:trHeight w:val="249"/>
        </w:trPr>
        <w:tc>
          <w:tcPr>
            <w:tcW w:w="3415" w:type="dxa"/>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1E5B24" w:rsidRPr="00EA51A2" w:rsidP="001E5B24">
            <w:pPr>
              <w:bidi w:val="0"/>
              <w:rPr>
                <w:rFonts w:ascii="Arial Narrow" w:hAnsi="Arial Narrow" w:cs="Arial Narrow"/>
                <w:bCs/>
                <w:color w:val="000000"/>
                <w:sz w:val="16"/>
                <w:szCs w:val="16"/>
              </w:rPr>
            </w:pPr>
            <w:r w:rsidRPr="00EA51A2">
              <w:rPr>
                <w:rFonts w:ascii="Arial Narrow" w:hAnsi="Arial Narrow" w:cs="Arial Narrow"/>
                <w:bCs/>
                <w:sz w:val="16"/>
                <w:szCs w:val="16"/>
              </w:rPr>
              <w:t>Správa, údržba a opravy ciest a diaľnic</w:t>
            </w:r>
          </w:p>
        </w:tc>
        <w:tc>
          <w:tcPr>
            <w:tcW w:w="947"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 xml:space="preserve">71 813 </w:t>
            </w:r>
          </w:p>
        </w:tc>
        <w:tc>
          <w:tcPr>
            <w:tcW w:w="94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91 733</w:t>
            </w:r>
          </w:p>
        </w:tc>
        <w:tc>
          <w:tcPr>
            <w:tcW w:w="94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70 274</w:t>
            </w:r>
          </w:p>
        </w:tc>
        <w:tc>
          <w:tcPr>
            <w:tcW w:w="947"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65 208</w:t>
            </w:r>
          </w:p>
        </w:tc>
        <w:tc>
          <w:tcPr>
            <w:tcW w:w="94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66 469</w:t>
            </w:r>
          </w:p>
        </w:tc>
        <w:tc>
          <w:tcPr>
            <w:tcW w:w="948"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EA51A2" w:rsidP="001E5B24">
            <w:pPr>
              <w:bidi w:val="0"/>
              <w:jc w:val="right"/>
              <w:rPr>
                <w:rFonts w:ascii="Arial Narrow" w:hAnsi="Arial Narrow" w:cs="Arial Narrow"/>
                <w:bCs/>
                <w:color w:val="000000"/>
                <w:sz w:val="16"/>
                <w:szCs w:val="16"/>
              </w:rPr>
            </w:pPr>
            <w:r w:rsidRPr="00EA51A2">
              <w:rPr>
                <w:rFonts w:ascii="Arial Narrow" w:hAnsi="Arial Narrow" w:cs="Arial Narrow"/>
                <w:bCs/>
                <w:color w:val="000000"/>
                <w:sz w:val="16"/>
                <w:szCs w:val="16"/>
              </w:rPr>
              <w:t>65 736</w:t>
            </w:r>
          </w:p>
        </w:tc>
      </w:tr>
    </w:tbl>
    <w:p w:rsidR="001E5B24" w:rsidP="001E5B24">
      <w:pPr>
        <w:bidi w:val="0"/>
        <w:jc w:val="both"/>
        <w:rPr>
          <w:rFonts w:ascii="Arial Narrow" w:hAnsi="Arial Narrow" w:cs="Arial Narrow"/>
          <w:b/>
          <w:bCs/>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Na správu a údržbu ciest a diaľnic je rozpočtovaných 65,2 mil. eur, čo v porovnaní s</w:t>
      </w:r>
      <w:r>
        <w:rPr>
          <w:rFonts w:ascii="Arial Narrow" w:hAnsi="Arial Narrow" w:cs="Arial Narrow"/>
          <w:sz w:val="22"/>
          <w:szCs w:val="22"/>
        </w:rPr>
        <w:t>o schváleným rozpočtom roku</w:t>
      </w:r>
      <w:r w:rsidRPr="006259BE">
        <w:rPr>
          <w:rFonts w:ascii="Arial Narrow" w:hAnsi="Arial Narrow" w:cs="Arial Narrow"/>
          <w:sz w:val="22"/>
          <w:szCs w:val="22"/>
        </w:rPr>
        <w:t xml:space="preserve"> 2010 predstavuje pokles o 7,2</w:t>
      </w:r>
      <w:r>
        <w:rPr>
          <w:rFonts w:ascii="Arial Narrow" w:hAnsi="Arial Narrow" w:cs="Arial Narrow"/>
          <w:sz w:val="22"/>
          <w:szCs w:val="22"/>
        </w:rPr>
        <w:t>1</w:t>
      </w:r>
      <w:r w:rsidRPr="006259BE">
        <w:rPr>
          <w:rFonts w:ascii="Arial Narrow" w:hAnsi="Arial Narrow" w:cs="Arial Narrow"/>
          <w:sz w:val="22"/>
          <w:szCs w:val="22"/>
        </w:rPr>
        <w:t xml:space="preserve">%, </w:t>
      </w:r>
      <w:r w:rsidR="007C7DA8">
        <w:rPr>
          <w:rFonts w:ascii="Arial Narrow" w:hAnsi="Arial Narrow" w:cs="Arial Narrow"/>
          <w:sz w:val="22"/>
          <w:szCs w:val="22"/>
        </w:rPr>
        <w:t>t. j.</w:t>
      </w:r>
      <w:r w:rsidRPr="006259BE">
        <w:rPr>
          <w:rFonts w:ascii="Arial Narrow" w:hAnsi="Arial Narrow" w:cs="Arial Narrow"/>
          <w:sz w:val="22"/>
          <w:szCs w:val="22"/>
        </w:rPr>
        <w:t xml:space="preserve"> 5,07 mil. eur. Správa a údržba cestnej infraštruktúry je zabezpečovaná prostredníctvom Slovenskej správy ciest (SSC)</w:t>
      </w:r>
      <w:r>
        <w:rPr>
          <w:rFonts w:ascii="Arial Narrow" w:hAnsi="Arial Narrow" w:cs="Arial Narrow"/>
          <w:sz w:val="22"/>
          <w:szCs w:val="22"/>
        </w:rPr>
        <w:t xml:space="preserve"> a</w:t>
      </w:r>
      <w:r w:rsidRPr="006259BE">
        <w:rPr>
          <w:rFonts w:ascii="Arial Narrow" w:hAnsi="Arial Narrow" w:cs="Arial Narrow"/>
          <w:sz w:val="22"/>
          <w:szCs w:val="22"/>
        </w:rPr>
        <w:t xml:space="preserve"> Národnej diaľničnej spoločnosti (NDS)</w:t>
      </w:r>
      <w:r>
        <w:rPr>
          <w:rFonts w:ascii="Arial Narrow" w:hAnsi="Arial Narrow" w:cs="Arial Narrow"/>
          <w:sz w:val="22"/>
          <w:szCs w:val="22"/>
        </w:rPr>
        <w:t xml:space="preserve">. </w:t>
      </w:r>
      <w:r w:rsidRPr="006259BE">
        <w:rPr>
          <w:rFonts w:ascii="Arial Narrow" w:hAnsi="Arial Narrow" w:cs="Arial Narrow"/>
          <w:sz w:val="22"/>
          <w:szCs w:val="22"/>
        </w:rPr>
        <w:t>Pre SSC, ktorá je zodpovedná za správu a údržbu ciest I. triedy je rozpočtovaných 37,5 mil. eur a pre NDS na prípravu, realizáciu opráv diaľnic a</w:t>
      </w:r>
      <w:r>
        <w:rPr>
          <w:rFonts w:ascii="Arial Narrow" w:hAnsi="Arial Narrow" w:cs="Arial Narrow"/>
          <w:sz w:val="22"/>
          <w:szCs w:val="22"/>
        </w:rPr>
        <w:t> rýchlostných ciest</w:t>
      </w:r>
      <w:r w:rsidRPr="006259BE">
        <w:rPr>
          <w:rFonts w:ascii="Arial Narrow" w:hAnsi="Arial Narrow" w:cs="Arial Narrow"/>
          <w:sz w:val="22"/>
          <w:szCs w:val="22"/>
        </w:rPr>
        <w:t xml:space="preserve"> je rozpočtovaných 27,7 mil. eur. </w:t>
      </w:r>
      <w:r w:rsidRPr="007D3FE9">
        <w:rPr>
          <w:rFonts w:ascii="Arial Narrow" w:hAnsi="Arial Narrow" w:cs="Arial Narrow"/>
          <w:sz w:val="22"/>
          <w:szCs w:val="22"/>
        </w:rPr>
        <w:t>Správu a údržbu diaľnic a rýchlostných ciest vykonáva NDS aj z vlastných zdrojov.</w:t>
      </w:r>
    </w:p>
    <w:p w:rsidR="001E5B24" w:rsidRPr="006259BE" w:rsidP="001E5B24">
      <w:pPr>
        <w:bidi w:val="0"/>
        <w:jc w:val="both"/>
        <w:rPr>
          <w:rFonts w:ascii="Arial Narrow" w:hAnsi="Arial Narrow" w:cs="Arial Narrow"/>
          <w:sz w:val="22"/>
          <w:szCs w:val="22"/>
        </w:rPr>
      </w:pPr>
    </w:p>
    <w:p w:rsidR="001E5B24" w:rsidRPr="007D3FE9" w:rsidP="001E5B24">
      <w:pPr>
        <w:bidi w:val="0"/>
        <w:jc w:val="both"/>
        <w:rPr>
          <w:rFonts w:ascii="Arial Narrow" w:hAnsi="Arial Narrow" w:cs="Arial Narrow"/>
          <w:i/>
          <w:iCs/>
          <w:sz w:val="22"/>
          <w:szCs w:val="22"/>
        </w:rPr>
      </w:pPr>
      <w:r w:rsidRPr="007D3FE9">
        <w:rPr>
          <w:rFonts w:ascii="Arial Narrow" w:hAnsi="Arial Narrow" w:cs="Arial Narrow"/>
          <w:i/>
          <w:iCs/>
          <w:sz w:val="22"/>
          <w:szCs w:val="22"/>
        </w:rPr>
        <w:t>Výstavba ciest, diaľnic a rýchlostných ciest</w:t>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Na výstavbu ciest</w:t>
      </w:r>
      <w:r>
        <w:rPr>
          <w:rFonts w:ascii="Arial Narrow" w:hAnsi="Arial Narrow" w:cs="Arial Narrow"/>
          <w:sz w:val="22"/>
          <w:szCs w:val="22"/>
        </w:rPr>
        <w:t xml:space="preserve">, diaľnic a rýchlostných ciest </w:t>
      </w:r>
      <w:r w:rsidRPr="006259BE">
        <w:rPr>
          <w:rFonts w:ascii="Arial Narrow" w:hAnsi="Arial Narrow" w:cs="Arial Narrow"/>
          <w:sz w:val="22"/>
          <w:szCs w:val="22"/>
        </w:rPr>
        <w:t xml:space="preserve">sa v roku 2011 </w:t>
      </w:r>
      <w:r>
        <w:rPr>
          <w:rFonts w:ascii="Arial Narrow" w:hAnsi="Arial Narrow" w:cs="Arial Narrow"/>
          <w:sz w:val="22"/>
          <w:szCs w:val="22"/>
        </w:rPr>
        <w:t>rozpočtujú výdavky vrátane zdrojov z EÚ a spolufinancovania v sume 706 mil. eur, čo v porovnaní so schváleným rozpočtom roku 2010 predstavuje zvýšenie o 2,15%.</w:t>
      </w:r>
    </w:p>
    <w:p w:rsidR="001E5B24" w:rsidP="001E5B24">
      <w:pPr>
        <w:bidi w:val="0"/>
        <w:ind w:firstLine="708"/>
        <w:jc w:val="both"/>
        <w:rPr>
          <w:rFonts w:ascii="Arial Narrow" w:hAnsi="Arial Narrow" w:cs="Arial Narrow"/>
          <w:sz w:val="22"/>
          <w:szCs w:val="22"/>
        </w:rPr>
      </w:pPr>
    </w:p>
    <w:tbl>
      <w:tblPr>
        <w:tblStyle w:val="TableNormal"/>
        <w:tblW w:w="91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982"/>
        <w:gridCol w:w="853"/>
        <w:gridCol w:w="853"/>
        <w:gridCol w:w="854"/>
        <w:gridCol w:w="853"/>
        <w:gridCol w:w="853"/>
        <w:gridCol w:w="854"/>
      </w:tblGrid>
      <w:tr>
        <w:tblPrEx>
          <w:tblW w:w="91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b/>
                <w:bCs/>
                <w:sz w:val="16"/>
                <w:szCs w:val="16"/>
              </w:rPr>
            </w:pPr>
            <w:r w:rsidRPr="002504EC">
              <w:rPr>
                <w:rFonts w:ascii="Arial Narrow" w:hAnsi="Arial Narrow" w:cs="Arial Narrow"/>
                <w:b/>
                <w:bCs/>
                <w:sz w:val="16"/>
                <w:szCs w:val="16"/>
              </w:rPr>
              <w:t>v tis. eur</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2008 S</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2009 S</w:t>
            </w:r>
          </w:p>
        </w:tc>
        <w:tc>
          <w:tcPr>
            <w:tcW w:w="85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2010 R</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2011 N</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2012 N</w:t>
            </w:r>
          </w:p>
        </w:tc>
        <w:tc>
          <w:tcPr>
            <w:tcW w:w="85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2013 N</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1E5B24" w:rsidRPr="00EA51A2" w:rsidP="001E5B24">
            <w:pPr>
              <w:bidi w:val="0"/>
              <w:rPr>
                <w:rFonts w:ascii="Arial Narrow" w:hAnsi="Arial Narrow" w:cs="Arial Narrow"/>
                <w:b/>
                <w:bCs/>
                <w:sz w:val="16"/>
                <w:szCs w:val="16"/>
              </w:rPr>
            </w:pPr>
            <w:r w:rsidRPr="00EA51A2">
              <w:rPr>
                <w:rFonts w:ascii="Arial Narrow" w:hAnsi="Arial Narrow" w:cs="Arial Narrow"/>
                <w:b/>
                <w:bCs/>
                <w:sz w:val="16"/>
                <w:szCs w:val="16"/>
              </w:rPr>
              <w:t>Výstavba ciest, diaľnic a rýchlostných ciest celkom, z toho:</w:t>
            </w:r>
          </w:p>
        </w:tc>
        <w:tc>
          <w:tcPr>
            <w:tcW w:w="8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503 020</w:t>
            </w:r>
          </w:p>
        </w:tc>
        <w:tc>
          <w:tcPr>
            <w:tcW w:w="8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630 288</w:t>
            </w:r>
          </w:p>
        </w:tc>
        <w:tc>
          <w:tcPr>
            <w:tcW w:w="85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691 497</w:t>
            </w:r>
          </w:p>
        </w:tc>
        <w:tc>
          <w:tcPr>
            <w:tcW w:w="8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706 373</w:t>
            </w:r>
          </w:p>
        </w:tc>
        <w:tc>
          <w:tcPr>
            <w:tcW w:w="8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758 948</w:t>
            </w:r>
          </w:p>
        </w:tc>
        <w:tc>
          <w:tcPr>
            <w:tcW w:w="85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EA51A2" w:rsidP="001E5B24">
            <w:pPr>
              <w:bidi w:val="0"/>
              <w:jc w:val="right"/>
              <w:rPr>
                <w:rFonts w:ascii="Arial Narrow" w:hAnsi="Arial Narrow" w:cs="Arial Narrow"/>
                <w:b/>
                <w:sz w:val="16"/>
                <w:szCs w:val="16"/>
              </w:rPr>
            </w:pPr>
            <w:r w:rsidRPr="00EA51A2">
              <w:rPr>
                <w:rFonts w:ascii="Arial Narrow" w:hAnsi="Arial Narrow" w:cs="Arial Narrow"/>
                <w:b/>
                <w:sz w:val="16"/>
                <w:szCs w:val="16"/>
              </w:rPr>
              <w:t>782 561</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štátny rozpočet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347 712</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7D3FE9" w:rsidP="001E5B24">
            <w:pPr>
              <w:bidi w:val="0"/>
              <w:jc w:val="right"/>
              <w:rPr>
                <w:rFonts w:ascii="Arial Narrow" w:hAnsi="Arial Narrow" w:cs="Arial Narrow"/>
                <w:color w:val="000000"/>
                <w:sz w:val="16"/>
                <w:szCs w:val="16"/>
              </w:rPr>
            </w:pPr>
            <w:r w:rsidRPr="007D3FE9">
              <w:rPr>
                <w:rFonts w:ascii="Arial Narrow" w:hAnsi="Arial Narrow" w:cs="Arial Narrow"/>
                <w:color w:val="000000"/>
                <w:sz w:val="16"/>
                <w:szCs w:val="16"/>
              </w:rPr>
              <w:t>292 917</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182 566</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356 776</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193 152</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193 152</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presun z min</w:t>
            </w:r>
            <w:r>
              <w:rPr>
                <w:rFonts w:ascii="Arial Narrow" w:hAnsi="Arial Narrow" w:cs="Arial Narrow"/>
                <w:color w:val="000000"/>
                <w:sz w:val="16"/>
                <w:szCs w:val="16"/>
              </w:rPr>
              <w:t>ulých</w:t>
            </w:r>
            <w:r w:rsidRPr="002504EC">
              <w:rPr>
                <w:rFonts w:ascii="Arial Narrow" w:hAnsi="Arial Narrow" w:cs="Arial Narrow"/>
                <w:color w:val="000000"/>
                <w:sz w:val="16"/>
                <w:szCs w:val="16"/>
              </w:rPr>
              <w:t xml:space="preserve"> rokov § 8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33 830</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49 731</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7D3FE9" w:rsidP="001E5B24">
            <w:pPr>
              <w:bidi w:val="0"/>
              <w:jc w:val="right"/>
              <w:rPr>
                <w:rFonts w:ascii="Arial Narrow" w:hAnsi="Arial Narrow" w:cs="Arial Narrow"/>
                <w:color w:val="000000"/>
                <w:sz w:val="16"/>
                <w:szCs w:val="16"/>
              </w:rPr>
            </w:pPr>
            <w:r w:rsidRPr="007D3FE9">
              <w:rPr>
                <w:rFonts w:ascii="Arial Narrow" w:hAnsi="Arial Narrow" w:cs="Arial Narrow"/>
                <w:color w:val="000000"/>
                <w:sz w:val="16"/>
                <w:szCs w:val="16"/>
              </w:rPr>
              <w:t>0 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7D3FE9" w:rsidP="001E5B24">
            <w:pPr>
              <w:bidi w:val="0"/>
              <w:jc w:val="right"/>
              <w:rPr>
                <w:rFonts w:ascii="Arial Narrow" w:hAnsi="Arial Narrow" w:cs="Arial Narrow"/>
                <w:color w:val="000000"/>
                <w:sz w:val="16"/>
                <w:szCs w:val="16"/>
              </w:rPr>
            </w:pPr>
            <w:r w:rsidRPr="007D3FE9">
              <w:rPr>
                <w:rFonts w:ascii="Arial Narrow" w:hAnsi="Arial Narrow" w:cs="Arial Narrow"/>
                <w:color w:val="000000"/>
                <w:sz w:val="16"/>
                <w:szCs w:val="16"/>
              </w:rPr>
              <w:t>0 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7D3FE9" w:rsidP="001E5B24">
            <w:pPr>
              <w:bidi w:val="0"/>
              <w:jc w:val="right"/>
              <w:rPr>
                <w:rFonts w:ascii="Arial Narrow" w:hAnsi="Arial Narrow" w:cs="Arial Narrow"/>
                <w:color w:val="000000"/>
                <w:sz w:val="16"/>
                <w:szCs w:val="16"/>
              </w:rPr>
            </w:pPr>
            <w:r w:rsidRPr="007D3FE9">
              <w:rPr>
                <w:rFonts w:ascii="Arial Narrow" w:hAnsi="Arial Narrow" w:cs="Arial Narrow"/>
                <w:color w:val="000000"/>
                <w:sz w:val="16"/>
                <w:szCs w:val="16"/>
              </w:rPr>
              <w:t>0 </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7D3FE9" w:rsidP="001E5B24">
            <w:pPr>
              <w:bidi w:val="0"/>
              <w:jc w:val="right"/>
              <w:rPr>
                <w:rFonts w:ascii="Arial Narrow" w:hAnsi="Arial Narrow" w:cs="Arial Narrow"/>
                <w:color w:val="000000"/>
                <w:sz w:val="16"/>
                <w:szCs w:val="16"/>
              </w:rPr>
            </w:pPr>
            <w:r w:rsidRPr="007D3FE9">
              <w:rPr>
                <w:rFonts w:ascii="Arial Narrow" w:hAnsi="Arial Narrow" w:cs="Arial Narrow"/>
                <w:color w:val="000000"/>
                <w:sz w:val="16"/>
                <w:szCs w:val="16"/>
              </w:rPr>
              <w:t>0 </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EÚ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91 265</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237 038</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423 622</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297 930</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482 018</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500 722</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zdroj spolufinancovanie  </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29 869</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50 602</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85 309</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51 667</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83 778</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88 687</w:t>
            </w:r>
          </w:p>
        </w:tc>
      </w:tr>
      <w:tr>
        <w:tblPrEx>
          <w:tblW w:w="9102" w:type="dxa"/>
          <w:tblInd w:w="57" w:type="dxa"/>
          <w:tblLayout w:type="fixed"/>
          <w:tblCellMar>
            <w:left w:w="70" w:type="dxa"/>
            <w:right w:w="70" w:type="dxa"/>
          </w:tblCellMar>
          <w:tblLook w:val="00A0"/>
        </w:tblPrEx>
        <w:trPr>
          <w:trHeight w:val="233"/>
        </w:trPr>
        <w:tc>
          <w:tcPr>
            <w:tcW w:w="3982" w:type="dxa"/>
            <w:tcBorders>
              <w:top w:val="single" w:sz="4" w:space="0" w:color="auto"/>
              <w:left w:val="single" w:sz="4" w:space="0" w:color="auto"/>
              <w:bottom w:val="single" w:sz="4" w:space="0" w:color="auto"/>
              <w:right w:val="single" w:sz="4" w:space="0" w:color="auto"/>
            </w:tcBorders>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iné zdroje (mimorozpočtové)</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344</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85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0</w:t>
            </w:r>
          </w:p>
        </w:tc>
      </w:tr>
    </w:tbl>
    <w:p w:rsidR="001E5B24" w:rsidRPr="009D6CF9" w:rsidP="001E5B24">
      <w:pPr>
        <w:bidi w:val="0"/>
        <w:jc w:val="both"/>
        <w:rPr>
          <w:rFonts w:ascii="Arial Narrow" w:hAnsi="Arial Narrow" w:cs="Arial Narrow"/>
          <w:sz w:val="16"/>
          <w:szCs w:val="16"/>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 xml:space="preserve">Výdavky štátneho rozpočtu </w:t>
      </w:r>
      <w:r>
        <w:rPr>
          <w:rFonts w:ascii="Arial Narrow" w:hAnsi="Arial Narrow" w:cs="Arial Narrow"/>
          <w:sz w:val="22"/>
          <w:szCs w:val="22"/>
        </w:rPr>
        <w:t>v porovnaní so schváleným rozpočtom roku 2010 sú vyššie</w:t>
      </w:r>
      <w:r w:rsidRPr="006259BE">
        <w:rPr>
          <w:rFonts w:ascii="Arial Narrow" w:hAnsi="Arial Narrow" w:cs="Arial Narrow"/>
          <w:sz w:val="22"/>
          <w:szCs w:val="22"/>
        </w:rPr>
        <w:t xml:space="preserve"> o</w:t>
      </w:r>
      <w:r>
        <w:rPr>
          <w:rFonts w:ascii="Arial Narrow" w:hAnsi="Arial Narrow" w:cs="Arial Narrow"/>
          <w:sz w:val="22"/>
          <w:szCs w:val="22"/>
        </w:rPr>
        <w:t> 95,4</w:t>
      </w:r>
      <w:r w:rsidRPr="006259BE">
        <w:rPr>
          <w:rFonts w:ascii="Arial Narrow" w:hAnsi="Arial Narrow" w:cs="Arial Narrow"/>
          <w:sz w:val="22"/>
          <w:szCs w:val="22"/>
        </w:rPr>
        <w:t xml:space="preserve"> %, </w:t>
      </w:r>
      <w:r w:rsidR="007C7DA8">
        <w:rPr>
          <w:rFonts w:ascii="Arial Narrow" w:hAnsi="Arial Narrow" w:cs="Arial Narrow"/>
          <w:sz w:val="22"/>
          <w:szCs w:val="22"/>
        </w:rPr>
        <w:t>t. j.</w:t>
      </w:r>
      <w:r w:rsidRPr="006259BE">
        <w:rPr>
          <w:rFonts w:ascii="Arial Narrow" w:hAnsi="Arial Narrow" w:cs="Arial Narrow"/>
          <w:sz w:val="22"/>
          <w:szCs w:val="22"/>
        </w:rPr>
        <w:t xml:space="preserve"> o 174</w:t>
      </w:r>
      <w:r>
        <w:rPr>
          <w:rFonts w:ascii="Arial Narrow" w:hAnsi="Arial Narrow" w:cs="Arial Narrow"/>
          <w:sz w:val="22"/>
          <w:szCs w:val="22"/>
        </w:rPr>
        <w:t xml:space="preserve"> mil. eur.</w:t>
      </w:r>
    </w:p>
    <w:p w:rsidR="001E5B24" w:rsidRPr="006259BE"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 </w:t>
      </w:r>
    </w:p>
    <w:p w:rsidR="001E5B24" w:rsidRPr="007D3FE9" w:rsidP="001E5B24">
      <w:pPr>
        <w:bidi w:val="0"/>
        <w:jc w:val="both"/>
        <w:rPr>
          <w:rFonts w:ascii="Arial Narrow" w:hAnsi="Arial Narrow" w:cs="Arial Narrow"/>
          <w:i/>
          <w:iCs/>
          <w:sz w:val="22"/>
          <w:szCs w:val="22"/>
        </w:rPr>
      </w:pPr>
      <w:r w:rsidRPr="007D3FE9">
        <w:rPr>
          <w:rFonts w:ascii="Arial Narrow" w:hAnsi="Arial Narrow" w:cs="Arial Narrow"/>
          <w:i/>
          <w:iCs/>
          <w:sz w:val="22"/>
          <w:szCs w:val="22"/>
        </w:rPr>
        <w:t>Realizácia projektov PPP</w:t>
      </w:r>
    </w:p>
    <w:p w:rsidR="001E5B24" w:rsidP="001E5B24">
      <w:pPr>
        <w:bidi w:val="0"/>
        <w:jc w:val="both"/>
        <w:rPr>
          <w:rFonts w:ascii="Arial Narrow" w:hAnsi="Arial Narrow" w:cs="Arial Narrow"/>
          <w:sz w:val="22"/>
          <w:szCs w:val="22"/>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7"/>
        <w:gridCol w:w="948"/>
        <w:gridCol w:w="947"/>
        <w:gridCol w:w="948"/>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41"/>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rPr>
                <w:rFonts w:ascii="Arial Narrow" w:hAnsi="Arial Narrow" w:cs="Arial Narrow"/>
                <w:b/>
                <w:bCs/>
                <w:sz w:val="16"/>
                <w:szCs w:val="16"/>
              </w:rPr>
            </w:pPr>
            <w:r w:rsidRPr="0020644E">
              <w:rPr>
                <w:rFonts w:ascii="Arial Narrow" w:hAnsi="Arial Narrow" w:cs="Arial Narrow"/>
                <w:b/>
                <w:bCs/>
                <w:sz w:val="16"/>
                <w:szCs w:val="16"/>
              </w:rPr>
              <w:t> 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2010 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0644E" w:rsidP="001E5B24">
            <w:pPr>
              <w:bidi w:val="0"/>
              <w:jc w:val="center"/>
              <w:rPr>
                <w:rFonts w:ascii="Arial Narrow" w:hAnsi="Arial Narrow" w:cs="Arial Narrow"/>
                <w:b/>
                <w:bCs/>
                <w:sz w:val="16"/>
                <w:szCs w:val="16"/>
              </w:rPr>
            </w:pPr>
            <w:r w:rsidRPr="0020644E">
              <w:rPr>
                <w:rFonts w:ascii="Arial Narrow" w:hAnsi="Arial Narrow" w:cs="Arial Narrow"/>
                <w:b/>
                <w:bCs/>
                <w:sz w:val="16"/>
                <w:szCs w:val="16"/>
              </w:rPr>
              <w:t>2013 N</w:t>
            </w:r>
          </w:p>
        </w:tc>
      </w:tr>
      <w:tr>
        <w:tblPrEx>
          <w:tblW w:w="9100" w:type="dxa"/>
          <w:tblInd w:w="57" w:type="dxa"/>
          <w:tblLayout w:type="fixed"/>
          <w:tblCellMar>
            <w:left w:w="70" w:type="dxa"/>
            <w:right w:w="70" w:type="dxa"/>
          </w:tblCellMar>
          <w:tblLook w:val="00A0"/>
        </w:tblPrEx>
        <w:trPr>
          <w:trHeight w:val="241"/>
        </w:trPr>
        <w:tc>
          <w:tcPr>
            <w:tcW w:w="34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20644E" w:rsidP="001E5B24">
            <w:pPr>
              <w:bidi w:val="0"/>
              <w:rPr>
                <w:rFonts w:ascii="Arial Narrow" w:hAnsi="Arial Narrow" w:cs="Arial Narrow"/>
                <w:b/>
                <w:bCs/>
                <w:color w:val="000000"/>
                <w:sz w:val="16"/>
                <w:szCs w:val="16"/>
              </w:rPr>
            </w:pPr>
            <w:r w:rsidRPr="0020644E">
              <w:rPr>
                <w:rFonts w:ascii="Arial Narrow" w:hAnsi="Arial Narrow" w:cs="Arial Narrow"/>
                <w:b/>
                <w:bCs/>
                <w:sz w:val="16"/>
                <w:szCs w:val="16"/>
              </w:rPr>
              <w:t>Realizácia projektov PPP</w:t>
            </w:r>
            <w:r>
              <w:rPr>
                <w:rFonts w:ascii="Arial Narrow" w:hAnsi="Arial Narrow" w:cs="Arial Narrow"/>
                <w:b/>
                <w:bCs/>
                <w:sz w:val="16"/>
                <w:szCs w:val="16"/>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0</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174 699</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98 091</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0644E" w:rsidP="001E5B24">
            <w:pPr>
              <w:bidi w:val="0"/>
              <w:jc w:val="right"/>
              <w:rPr>
                <w:rFonts w:ascii="Arial Narrow" w:hAnsi="Arial Narrow" w:cs="Arial Narrow"/>
                <w:b/>
                <w:bCs/>
                <w:color w:val="000000"/>
                <w:sz w:val="16"/>
                <w:szCs w:val="16"/>
              </w:rPr>
            </w:pPr>
            <w:r w:rsidRPr="0020644E">
              <w:rPr>
                <w:rFonts w:ascii="Arial Narrow" w:hAnsi="Arial Narrow" w:cs="Arial Narrow"/>
                <w:b/>
                <w:bCs/>
                <w:color w:val="000000"/>
                <w:sz w:val="16"/>
                <w:szCs w:val="16"/>
              </w:rPr>
              <w:t xml:space="preserve">126 790 </w:t>
            </w:r>
          </w:p>
        </w:tc>
      </w:tr>
      <w:tr>
        <w:tblPrEx>
          <w:tblW w:w="9100" w:type="dxa"/>
          <w:tblInd w:w="57" w:type="dxa"/>
          <w:tblLayout w:type="fixed"/>
          <w:tblCellMar>
            <w:left w:w="70" w:type="dxa"/>
            <w:right w:w="70" w:type="dxa"/>
          </w:tblCellMar>
          <w:tblLook w:val="00A0"/>
        </w:tblPrEx>
        <w:trPr>
          <w:trHeight w:val="241"/>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20644E" w:rsidP="001E5B24">
            <w:pPr>
              <w:bidi w:val="0"/>
              <w:rPr>
                <w:rFonts w:ascii="Arial Narrow" w:hAnsi="Arial Narrow" w:cs="Arial Narrow"/>
                <w:color w:val="000000"/>
                <w:sz w:val="16"/>
                <w:szCs w:val="16"/>
              </w:rPr>
            </w:pPr>
            <w:r>
              <w:rPr>
                <w:rFonts w:ascii="Arial Narrow" w:hAnsi="Arial Narrow" w:cs="Arial Narrow"/>
                <w:color w:val="000000"/>
                <w:sz w:val="16"/>
                <w:szCs w:val="16"/>
              </w:rPr>
              <w:t>P</w:t>
            </w:r>
            <w:r w:rsidRPr="0020644E">
              <w:rPr>
                <w:rFonts w:ascii="Arial Narrow" w:hAnsi="Arial Narrow" w:cs="Arial Narrow"/>
                <w:color w:val="000000"/>
                <w:sz w:val="16"/>
                <w:szCs w:val="16"/>
              </w:rPr>
              <w:t xml:space="preserve">latba za dostupnosť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 xml:space="preserve">     </w:t>
            </w:r>
            <w:r w:rsidRPr="0020644E">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sidRPr="0020644E">
              <w:rPr>
                <w:rFonts w:ascii="Arial Narrow" w:hAnsi="Arial Narrow" w:cs="Arial Narrow"/>
                <w:color w:val="000000"/>
                <w:sz w:val="16"/>
                <w:szCs w:val="16"/>
              </w:rPr>
              <w:t>24 699</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sidRPr="0020644E">
              <w:rPr>
                <w:rFonts w:ascii="Arial Narrow" w:hAnsi="Arial Narrow" w:cs="Arial Narrow"/>
                <w:color w:val="000000"/>
                <w:sz w:val="16"/>
                <w:szCs w:val="16"/>
              </w:rPr>
              <w:t>98 091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sidRPr="0020644E">
              <w:rPr>
                <w:rFonts w:ascii="Arial Narrow" w:hAnsi="Arial Narrow" w:cs="Arial Narrow"/>
                <w:color w:val="000000"/>
                <w:sz w:val="16"/>
                <w:szCs w:val="16"/>
              </w:rPr>
              <w:t xml:space="preserve">126 790 </w:t>
            </w:r>
          </w:p>
        </w:tc>
      </w:tr>
      <w:tr>
        <w:tblPrEx>
          <w:tblW w:w="9100" w:type="dxa"/>
          <w:tblInd w:w="57" w:type="dxa"/>
          <w:tblLayout w:type="fixed"/>
          <w:tblCellMar>
            <w:left w:w="70" w:type="dxa"/>
            <w:right w:w="70" w:type="dxa"/>
          </w:tblCellMar>
          <w:tblLook w:val="00A0"/>
        </w:tblPrEx>
        <w:trPr>
          <w:trHeight w:val="241"/>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20644E" w:rsidP="001E5B24">
            <w:pPr>
              <w:bidi w:val="0"/>
              <w:rPr>
                <w:rFonts w:ascii="Arial Narrow" w:hAnsi="Arial Narrow" w:cs="Arial Narrow"/>
                <w:color w:val="000000"/>
                <w:sz w:val="16"/>
                <w:szCs w:val="16"/>
              </w:rPr>
            </w:pPr>
            <w:r w:rsidRPr="0020644E">
              <w:rPr>
                <w:rFonts w:ascii="Arial Narrow" w:hAnsi="Arial Narrow" w:cs="Arial Narrow"/>
                <w:color w:val="000000"/>
                <w:sz w:val="16"/>
                <w:szCs w:val="16"/>
              </w:rPr>
              <w:t>DPH</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sidRPr="0020644E">
              <w:rPr>
                <w:rFonts w:ascii="Arial Narrow" w:hAnsi="Arial Narrow" w:cs="Arial Narrow"/>
                <w:color w:val="000000"/>
                <w:sz w:val="16"/>
                <w:szCs w:val="16"/>
              </w:rPr>
              <w:t xml:space="preserve">150 000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0644E"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r>
    </w:tbl>
    <w:p w:rsidR="001E5B24" w:rsidRPr="00EA51A2" w:rsidP="001E5B24">
      <w:pPr>
        <w:bidi w:val="0"/>
        <w:rPr>
          <w:rFonts w:ascii="Arial" w:hAnsi="Arial" w:cs="Arial"/>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 xml:space="preserve">V roku 2011 sa rozpočtujú výdavky na platbu za dostupnosť pre 2. balík PPP cesty R1  v sume 24,7 mil. eur a na </w:t>
      </w:r>
      <w:r w:rsidRPr="000F15F9">
        <w:rPr>
          <w:rFonts w:ascii="Arial Narrow" w:hAnsi="Arial Narrow" w:cs="Arial Narrow"/>
          <w:sz w:val="22"/>
          <w:szCs w:val="22"/>
        </w:rPr>
        <w:t>úhradu</w:t>
      </w:r>
      <w:r w:rsidRPr="006259BE">
        <w:rPr>
          <w:rFonts w:ascii="Arial Narrow" w:hAnsi="Arial Narrow" w:cs="Arial Narrow"/>
          <w:sz w:val="22"/>
          <w:szCs w:val="22"/>
        </w:rPr>
        <w:t xml:space="preserve"> DPH v sume 150 mil. eur. </w:t>
      </w: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 xml:space="preserve">   </w:t>
      </w:r>
    </w:p>
    <w:p w:rsidR="001E5B24" w:rsidRPr="000F15F9" w:rsidP="001E5B24">
      <w:pPr>
        <w:bidi w:val="0"/>
        <w:jc w:val="both"/>
        <w:rPr>
          <w:rFonts w:ascii="Arial Narrow" w:hAnsi="Arial Narrow" w:cs="Arial Narrow"/>
          <w:i/>
          <w:iCs/>
          <w:sz w:val="22"/>
          <w:szCs w:val="22"/>
        </w:rPr>
      </w:pPr>
      <w:r w:rsidRPr="000F15F9">
        <w:rPr>
          <w:rFonts w:ascii="Arial Narrow" w:hAnsi="Arial Narrow" w:cs="Arial Narrow"/>
          <w:i/>
          <w:iCs/>
          <w:sz w:val="22"/>
          <w:szCs w:val="22"/>
        </w:rPr>
        <w:t>Mýto</w:t>
      </w:r>
    </w:p>
    <w:p w:rsidR="001E5B24" w:rsidP="001E5B24">
      <w:pPr>
        <w:bidi w:val="0"/>
        <w:ind w:firstLine="708"/>
        <w:jc w:val="both"/>
        <w:rPr>
          <w:rFonts w:ascii="Arial Narrow" w:hAnsi="Arial Narrow" w:cs="Arial Narrow"/>
          <w:sz w:val="22"/>
          <w:szCs w:val="22"/>
        </w:rPr>
      </w:pPr>
      <w:r w:rsidRPr="00042F37">
        <w:rPr>
          <w:rFonts w:ascii="Arial Narrow" w:hAnsi="Arial Narrow" w:cs="Arial Narrow"/>
          <w:sz w:val="22"/>
          <w:szCs w:val="22"/>
        </w:rPr>
        <w:t xml:space="preserve">Systém elektronického mýta mal priniesť zdroje na výstavbu a údržbu diaľnic a rýchlostných ciest. Jeho skutočným výsledkom je však dodatočné bremeno pre verejné financie, ktoré len znižuje zdroje na budovanie infraštruktúry. </w:t>
      </w:r>
    </w:p>
    <w:p w:rsidR="001E5B24" w:rsidRPr="00042F37" w:rsidP="001E5B24">
      <w:pPr>
        <w:bidi w:val="0"/>
        <w:jc w:val="both"/>
        <w:rPr>
          <w:rFonts w:ascii="Arial Narrow" w:hAnsi="Arial Narrow" w:cs="Arial Narrow"/>
          <w:sz w:val="22"/>
          <w:szCs w:val="22"/>
        </w:rPr>
      </w:pPr>
    </w:p>
    <w:tbl>
      <w:tblPr>
        <w:tblStyle w:val="TableNormal"/>
        <w:tblW w:w="9013" w:type="dxa"/>
        <w:tblInd w:w="57" w:type="dxa"/>
        <w:tblLayout w:type="fixed"/>
        <w:tblCellMar>
          <w:left w:w="70" w:type="dxa"/>
          <w:right w:w="70" w:type="dxa"/>
        </w:tblCellMar>
        <w:tblLook w:val="00A0"/>
      </w:tblPr>
      <w:tblGrid>
        <w:gridCol w:w="2786"/>
        <w:gridCol w:w="1556"/>
        <w:gridCol w:w="1557"/>
        <w:gridCol w:w="1557"/>
        <w:gridCol w:w="1557"/>
      </w:tblGrid>
      <w:tr>
        <w:tblPrEx>
          <w:tblW w:w="9013" w:type="dxa"/>
          <w:tblInd w:w="57" w:type="dxa"/>
          <w:tblLayout w:type="fixed"/>
          <w:tblCellMar>
            <w:left w:w="70" w:type="dxa"/>
            <w:right w:w="70" w:type="dxa"/>
          </w:tblCellMar>
          <w:tblLook w:val="00A0"/>
        </w:tblPrEx>
        <w:trPr>
          <w:trHeight w:val="254"/>
        </w:trPr>
        <w:tc>
          <w:tcPr>
            <w:tcW w:w="9013" w:type="dxa"/>
            <w:gridSpan w:val="5"/>
            <w:tcBorders>
              <w:top w:val="single" w:sz="4" w:space="0" w:color="auto"/>
              <w:left w:val="single" w:sz="4" w:space="0" w:color="auto"/>
              <w:bottom w:val="single" w:sz="4" w:space="0" w:color="auto"/>
              <w:right w:val="single" w:sz="4" w:space="0" w:color="auto"/>
            </w:tcBorders>
            <w:noWrap/>
            <w:textDirection w:val="lrTb"/>
            <w:vAlign w:val="bottom"/>
          </w:tcPr>
          <w:p w:rsidR="001E5B24" w:rsidRPr="00647068" w:rsidP="001E5B24">
            <w:pPr>
              <w:bidi w:val="0"/>
              <w:jc w:val="center"/>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Efektívnosť mýta</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647068" w:rsidP="001E5B24">
            <w:pPr>
              <w:bidi w:val="0"/>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v</w:t>
            </w:r>
            <w:r>
              <w:rPr>
                <w:rFonts w:ascii="Arial Narrow" w:hAnsi="Arial Narrow" w:cs="Arial Narrow"/>
                <w:b/>
                <w:bCs/>
                <w:color w:val="000000"/>
                <w:sz w:val="16"/>
                <w:szCs w:val="16"/>
                <w:lang w:eastAsia="sk-SK"/>
              </w:rPr>
              <w:t xml:space="preserve"> tis. </w:t>
            </w:r>
            <w:r w:rsidRPr="00647068">
              <w:rPr>
                <w:rFonts w:ascii="Arial Narrow" w:hAnsi="Arial Narrow" w:cs="Arial Narrow"/>
                <w:b/>
                <w:bCs/>
                <w:color w:val="000000"/>
                <w:sz w:val="16"/>
                <w:szCs w:val="16"/>
                <w:lang w:eastAsia="sk-SK"/>
              </w:rPr>
              <w:t>eur</w:t>
            </w:r>
          </w:p>
        </w:tc>
        <w:tc>
          <w:tcPr>
            <w:tcW w:w="1556" w:type="dxa"/>
            <w:tcBorders>
              <w:top w:val="nil"/>
              <w:left w:val="nil"/>
              <w:bottom w:val="single" w:sz="4" w:space="0" w:color="auto"/>
              <w:right w:val="single" w:sz="4" w:space="0" w:color="auto"/>
            </w:tcBorders>
            <w:noWrap/>
            <w:textDirection w:val="lrTb"/>
            <w:vAlign w:val="bottom"/>
          </w:tcPr>
          <w:p w:rsidR="001E5B24" w:rsidRPr="00647068" w:rsidP="001E5B24">
            <w:pPr>
              <w:bidi w:val="0"/>
              <w:jc w:val="center"/>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2010</w:t>
            </w:r>
          </w:p>
        </w:tc>
        <w:tc>
          <w:tcPr>
            <w:tcW w:w="1557" w:type="dxa"/>
            <w:tcBorders>
              <w:top w:val="nil"/>
              <w:left w:val="nil"/>
              <w:bottom w:val="single" w:sz="4" w:space="0" w:color="auto"/>
              <w:right w:val="single" w:sz="4" w:space="0" w:color="auto"/>
            </w:tcBorders>
            <w:noWrap/>
            <w:textDirection w:val="lrTb"/>
            <w:vAlign w:val="bottom"/>
          </w:tcPr>
          <w:p w:rsidR="001E5B24" w:rsidRPr="00647068" w:rsidP="001E5B24">
            <w:pPr>
              <w:bidi w:val="0"/>
              <w:jc w:val="center"/>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2011</w:t>
            </w:r>
          </w:p>
        </w:tc>
        <w:tc>
          <w:tcPr>
            <w:tcW w:w="1557" w:type="dxa"/>
            <w:tcBorders>
              <w:top w:val="nil"/>
              <w:left w:val="nil"/>
              <w:bottom w:val="single" w:sz="4" w:space="0" w:color="auto"/>
              <w:right w:val="single" w:sz="4" w:space="0" w:color="auto"/>
            </w:tcBorders>
            <w:noWrap/>
            <w:textDirection w:val="lrTb"/>
            <w:vAlign w:val="bottom"/>
          </w:tcPr>
          <w:p w:rsidR="001E5B24" w:rsidRPr="00647068" w:rsidP="001E5B24">
            <w:pPr>
              <w:bidi w:val="0"/>
              <w:jc w:val="center"/>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2012</w:t>
            </w:r>
          </w:p>
        </w:tc>
        <w:tc>
          <w:tcPr>
            <w:tcW w:w="1557" w:type="dxa"/>
            <w:tcBorders>
              <w:top w:val="nil"/>
              <w:left w:val="nil"/>
              <w:bottom w:val="single" w:sz="4" w:space="0" w:color="auto"/>
              <w:right w:val="single" w:sz="4" w:space="0" w:color="auto"/>
            </w:tcBorders>
            <w:noWrap/>
            <w:textDirection w:val="lrTb"/>
            <w:vAlign w:val="bottom"/>
          </w:tcPr>
          <w:p w:rsidR="001E5B24" w:rsidRPr="00647068" w:rsidP="001E5B24">
            <w:pPr>
              <w:bidi w:val="0"/>
              <w:jc w:val="center"/>
              <w:rPr>
                <w:rFonts w:ascii="Arial Narrow" w:hAnsi="Arial Narrow" w:cs="Arial Narrow"/>
                <w:b/>
                <w:bCs/>
                <w:color w:val="000000"/>
                <w:sz w:val="16"/>
                <w:szCs w:val="16"/>
                <w:lang w:eastAsia="sk-SK"/>
              </w:rPr>
            </w:pPr>
            <w:r w:rsidRPr="00647068">
              <w:rPr>
                <w:rFonts w:ascii="Arial Narrow" w:hAnsi="Arial Narrow" w:cs="Arial Narrow"/>
                <w:b/>
                <w:bCs/>
                <w:color w:val="000000"/>
                <w:sz w:val="16"/>
                <w:szCs w:val="16"/>
                <w:lang w:eastAsia="sk-SK"/>
              </w:rPr>
              <w:t>2013</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Príjem z mýta</w:t>
            </w:r>
          </w:p>
        </w:tc>
        <w:tc>
          <w:tcPr>
            <w:tcW w:w="15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137 399</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176 000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194 000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212 000</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Platba za mýtny systém</w:t>
            </w:r>
          </w:p>
        </w:tc>
        <w:tc>
          <w:tcPr>
            <w:tcW w:w="15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-94 635</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-93 583</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-97 198</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-105 197</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 xml:space="preserve">Výpadok príjmov z diaľničných nálepiek </w:t>
            </w:r>
          </w:p>
        </w:tc>
        <w:tc>
          <w:tcPr>
            <w:tcW w:w="15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sz w:val="16"/>
                <w:szCs w:val="16"/>
              </w:rPr>
            </w:pPr>
            <w:r>
              <w:rPr>
                <w:rFonts w:ascii="Arial Narrow" w:hAnsi="Arial Narrow"/>
                <w:sz w:val="16"/>
                <w:szCs w:val="16"/>
              </w:rPr>
              <w:t>-41 219</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sz w:val="16"/>
                <w:szCs w:val="16"/>
              </w:rPr>
            </w:pPr>
            <w:r>
              <w:rPr>
                <w:rFonts w:ascii="Arial Narrow" w:hAnsi="Arial Narrow"/>
                <w:sz w:val="16"/>
                <w:szCs w:val="16"/>
              </w:rPr>
              <w:t>-43 280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sz w:val="16"/>
                <w:szCs w:val="16"/>
              </w:rPr>
            </w:pPr>
            <w:r>
              <w:rPr>
                <w:rFonts w:ascii="Arial Narrow" w:hAnsi="Arial Narrow"/>
                <w:sz w:val="16"/>
                <w:szCs w:val="16"/>
              </w:rPr>
              <w:t>-44 146</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sz w:val="16"/>
                <w:szCs w:val="16"/>
              </w:rPr>
            </w:pPr>
            <w:r>
              <w:rPr>
                <w:rFonts w:ascii="Arial Narrow" w:hAnsi="Arial Narrow"/>
                <w:sz w:val="16"/>
                <w:szCs w:val="16"/>
              </w:rPr>
              <w:t>-45 028</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Výpadok spotrebnej dane</w:t>
            </w:r>
          </w:p>
        </w:tc>
        <w:tc>
          <w:tcPr>
            <w:tcW w:w="15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-81 000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-89 800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-92 900</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-96 700</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nil"/>
              <w:bottom w:val="nil"/>
              <w:right w:val="nil"/>
            </w:tcBorders>
            <w:noWrap/>
            <w:textDirection w:val="lrTb"/>
            <w:vAlign w:val="bottom"/>
          </w:tcPr>
          <w:p w:rsidR="001E5B24" w:rsidRPr="00647068" w:rsidP="001E5B24">
            <w:pPr>
              <w:bidi w:val="0"/>
              <w:rPr>
                <w:rFonts w:ascii="Arial Narrow" w:hAnsi="Arial Narrow" w:cs="Arial Narrow"/>
                <w:color w:val="000000"/>
                <w:sz w:val="16"/>
                <w:szCs w:val="16"/>
                <w:highlight w:val="yellow"/>
                <w:lang w:eastAsia="sk-SK"/>
              </w:rPr>
            </w:pPr>
          </w:p>
        </w:tc>
        <w:tc>
          <w:tcPr>
            <w:tcW w:w="1556" w:type="dxa"/>
            <w:tcBorders>
              <w:top w:val="nil"/>
              <w:left w:val="nil"/>
              <w:bottom w:val="nil"/>
              <w:right w:val="nil"/>
            </w:tcBorders>
            <w:noWrap/>
            <w:textDirection w:val="lrTb"/>
            <w:vAlign w:val="bottom"/>
          </w:tcPr>
          <w:p w:rsidR="001E5B24" w:rsidP="001E5B24">
            <w:pPr>
              <w:bidi w:val="0"/>
              <w:jc w:val="right"/>
              <w:rPr>
                <w:rFonts w:ascii="Arial Narrow" w:hAnsi="Arial Narrow"/>
                <w:color w:val="000000"/>
                <w:sz w:val="16"/>
                <w:szCs w:val="16"/>
              </w:rPr>
            </w:pPr>
          </w:p>
        </w:tc>
        <w:tc>
          <w:tcPr>
            <w:tcW w:w="1557" w:type="dxa"/>
            <w:tcBorders>
              <w:top w:val="nil"/>
              <w:left w:val="nil"/>
              <w:bottom w:val="nil"/>
              <w:right w:val="nil"/>
            </w:tcBorders>
            <w:noWrap/>
            <w:textDirection w:val="lrTb"/>
            <w:vAlign w:val="bottom"/>
          </w:tcPr>
          <w:p w:rsidR="001E5B24" w:rsidP="001E5B24">
            <w:pPr>
              <w:bidi w:val="0"/>
              <w:jc w:val="right"/>
              <w:rPr>
                <w:rFonts w:ascii="Arial Narrow" w:hAnsi="Arial Narrow"/>
                <w:color w:val="000000"/>
                <w:sz w:val="16"/>
                <w:szCs w:val="16"/>
              </w:rPr>
            </w:pPr>
          </w:p>
        </w:tc>
        <w:tc>
          <w:tcPr>
            <w:tcW w:w="1557" w:type="dxa"/>
            <w:tcBorders>
              <w:top w:val="nil"/>
              <w:left w:val="nil"/>
              <w:bottom w:val="nil"/>
              <w:right w:val="nil"/>
            </w:tcBorders>
            <w:noWrap/>
            <w:textDirection w:val="lrTb"/>
            <w:vAlign w:val="bottom"/>
          </w:tcPr>
          <w:p w:rsidR="001E5B24" w:rsidP="001E5B24">
            <w:pPr>
              <w:bidi w:val="0"/>
              <w:jc w:val="right"/>
              <w:rPr>
                <w:rFonts w:ascii="Arial Narrow" w:hAnsi="Arial Narrow"/>
                <w:color w:val="000000"/>
                <w:sz w:val="16"/>
                <w:szCs w:val="16"/>
              </w:rPr>
            </w:pPr>
          </w:p>
        </w:tc>
        <w:tc>
          <w:tcPr>
            <w:tcW w:w="1557" w:type="dxa"/>
            <w:tcBorders>
              <w:top w:val="nil"/>
              <w:left w:val="nil"/>
              <w:bottom w:val="nil"/>
              <w:right w:val="nil"/>
            </w:tcBorders>
            <w:noWrap/>
            <w:textDirection w:val="lrTb"/>
            <w:vAlign w:val="bottom"/>
          </w:tcPr>
          <w:p w:rsidR="001E5B24" w:rsidP="001E5B24">
            <w:pPr>
              <w:bidi w:val="0"/>
              <w:jc w:val="right"/>
              <w:rPr>
                <w:rFonts w:ascii="Arial Narrow" w:hAnsi="Arial Narrow"/>
                <w:color w:val="000000"/>
                <w:sz w:val="16"/>
                <w:szCs w:val="16"/>
              </w:rPr>
            </w:pPr>
          </w:p>
        </w:tc>
      </w:tr>
      <w:tr>
        <w:tblPrEx>
          <w:tblW w:w="9013" w:type="dxa"/>
          <w:tblInd w:w="57" w:type="dxa"/>
          <w:tblLayout w:type="fixed"/>
          <w:tblCellMar>
            <w:left w:w="70" w:type="dxa"/>
            <w:right w:w="70" w:type="dxa"/>
          </w:tblCellMar>
          <w:tblLook w:val="00A0"/>
        </w:tblPrEx>
        <w:trPr>
          <w:trHeight w:val="254"/>
        </w:trPr>
        <w:tc>
          <w:tcPr>
            <w:tcW w:w="2786"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Príjmy z mýta</w:t>
            </w:r>
          </w:p>
        </w:tc>
        <w:tc>
          <w:tcPr>
            <w:tcW w:w="1556" w:type="dxa"/>
            <w:tcBorders>
              <w:top w:val="single" w:sz="4" w:space="0" w:color="auto"/>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137 399</w:t>
            </w:r>
          </w:p>
        </w:tc>
        <w:tc>
          <w:tcPr>
            <w:tcW w:w="1557" w:type="dxa"/>
            <w:tcBorders>
              <w:top w:val="single" w:sz="4" w:space="0" w:color="auto"/>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176 000</w:t>
            </w:r>
          </w:p>
        </w:tc>
        <w:tc>
          <w:tcPr>
            <w:tcW w:w="1557" w:type="dxa"/>
            <w:tcBorders>
              <w:top w:val="single" w:sz="4" w:space="0" w:color="auto"/>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194 000</w:t>
            </w:r>
          </w:p>
        </w:tc>
        <w:tc>
          <w:tcPr>
            <w:tcW w:w="1557" w:type="dxa"/>
            <w:tcBorders>
              <w:top w:val="single" w:sz="4" w:space="0" w:color="auto"/>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212 000</w:t>
            </w:r>
          </w:p>
        </w:tc>
      </w:tr>
      <w:tr>
        <w:tblPrEx>
          <w:tblW w:w="9013" w:type="dxa"/>
          <w:tblInd w:w="57" w:type="dxa"/>
          <w:tblLayout w:type="fixed"/>
          <w:tblCellMar>
            <w:left w:w="70" w:type="dxa"/>
            <w:right w:w="70" w:type="dxa"/>
          </w:tblCellMar>
          <w:tblLook w:val="00A0"/>
        </w:tblPrEx>
        <w:trPr>
          <w:trHeight w:val="254"/>
        </w:trPr>
        <w:tc>
          <w:tcPr>
            <w:tcW w:w="2786" w:type="dxa"/>
            <w:tcBorders>
              <w:top w:val="nil"/>
              <w:left w:val="single" w:sz="4" w:space="0" w:color="auto"/>
              <w:bottom w:val="single" w:sz="4" w:space="0" w:color="auto"/>
              <w:right w:val="single" w:sz="4" w:space="0" w:color="auto"/>
            </w:tcBorders>
            <w:noWrap/>
            <w:textDirection w:val="lrTb"/>
            <w:vAlign w:val="bottom"/>
          </w:tcPr>
          <w:p w:rsidR="001E5B24" w:rsidRPr="000F15F9" w:rsidP="001E5B24">
            <w:pPr>
              <w:bidi w:val="0"/>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Dopady súvisiace s mýtom</w:t>
            </w:r>
          </w:p>
        </w:tc>
        <w:tc>
          <w:tcPr>
            <w:tcW w:w="15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-216 854</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-226 663</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-234 244</w:t>
            </w:r>
          </w:p>
        </w:tc>
        <w:tc>
          <w:tcPr>
            <w:tcW w:w="1557"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eastAsia="Calibri" w:hAnsi="Arial Narrow"/>
                <w:color w:val="000000"/>
                <w:sz w:val="16"/>
                <w:szCs w:val="16"/>
              </w:rPr>
              <w:t>-246 925</w:t>
            </w:r>
          </w:p>
        </w:tc>
      </w:tr>
      <w:tr>
        <w:tblPrEx>
          <w:tblW w:w="9013" w:type="dxa"/>
          <w:tblInd w:w="57" w:type="dxa"/>
          <w:tblLayout w:type="fixed"/>
          <w:tblCellMar>
            <w:left w:w="70" w:type="dxa"/>
            <w:right w:w="70" w:type="dxa"/>
          </w:tblCellMar>
          <w:tblLook w:val="00A0"/>
        </w:tblPrEx>
        <w:trPr>
          <w:trHeight w:val="254"/>
        </w:trPr>
        <w:tc>
          <w:tcPr>
            <w:tcW w:w="278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293CA1" w:rsidP="001E5B24">
            <w:pPr>
              <w:bidi w:val="0"/>
              <w:rPr>
                <w:rFonts w:ascii="Arial Narrow" w:hAnsi="Arial Narrow" w:cs="Arial Narrow"/>
                <w:b/>
                <w:bCs/>
                <w:color w:val="000000"/>
                <w:sz w:val="16"/>
                <w:szCs w:val="16"/>
                <w:lang w:eastAsia="sk-SK"/>
              </w:rPr>
            </w:pPr>
            <w:r w:rsidRPr="00293CA1">
              <w:rPr>
                <w:rFonts w:ascii="Arial Narrow" w:hAnsi="Arial Narrow" w:cs="Arial Narrow"/>
                <w:b/>
                <w:bCs/>
                <w:color w:val="000000"/>
                <w:sz w:val="16"/>
                <w:szCs w:val="16"/>
                <w:lang w:eastAsia="sk-SK"/>
              </w:rPr>
              <w:t xml:space="preserve">Rozdiel </w:t>
            </w:r>
          </w:p>
        </w:tc>
        <w:tc>
          <w:tcPr>
            <w:tcW w:w="1556" w:type="dxa"/>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P="001E5B24">
            <w:pPr>
              <w:bidi w:val="0"/>
              <w:jc w:val="right"/>
              <w:rPr>
                <w:rFonts w:ascii="Arial Narrow" w:hAnsi="Arial Narrow"/>
                <w:b/>
                <w:bCs/>
                <w:color w:val="000000"/>
                <w:sz w:val="16"/>
                <w:szCs w:val="16"/>
              </w:rPr>
            </w:pPr>
            <w:r>
              <w:rPr>
                <w:rFonts w:ascii="Arial Narrow" w:eastAsia="Calibri" w:hAnsi="Arial Narrow"/>
                <w:b/>
                <w:bCs/>
                <w:color w:val="000000"/>
                <w:sz w:val="16"/>
                <w:szCs w:val="16"/>
              </w:rPr>
              <w:t>-79 455</w:t>
            </w:r>
          </w:p>
        </w:tc>
        <w:tc>
          <w:tcPr>
            <w:tcW w:w="1557" w:type="dxa"/>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P="001E5B24">
            <w:pPr>
              <w:bidi w:val="0"/>
              <w:jc w:val="right"/>
              <w:rPr>
                <w:rFonts w:ascii="Arial Narrow" w:hAnsi="Arial Narrow"/>
                <w:b/>
                <w:bCs/>
                <w:color w:val="000000"/>
                <w:sz w:val="16"/>
                <w:szCs w:val="16"/>
              </w:rPr>
            </w:pPr>
            <w:r>
              <w:rPr>
                <w:rFonts w:ascii="Arial Narrow" w:eastAsia="Calibri" w:hAnsi="Arial Narrow"/>
                <w:b/>
                <w:bCs/>
                <w:color w:val="000000"/>
                <w:sz w:val="16"/>
                <w:szCs w:val="16"/>
              </w:rPr>
              <w:t>-50 663</w:t>
            </w:r>
          </w:p>
        </w:tc>
        <w:tc>
          <w:tcPr>
            <w:tcW w:w="1557" w:type="dxa"/>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P="001E5B24">
            <w:pPr>
              <w:bidi w:val="0"/>
              <w:jc w:val="right"/>
              <w:rPr>
                <w:rFonts w:ascii="Arial Narrow" w:hAnsi="Arial Narrow"/>
                <w:b/>
                <w:bCs/>
                <w:color w:val="000000"/>
                <w:sz w:val="16"/>
                <w:szCs w:val="16"/>
              </w:rPr>
            </w:pPr>
            <w:r>
              <w:rPr>
                <w:rFonts w:ascii="Arial Narrow" w:eastAsia="Calibri" w:hAnsi="Arial Narrow"/>
                <w:b/>
                <w:bCs/>
                <w:color w:val="000000"/>
                <w:sz w:val="16"/>
                <w:szCs w:val="16"/>
              </w:rPr>
              <w:t>-40 244</w:t>
            </w:r>
          </w:p>
        </w:tc>
        <w:tc>
          <w:tcPr>
            <w:tcW w:w="1557" w:type="dxa"/>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P="001E5B24">
            <w:pPr>
              <w:bidi w:val="0"/>
              <w:jc w:val="right"/>
              <w:rPr>
                <w:rFonts w:ascii="Arial Narrow" w:hAnsi="Arial Narrow"/>
                <w:b/>
                <w:bCs/>
                <w:color w:val="000000"/>
                <w:sz w:val="16"/>
                <w:szCs w:val="16"/>
              </w:rPr>
            </w:pPr>
            <w:r>
              <w:rPr>
                <w:rFonts w:ascii="Arial Narrow" w:eastAsia="Calibri" w:hAnsi="Arial Narrow"/>
                <w:b/>
                <w:bCs/>
                <w:color w:val="000000"/>
                <w:sz w:val="16"/>
                <w:szCs w:val="16"/>
              </w:rPr>
              <w:t>-34 925</w:t>
            </w:r>
          </w:p>
        </w:tc>
      </w:tr>
    </w:tbl>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r w:rsidRPr="00042F37">
        <w:rPr>
          <w:rFonts w:ascii="Arial Narrow" w:hAnsi="Arial Narrow" w:cs="Arial Narrow"/>
          <w:sz w:val="22"/>
          <w:szCs w:val="22"/>
        </w:rPr>
        <w:t xml:space="preserve">Po zavedení mýta prišiel štát o výnosy z diaľničných nálepiek od nákladných áut, ktoré ročne predstavovali približne 41 mil. </w:t>
      </w:r>
      <w:r>
        <w:rPr>
          <w:rFonts w:ascii="Arial Narrow" w:hAnsi="Arial Narrow" w:cs="Arial Narrow"/>
          <w:sz w:val="22"/>
          <w:szCs w:val="22"/>
        </w:rPr>
        <w:t>eur</w:t>
      </w:r>
      <w:r w:rsidRPr="00042F37">
        <w:rPr>
          <w:rFonts w:ascii="Arial Narrow" w:hAnsi="Arial Narrow" w:cs="Arial Narrow"/>
          <w:sz w:val="22"/>
          <w:szCs w:val="22"/>
        </w:rPr>
        <w:t>. Okrem toho predchádzajúca vláda schválila ako kompenzáciu po zavedení elektronického mýta zníženie spotrebnej dane na naftu, čím znížila príjmy štátneho rozpočtu z tejto dane ročne o 8</w:t>
      </w:r>
      <w:r>
        <w:rPr>
          <w:rFonts w:ascii="Arial Narrow" w:hAnsi="Arial Narrow" w:cs="Arial Narrow"/>
          <w:sz w:val="22"/>
          <w:szCs w:val="22"/>
        </w:rPr>
        <w:t>1</w:t>
      </w:r>
      <w:r w:rsidRPr="00042F37">
        <w:rPr>
          <w:rFonts w:ascii="Arial Narrow" w:hAnsi="Arial Narrow" w:cs="Arial Narrow"/>
          <w:sz w:val="22"/>
          <w:szCs w:val="22"/>
        </w:rPr>
        <w:t xml:space="preserve"> mil. </w:t>
      </w:r>
      <w:r>
        <w:rPr>
          <w:rFonts w:ascii="Arial Narrow" w:hAnsi="Arial Narrow" w:cs="Arial Narrow"/>
          <w:sz w:val="22"/>
          <w:szCs w:val="22"/>
        </w:rPr>
        <w:t>eur</w:t>
      </w:r>
      <w:r w:rsidRPr="00042F37">
        <w:rPr>
          <w:rFonts w:ascii="Arial Narrow" w:hAnsi="Arial Narrow" w:cs="Arial Narrow"/>
          <w:sz w:val="22"/>
          <w:szCs w:val="22"/>
        </w:rPr>
        <w:t>. A je samozrejme potrebné aj platiť za vybudovanie a prevádzku mýta poplatok, ktorý v roku 2011 dosiahne 93</w:t>
      </w:r>
      <w:r>
        <w:rPr>
          <w:rFonts w:ascii="Arial Narrow" w:hAnsi="Arial Narrow" w:cs="Arial Narrow"/>
          <w:sz w:val="22"/>
          <w:szCs w:val="22"/>
        </w:rPr>
        <w:t>,6</w:t>
      </w:r>
      <w:r w:rsidRPr="00042F37">
        <w:rPr>
          <w:rFonts w:ascii="Arial Narrow" w:hAnsi="Arial Narrow" w:cs="Arial Narrow"/>
          <w:sz w:val="22"/>
          <w:szCs w:val="22"/>
        </w:rPr>
        <w:t xml:space="preserve"> mil. </w:t>
      </w:r>
      <w:r>
        <w:rPr>
          <w:rFonts w:ascii="Arial Narrow" w:hAnsi="Arial Narrow" w:cs="Arial Narrow"/>
          <w:sz w:val="22"/>
          <w:szCs w:val="22"/>
        </w:rPr>
        <w:t>eur</w:t>
      </w:r>
      <w:r w:rsidRPr="00042F37">
        <w:rPr>
          <w:rFonts w:ascii="Arial Narrow" w:hAnsi="Arial Narrow" w:cs="Arial Narrow"/>
          <w:sz w:val="22"/>
          <w:szCs w:val="22"/>
        </w:rPr>
        <w:t>. Negatívne dopady prevyšujúce 22</w:t>
      </w:r>
      <w:r>
        <w:rPr>
          <w:rFonts w:ascii="Arial Narrow" w:hAnsi="Arial Narrow" w:cs="Arial Narrow"/>
          <w:sz w:val="22"/>
          <w:szCs w:val="22"/>
        </w:rPr>
        <w:t>6</w:t>
      </w:r>
      <w:r w:rsidRPr="00042F37">
        <w:rPr>
          <w:rFonts w:ascii="Arial Narrow" w:hAnsi="Arial Narrow" w:cs="Arial Narrow"/>
          <w:sz w:val="22"/>
          <w:szCs w:val="22"/>
        </w:rPr>
        <w:t xml:space="preserve"> mil. </w:t>
      </w:r>
      <w:r>
        <w:rPr>
          <w:rFonts w:ascii="Arial Narrow" w:hAnsi="Arial Narrow" w:cs="Arial Narrow"/>
          <w:sz w:val="22"/>
          <w:szCs w:val="22"/>
        </w:rPr>
        <w:t>eur</w:t>
      </w:r>
      <w:r w:rsidRPr="00042F37">
        <w:rPr>
          <w:rFonts w:ascii="Arial Narrow" w:hAnsi="Arial Narrow" w:cs="Arial Narrow"/>
          <w:sz w:val="22"/>
          <w:szCs w:val="22"/>
        </w:rPr>
        <w:t xml:space="preserve"> sú podstatne vyššie ako predpokladaný príjem z mýta vo výške 176 mil. </w:t>
      </w:r>
      <w:r>
        <w:rPr>
          <w:rFonts w:ascii="Arial Narrow" w:hAnsi="Arial Narrow" w:cs="Arial Narrow"/>
          <w:sz w:val="22"/>
          <w:szCs w:val="22"/>
        </w:rPr>
        <w:t>eur</w:t>
      </w:r>
      <w:r w:rsidRPr="00042F37">
        <w:rPr>
          <w:rFonts w:ascii="Arial Narrow" w:hAnsi="Arial Narrow" w:cs="Arial Narrow"/>
          <w:sz w:val="22"/>
          <w:szCs w:val="22"/>
        </w:rPr>
        <w:t>.</w:t>
      </w:r>
    </w:p>
    <w:p w:rsidR="001E5B24" w:rsidRPr="00042F37" w:rsidP="001E5B24">
      <w:pPr>
        <w:bidi w:val="0"/>
        <w:jc w:val="both"/>
        <w:rPr>
          <w:rFonts w:ascii="Arial Narrow" w:hAnsi="Arial Narrow" w:cs="Arial Narrow"/>
          <w:sz w:val="22"/>
          <w:szCs w:val="22"/>
        </w:rPr>
      </w:pPr>
      <w:r w:rsidRPr="00042F37">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r w:rsidRPr="00042F37">
        <w:rPr>
          <w:rFonts w:ascii="Arial Narrow" w:hAnsi="Arial Narrow" w:cs="Arial Narrow"/>
          <w:sz w:val="22"/>
          <w:szCs w:val="22"/>
        </w:rPr>
        <w:t>Výsledkom zavedenia mýta v roku 2011 je výpadok rozpočtov</w:t>
      </w:r>
      <w:r>
        <w:rPr>
          <w:rFonts w:ascii="Arial Narrow" w:hAnsi="Arial Narrow" w:cs="Arial Narrow"/>
          <w:sz w:val="22"/>
          <w:szCs w:val="22"/>
        </w:rPr>
        <w:t>ých zdrojov vo výške 50,7 mil. eur</w:t>
      </w:r>
      <w:r w:rsidRPr="00042F37">
        <w:rPr>
          <w:rFonts w:ascii="Arial Narrow" w:hAnsi="Arial Narrow" w:cs="Arial Narrow"/>
          <w:sz w:val="22"/>
          <w:szCs w:val="22"/>
        </w:rPr>
        <w:t xml:space="preserve">.   </w:t>
      </w:r>
    </w:p>
    <w:p w:rsidR="001E5B24" w:rsidRPr="006259BE" w:rsidP="001E5B24">
      <w:pPr>
        <w:bidi w:val="0"/>
        <w:jc w:val="both"/>
        <w:rPr>
          <w:rFonts w:ascii="Arial Narrow" w:hAnsi="Arial Narrow" w:cs="Arial Narrow"/>
          <w:sz w:val="22"/>
          <w:szCs w:val="22"/>
        </w:rPr>
      </w:pPr>
      <w:r w:rsidRPr="006259BE">
        <w:rPr>
          <w:rFonts w:ascii="Arial Narrow" w:hAnsi="Arial Narrow" w:cs="Arial Narrow"/>
          <w:sz w:val="22"/>
          <w:szCs w:val="22"/>
        </w:rPr>
        <w:t xml:space="preserve">  </w:t>
      </w: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Železničná doprava</w:t>
      </w:r>
    </w:p>
    <w:p w:rsidR="001E5B24" w:rsidP="001E5B24">
      <w:pPr>
        <w:bidi w:val="0"/>
        <w:jc w:val="both"/>
        <w:rPr>
          <w:rFonts w:ascii="Arial Narrow" w:hAnsi="Arial Narrow" w:cs="Arial Narrow"/>
          <w:sz w:val="22"/>
          <w:szCs w:val="22"/>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7"/>
        <w:gridCol w:w="948"/>
        <w:gridCol w:w="947"/>
        <w:gridCol w:w="948"/>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rPr>
                <w:rFonts w:ascii="Arial Narrow" w:hAnsi="Arial Narrow" w:cs="Arial Narrow"/>
                <w:b/>
                <w:bCs/>
                <w:sz w:val="16"/>
                <w:szCs w:val="16"/>
                <w:lang w:eastAsia="sk-SK"/>
              </w:rPr>
            </w:pPr>
            <w:r w:rsidRPr="00655061">
              <w:rPr>
                <w:rFonts w:ascii="Arial Narrow" w:hAnsi="Arial Narrow" w:cs="Arial Narrow"/>
                <w:b/>
                <w:bCs/>
                <w:sz w:val="16"/>
                <w:szCs w:val="16"/>
                <w:lang w:eastAsia="sk-SK"/>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2010 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82496" w:rsidP="001E5B24">
            <w:pPr>
              <w:bidi w:val="0"/>
              <w:jc w:val="center"/>
              <w:rPr>
                <w:rFonts w:ascii="Arial Narrow" w:hAnsi="Arial Narrow" w:cs="Arial Narrow"/>
                <w:b/>
                <w:bCs/>
                <w:sz w:val="16"/>
                <w:szCs w:val="16"/>
                <w:lang w:eastAsia="sk-SK"/>
              </w:rPr>
            </w:pPr>
            <w:r w:rsidRPr="00582496">
              <w:rPr>
                <w:rFonts w:ascii="Arial Narrow" w:hAnsi="Arial Narrow" w:cs="Arial Narrow"/>
                <w:b/>
                <w:bCs/>
                <w:sz w:val="16"/>
                <w:szCs w:val="16"/>
                <w:lang w:eastAsia="sk-SK"/>
              </w:rPr>
              <w:t>2013 N</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582496" w:rsidP="001E5B24">
            <w:pPr>
              <w:bidi w:val="0"/>
              <w:rPr>
                <w:rFonts w:ascii="Arial Narrow" w:hAnsi="Arial Narrow" w:cs="Arial Narrow"/>
                <w:b/>
                <w:bCs/>
                <w:color w:val="000000"/>
                <w:sz w:val="16"/>
                <w:szCs w:val="16"/>
                <w:lang w:eastAsia="sk-SK"/>
              </w:rPr>
            </w:pPr>
            <w:r w:rsidRPr="002504EC">
              <w:rPr>
                <w:rFonts w:ascii="Arial Narrow" w:hAnsi="Arial Narrow" w:cs="Arial Narrow"/>
                <w:b/>
                <w:bCs/>
                <w:sz w:val="16"/>
                <w:szCs w:val="16"/>
                <w:lang w:eastAsia="sk-SK"/>
              </w:rPr>
              <w:t>Ž</w:t>
            </w:r>
            <w:r w:rsidRPr="00582496">
              <w:rPr>
                <w:rFonts w:ascii="Arial Narrow" w:hAnsi="Arial Narrow" w:cs="Arial Narrow"/>
                <w:b/>
                <w:bCs/>
                <w:sz w:val="16"/>
                <w:szCs w:val="16"/>
                <w:lang w:eastAsia="sk-SK"/>
              </w:rPr>
              <w:t>elezničná doprava</w:t>
            </w:r>
            <w:r>
              <w:rPr>
                <w:rFonts w:ascii="Arial Narrow" w:hAnsi="Arial Narrow" w:cs="Arial Narrow"/>
                <w:b/>
                <w:bCs/>
                <w:sz w:val="16"/>
                <w:szCs w:val="16"/>
                <w:lang w:eastAsia="sk-SK"/>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472 640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466 451</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602 765</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633 560</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724 470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582496" w:rsidP="001E5B24">
            <w:pPr>
              <w:bidi w:val="0"/>
              <w:jc w:val="right"/>
              <w:rPr>
                <w:rFonts w:ascii="Arial Narrow" w:hAnsi="Arial Narrow" w:cs="Arial Narrow"/>
                <w:b/>
                <w:bCs/>
                <w:color w:val="000000"/>
                <w:sz w:val="16"/>
                <w:szCs w:val="16"/>
                <w:lang w:eastAsia="sk-SK"/>
              </w:rPr>
            </w:pPr>
            <w:r w:rsidRPr="00582496">
              <w:rPr>
                <w:rFonts w:ascii="Arial Narrow" w:hAnsi="Arial Narrow" w:cs="Arial Narrow"/>
                <w:b/>
                <w:bCs/>
                <w:color w:val="000000"/>
                <w:sz w:val="16"/>
                <w:szCs w:val="16"/>
                <w:lang w:eastAsia="sk-SK"/>
              </w:rPr>
              <w:t>611 960</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582496" w:rsidP="001E5B24">
            <w:pPr>
              <w:bidi w:val="0"/>
              <w:rPr>
                <w:rFonts w:ascii="Arial Narrow" w:hAnsi="Arial Narrow" w:cs="Arial Narrow"/>
                <w:color w:val="000000"/>
                <w:sz w:val="16"/>
                <w:szCs w:val="16"/>
                <w:lang w:eastAsia="sk-SK"/>
              </w:rPr>
            </w:pPr>
            <w:r>
              <w:rPr>
                <w:rFonts w:ascii="Arial Narrow" w:hAnsi="Arial Narrow" w:cs="Arial Narrow"/>
                <w:color w:val="000000"/>
                <w:sz w:val="16"/>
                <w:szCs w:val="16"/>
                <w:lang w:eastAsia="sk-SK"/>
              </w:rPr>
              <w:t>zdroj štátneho rozpočtu</w:t>
            </w:r>
            <w:r w:rsidRPr="00582496">
              <w:rPr>
                <w:rFonts w:ascii="Arial Narrow" w:hAnsi="Arial Narrow" w:cs="Arial Narrow"/>
                <w:color w:val="000000"/>
                <w:sz w:val="16"/>
                <w:szCs w:val="16"/>
                <w:lang w:eastAsia="sk-SK"/>
              </w:rPr>
              <w:t xml:space="preserve">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431 447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400 112</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269 535</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322 511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268 870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268 871</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 xml:space="preserve"> presun z min</w:t>
            </w:r>
            <w:r>
              <w:rPr>
                <w:rFonts w:ascii="Arial Narrow" w:hAnsi="Arial Narrow" w:cs="Arial Narrow"/>
                <w:color w:val="000000"/>
                <w:sz w:val="16"/>
                <w:szCs w:val="16"/>
                <w:lang w:eastAsia="sk-SK"/>
              </w:rPr>
              <w:t>ulých</w:t>
            </w:r>
            <w:r w:rsidRPr="00582496">
              <w:rPr>
                <w:rFonts w:ascii="Arial Narrow" w:hAnsi="Arial Narrow" w:cs="Arial Narrow"/>
                <w:color w:val="000000"/>
                <w:sz w:val="16"/>
                <w:szCs w:val="16"/>
                <w:lang w:eastAsia="sk-SK"/>
              </w:rPr>
              <w:t xml:space="preserve"> rokov § 8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5 040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582496" w:rsidP="001E5B24">
            <w:pPr>
              <w:bidi w:val="0"/>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 xml:space="preserve">zdroj EÚ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24 423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47 486</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280 083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0F15F9">
              <w:rPr>
                <w:rFonts w:ascii="Arial Narrow" w:hAnsi="Arial Narrow" w:cs="Arial Narrow"/>
                <w:color w:val="000000"/>
                <w:sz w:val="16"/>
                <w:szCs w:val="16"/>
                <w:lang w:eastAsia="sk-SK"/>
              </w:rPr>
              <w:t>245 066</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362 287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283 278</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582496" w:rsidP="001E5B24">
            <w:pPr>
              <w:bidi w:val="0"/>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zdroj spolufinancovanie</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9 361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15 952</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53 111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65 983</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93 313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59 811</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582496" w:rsidP="001E5B24">
            <w:pPr>
              <w:bidi w:val="0"/>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iné zdroje (mimorozpočtové a ISPA)</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2 369</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2 901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36</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82496" w:rsidP="001E5B24">
            <w:pPr>
              <w:bidi w:val="0"/>
              <w:jc w:val="right"/>
              <w:rPr>
                <w:rFonts w:ascii="Arial Narrow" w:hAnsi="Arial Narrow" w:cs="Arial Narrow"/>
                <w:color w:val="000000"/>
                <w:sz w:val="16"/>
                <w:szCs w:val="16"/>
                <w:lang w:eastAsia="sk-SK"/>
              </w:rPr>
            </w:pPr>
            <w:r w:rsidRPr="00582496">
              <w:rPr>
                <w:rFonts w:ascii="Arial Narrow" w:hAnsi="Arial Narrow" w:cs="Arial Narrow"/>
                <w:color w:val="000000"/>
                <w:sz w:val="16"/>
                <w:szCs w:val="16"/>
                <w:lang w:eastAsia="sk-SK"/>
              </w:rPr>
              <w:t>0</w:t>
            </w:r>
          </w:p>
        </w:tc>
      </w:tr>
    </w:tbl>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Výdavky na železničnú dopravu sú v roku 2011 rozpočtované v sume 634 mil.  eur</w:t>
      </w:r>
      <w:r>
        <w:rPr>
          <w:rFonts w:ascii="Arial Narrow" w:hAnsi="Arial Narrow" w:cs="Arial Narrow"/>
          <w:sz w:val="22"/>
          <w:szCs w:val="22"/>
        </w:rPr>
        <w:t xml:space="preserve"> vrátane zdrojov EÚ a spolufinancovania. </w:t>
      </w:r>
      <w:r w:rsidRPr="006259BE">
        <w:rPr>
          <w:rFonts w:ascii="Arial Narrow" w:hAnsi="Arial Narrow" w:cs="Arial Narrow"/>
          <w:sz w:val="22"/>
          <w:szCs w:val="22"/>
        </w:rPr>
        <w:t xml:space="preserve"> Výdavky na uvedenú oblasť v roku 2011 sú v porovnaní s</w:t>
      </w:r>
      <w:r>
        <w:rPr>
          <w:rFonts w:ascii="Arial Narrow" w:hAnsi="Arial Narrow" w:cs="Arial Narrow"/>
          <w:sz w:val="22"/>
          <w:szCs w:val="22"/>
        </w:rPr>
        <w:t>o schváleným rozpočtom roku</w:t>
      </w:r>
      <w:r w:rsidRPr="006259BE">
        <w:rPr>
          <w:rFonts w:ascii="Arial Narrow" w:hAnsi="Arial Narrow" w:cs="Arial Narrow"/>
          <w:sz w:val="22"/>
          <w:szCs w:val="22"/>
        </w:rPr>
        <w:t xml:space="preserve"> 2010 vyššie o 5,11 %</w:t>
      </w:r>
      <w:r>
        <w:rPr>
          <w:rFonts w:ascii="Arial Narrow" w:hAnsi="Arial Narrow" w:cs="Arial Narrow"/>
          <w:sz w:val="22"/>
          <w:szCs w:val="22"/>
        </w:rPr>
        <w:t xml:space="preserve"> v dôsledku rastu prostriedkov štátneho rozpočtu na urýchlenie zapojenia zdrojov z EÚ do výstavby železničnej infraštruktúry.</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 xml:space="preserve"> Výdavky zo zdrojov štátneho rozpočtu v porovnaní s</w:t>
      </w:r>
      <w:r>
        <w:rPr>
          <w:rFonts w:ascii="Arial Narrow" w:hAnsi="Arial Narrow" w:cs="Arial Narrow"/>
          <w:sz w:val="22"/>
          <w:szCs w:val="22"/>
        </w:rPr>
        <w:t>o schváleným rozpočtom roku</w:t>
      </w:r>
      <w:r w:rsidRPr="006259BE">
        <w:rPr>
          <w:rFonts w:ascii="Arial Narrow" w:hAnsi="Arial Narrow" w:cs="Arial Narrow"/>
          <w:sz w:val="22"/>
          <w:szCs w:val="22"/>
        </w:rPr>
        <w:t xml:space="preserve"> 2010  sú vyššie o 19,7</w:t>
      </w:r>
      <w:r>
        <w:rPr>
          <w:rFonts w:ascii="Arial Narrow" w:hAnsi="Arial Narrow" w:cs="Arial Narrow"/>
          <w:sz w:val="22"/>
          <w:szCs w:val="22"/>
        </w:rPr>
        <w:t xml:space="preserve"> %</w:t>
      </w:r>
      <w:r w:rsidRPr="006259BE">
        <w:rPr>
          <w:rFonts w:ascii="Arial Narrow" w:hAnsi="Arial Narrow" w:cs="Arial Narrow"/>
          <w:sz w:val="22"/>
          <w:szCs w:val="22"/>
        </w:rPr>
        <w:t>, t.</w:t>
      </w:r>
      <w:r w:rsidR="008E59B4">
        <w:rPr>
          <w:rFonts w:ascii="Arial Narrow" w:hAnsi="Arial Narrow" w:cs="Arial Narrow"/>
          <w:sz w:val="22"/>
          <w:szCs w:val="22"/>
        </w:rPr>
        <w:t xml:space="preserve"> </w:t>
      </w:r>
      <w:r w:rsidRPr="006259BE">
        <w:rPr>
          <w:rFonts w:ascii="Arial Narrow" w:hAnsi="Arial Narrow" w:cs="Arial Narrow"/>
          <w:sz w:val="22"/>
          <w:szCs w:val="22"/>
        </w:rPr>
        <w:t>j. o 53,0 mil. eur v nadväznosti na zvýšenie kapitálových výdavkov na modernizáciu železničných dopravných ciest.</w:t>
      </w:r>
    </w:p>
    <w:p w:rsidR="001E5B24" w:rsidP="001E5B24">
      <w:pPr>
        <w:bidi w:val="0"/>
        <w:ind w:firstLine="708"/>
        <w:jc w:val="both"/>
        <w:rPr>
          <w:rFonts w:ascii="Arial Narrow" w:hAnsi="Arial Narrow" w:cs="Arial Narrow"/>
          <w:sz w:val="22"/>
          <w:szCs w:val="22"/>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7"/>
        <w:gridCol w:w="948"/>
        <w:gridCol w:w="947"/>
        <w:gridCol w:w="948"/>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rPr>
                <w:rFonts w:ascii="Arial Narrow" w:hAnsi="Arial Narrow" w:cs="Arial Narrow"/>
                <w:b/>
                <w:bCs/>
                <w:sz w:val="16"/>
                <w:szCs w:val="16"/>
                <w:lang w:eastAsia="sk-SK"/>
              </w:rPr>
            </w:pPr>
            <w:r w:rsidRPr="00655061">
              <w:rPr>
                <w:rFonts w:ascii="Arial Narrow" w:hAnsi="Arial Narrow" w:cs="Arial Narrow"/>
                <w:b/>
                <w:bCs/>
                <w:sz w:val="16"/>
                <w:szCs w:val="16"/>
                <w:lang w:eastAsia="sk-SK"/>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2010 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655061" w:rsidP="001E5B24">
            <w:pPr>
              <w:bidi w:val="0"/>
              <w:jc w:val="center"/>
              <w:rPr>
                <w:rFonts w:ascii="Arial Narrow" w:hAnsi="Arial Narrow" w:cs="Arial Narrow"/>
                <w:b/>
                <w:bCs/>
                <w:sz w:val="16"/>
                <w:szCs w:val="16"/>
                <w:lang w:eastAsia="sk-SK"/>
              </w:rPr>
            </w:pPr>
            <w:r w:rsidRPr="00655061">
              <w:rPr>
                <w:rFonts w:ascii="Arial Narrow" w:hAnsi="Arial Narrow" w:cs="Arial Narrow"/>
                <w:b/>
                <w:bCs/>
                <w:sz w:val="16"/>
                <w:szCs w:val="16"/>
                <w:lang w:eastAsia="sk-SK"/>
              </w:rPr>
              <w:t>2013 N</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655061" w:rsidP="001E5B24">
            <w:pPr>
              <w:bidi w:val="0"/>
              <w:rPr>
                <w:rFonts w:ascii="Arial Narrow" w:hAnsi="Arial Narrow" w:cs="Arial Narrow"/>
                <w:b/>
                <w:bCs/>
                <w:color w:val="000000"/>
                <w:sz w:val="16"/>
                <w:szCs w:val="16"/>
                <w:lang w:eastAsia="sk-SK"/>
              </w:rPr>
            </w:pPr>
            <w:r w:rsidRPr="002504EC">
              <w:rPr>
                <w:rFonts w:ascii="Arial Narrow" w:hAnsi="Arial Narrow" w:cs="Arial Narrow"/>
                <w:b/>
                <w:bCs/>
                <w:sz w:val="16"/>
                <w:szCs w:val="16"/>
                <w:lang w:eastAsia="sk-SK"/>
              </w:rPr>
              <w:t>Ž</w:t>
            </w:r>
            <w:r w:rsidRPr="00582496">
              <w:rPr>
                <w:rFonts w:ascii="Arial Narrow" w:hAnsi="Arial Narrow" w:cs="Arial Narrow"/>
                <w:b/>
                <w:bCs/>
                <w:sz w:val="16"/>
                <w:szCs w:val="16"/>
                <w:lang w:eastAsia="sk-SK"/>
              </w:rPr>
              <w:t>elezničná doprava</w:t>
            </w:r>
            <w:r>
              <w:rPr>
                <w:rFonts w:ascii="Arial Narrow" w:hAnsi="Arial Narrow" w:cs="Arial Narrow"/>
                <w:b/>
                <w:bCs/>
                <w:sz w:val="16"/>
                <w:szCs w:val="16"/>
                <w:lang w:eastAsia="sk-SK"/>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475 639</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466 451</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602 765</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633 560</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724 470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655061" w:rsidP="001E5B24">
            <w:pPr>
              <w:bidi w:val="0"/>
              <w:jc w:val="right"/>
              <w:rPr>
                <w:rFonts w:ascii="Arial Narrow" w:hAnsi="Arial Narrow" w:cs="Arial Narrow"/>
                <w:b/>
                <w:bCs/>
                <w:color w:val="000000"/>
                <w:sz w:val="16"/>
                <w:szCs w:val="16"/>
                <w:lang w:eastAsia="sk-SK"/>
              </w:rPr>
            </w:pPr>
            <w:r w:rsidRPr="00655061">
              <w:rPr>
                <w:rFonts w:ascii="Arial Narrow" w:hAnsi="Arial Narrow" w:cs="Arial Narrow"/>
                <w:b/>
                <w:bCs/>
                <w:color w:val="000000"/>
                <w:sz w:val="16"/>
                <w:szCs w:val="16"/>
                <w:lang w:eastAsia="sk-SK"/>
              </w:rPr>
              <w:t>609 960</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655061" w:rsidP="001E5B24">
            <w:pPr>
              <w:bidi w:val="0"/>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 xml:space="preserve">VVZ  ŽSSK osobná doprava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189 380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179 247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149 373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149 373</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149 373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149 373</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655061" w:rsidP="001E5B24">
            <w:pPr>
              <w:bidi w:val="0"/>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 xml:space="preserve">VVZ ŽSR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191 709</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136 095</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119 498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119 498</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119 498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119 498</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655061" w:rsidP="001E5B24">
            <w:pPr>
              <w:bidi w:val="0"/>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 xml:space="preserve">Rozvoj a modernizácia ŽSR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94 377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99 861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324</w:t>
            </w:r>
            <w:r w:rsidRPr="002504EC">
              <w:rPr>
                <w:rFonts w:ascii="Arial Narrow" w:hAnsi="Arial Narrow" w:cs="Arial Narrow"/>
                <w:color w:val="000000"/>
                <w:sz w:val="16"/>
                <w:szCs w:val="16"/>
                <w:lang w:eastAsia="sk-SK"/>
              </w:rPr>
              <w:t xml:space="preserve"> </w:t>
            </w:r>
            <w:r w:rsidRPr="00655061">
              <w:rPr>
                <w:rFonts w:ascii="Arial Narrow" w:hAnsi="Arial Narrow" w:cs="Arial Narrow"/>
                <w:color w:val="000000"/>
                <w:sz w:val="16"/>
                <w:szCs w:val="16"/>
                <w:lang w:eastAsia="sk-SK"/>
              </w:rPr>
              <w:t>281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309 449</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384 248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319 239</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655061" w:rsidP="001E5B24">
            <w:pPr>
              <w:bidi w:val="0"/>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Obnova železničných mobilných prostriedkov ŽSSK</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50 825</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8 949</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55 240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71 351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21 850</w:t>
            </w:r>
          </w:p>
        </w:tc>
      </w:tr>
      <w:tr>
        <w:tblPrEx>
          <w:tblW w:w="9100" w:type="dxa"/>
          <w:tblInd w:w="57" w:type="dxa"/>
          <w:tblLayout w:type="fixed"/>
          <w:tblCellMar>
            <w:left w:w="70" w:type="dxa"/>
            <w:right w:w="70" w:type="dxa"/>
          </w:tblCellMar>
          <w:tblLook w:val="00A0"/>
        </w:tblPrEx>
        <w:trPr>
          <w:trHeight w:val="250"/>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655061" w:rsidP="001E5B24">
            <w:pPr>
              <w:bidi w:val="0"/>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 xml:space="preserve">Kombinovaná doprava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173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423</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664</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655061" w:rsidP="001E5B24">
            <w:pPr>
              <w:bidi w:val="0"/>
              <w:jc w:val="right"/>
              <w:rPr>
                <w:rFonts w:ascii="Arial Narrow" w:hAnsi="Arial Narrow" w:cs="Arial Narrow"/>
                <w:color w:val="000000"/>
                <w:sz w:val="16"/>
                <w:szCs w:val="16"/>
                <w:lang w:eastAsia="sk-SK"/>
              </w:rPr>
            </w:pPr>
            <w:r w:rsidRPr="00655061">
              <w:rPr>
                <w:rFonts w:ascii="Arial Narrow" w:hAnsi="Arial Narrow" w:cs="Arial Narrow"/>
                <w:color w:val="000000"/>
                <w:sz w:val="16"/>
                <w:szCs w:val="16"/>
                <w:lang w:eastAsia="sk-SK"/>
              </w:rPr>
              <w:t>0</w:t>
            </w:r>
          </w:p>
        </w:tc>
      </w:tr>
    </w:tbl>
    <w:p w:rsidR="001E5B24" w:rsidP="001E5B24">
      <w:pPr>
        <w:bidi w:val="0"/>
        <w:ind w:firstLine="708"/>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6259BE">
        <w:rPr>
          <w:rFonts w:ascii="Arial Narrow" w:hAnsi="Arial Narrow" w:cs="Arial Narrow"/>
          <w:sz w:val="22"/>
          <w:szCs w:val="22"/>
        </w:rPr>
        <w:t xml:space="preserve">ýdavky </w:t>
      </w:r>
      <w:r>
        <w:rPr>
          <w:rFonts w:ascii="Arial Narrow" w:hAnsi="Arial Narrow" w:cs="Arial Narrow"/>
          <w:sz w:val="22"/>
          <w:szCs w:val="22"/>
        </w:rPr>
        <w:t xml:space="preserve">na financovanie výkonov vo verejnom záujme </w:t>
      </w:r>
      <w:r w:rsidRPr="006259BE">
        <w:rPr>
          <w:rFonts w:ascii="Arial Narrow" w:hAnsi="Arial Narrow" w:cs="Arial Narrow"/>
          <w:sz w:val="22"/>
          <w:szCs w:val="22"/>
        </w:rPr>
        <w:t xml:space="preserve">pre </w:t>
      </w:r>
      <w:r>
        <w:rPr>
          <w:rFonts w:ascii="Arial Narrow" w:hAnsi="Arial Narrow" w:cs="Arial Narrow"/>
          <w:sz w:val="22"/>
          <w:szCs w:val="22"/>
        </w:rPr>
        <w:t xml:space="preserve"> rok 2011 s</w:t>
      </w:r>
      <w:r w:rsidRPr="006259BE">
        <w:rPr>
          <w:rFonts w:ascii="Arial Narrow" w:hAnsi="Arial Narrow" w:cs="Arial Narrow"/>
          <w:sz w:val="22"/>
          <w:szCs w:val="22"/>
        </w:rPr>
        <w:t>ú rozpočtované na rovnakej úrovni ako v roku 2010</w:t>
      </w:r>
      <w:r>
        <w:rPr>
          <w:rFonts w:ascii="Arial Narrow" w:hAnsi="Arial Narrow" w:cs="Arial Narrow"/>
          <w:sz w:val="22"/>
          <w:szCs w:val="22"/>
        </w:rPr>
        <w:t xml:space="preserve">. Problematika železničnej dopravy si vyžaduje zmenu v doterajšom prístupe, ktorý každoročne produkuje straty v železničnom sektore. Táto zmena si vyžiada systémové opatrenia, ktoré zabezpečia efektívne a udržateľné financovanie.  </w:t>
      </w:r>
      <w:r w:rsidRPr="006259BE">
        <w:rPr>
          <w:rFonts w:ascii="Arial Narrow" w:hAnsi="Arial Narrow" w:cs="Arial Narrow"/>
          <w:sz w:val="22"/>
          <w:szCs w:val="22"/>
        </w:rPr>
        <w:t xml:space="preserve"> </w:t>
      </w:r>
    </w:p>
    <w:p w:rsidR="001E5B24" w:rsidRPr="006259BE"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Letecká doprava</w:t>
      </w:r>
    </w:p>
    <w:p w:rsidR="001E5B24" w:rsidP="001E5B24">
      <w:pPr>
        <w:bidi w:val="0"/>
        <w:jc w:val="both"/>
        <w:rPr>
          <w:rFonts w:ascii="Arial Narrow" w:hAnsi="Arial Narrow" w:cs="Arial Narrow"/>
          <w:sz w:val="22"/>
          <w:szCs w:val="22"/>
        </w:rPr>
      </w:pPr>
    </w:p>
    <w:tbl>
      <w:tblPr>
        <w:tblStyle w:val="TableNormal"/>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8"/>
        <w:gridCol w:w="947"/>
        <w:gridCol w:w="948"/>
        <w:gridCol w:w="948"/>
      </w:tblGrid>
      <w:tr>
        <w:tblPrEx>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53"/>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rPr>
                <w:rFonts w:ascii="Arial Narrow" w:hAnsi="Arial Narrow" w:cs="Arial Narrow"/>
                <w:b/>
                <w:bCs/>
                <w:sz w:val="16"/>
                <w:szCs w:val="16"/>
                <w:lang w:eastAsia="sk-SK"/>
              </w:rPr>
            </w:pPr>
            <w:r w:rsidRPr="00B420D4">
              <w:rPr>
                <w:rFonts w:ascii="Arial Narrow" w:hAnsi="Arial Narrow" w:cs="Arial Narrow"/>
                <w:b/>
                <w:bCs/>
                <w:sz w:val="16"/>
                <w:szCs w:val="16"/>
                <w:lang w:eastAsia="sk-SK"/>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2009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2010 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2011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center"/>
              <w:rPr>
                <w:rFonts w:ascii="Arial Narrow" w:hAnsi="Arial Narrow" w:cs="Arial Narrow"/>
                <w:b/>
                <w:bCs/>
                <w:sz w:val="16"/>
                <w:szCs w:val="16"/>
                <w:lang w:eastAsia="sk-SK"/>
              </w:rPr>
            </w:pPr>
            <w:r w:rsidRPr="00B420D4">
              <w:rPr>
                <w:rFonts w:ascii="Arial Narrow" w:hAnsi="Arial Narrow" w:cs="Arial Narrow"/>
                <w:b/>
                <w:bCs/>
                <w:sz w:val="16"/>
                <w:szCs w:val="16"/>
                <w:lang w:eastAsia="sk-SK"/>
              </w:rPr>
              <w:t>2013 N</w:t>
            </w:r>
          </w:p>
        </w:tc>
      </w:tr>
      <w:tr>
        <w:tblPrEx>
          <w:tblW w:w="9101" w:type="dxa"/>
          <w:tblInd w:w="57" w:type="dxa"/>
          <w:tblLayout w:type="fixed"/>
          <w:tblCellMar>
            <w:left w:w="70" w:type="dxa"/>
            <w:right w:w="70" w:type="dxa"/>
          </w:tblCellMar>
          <w:tblLook w:val="00A0"/>
        </w:tblPrEx>
        <w:trPr>
          <w:trHeight w:val="253"/>
        </w:trPr>
        <w:tc>
          <w:tcPr>
            <w:tcW w:w="3415"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rPr>
                <w:rFonts w:ascii="Arial Narrow" w:hAnsi="Arial Narrow" w:cs="Arial Narrow"/>
                <w:b/>
                <w:bCs/>
                <w:color w:val="000000"/>
                <w:sz w:val="16"/>
                <w:szCs w:val="16"/>
                <w:lang w:eastAsia="sk-SK"/>
              </w:rPr>
            </w:pPr>
            <w:r>
              <w:rPr>
                <w:rFonts w:ascii="Arial Narrow" w:hAnsi="Arial Narrow" w:cs="Arial Narrow"/>
                <w:b/>
                <w:bCs/>
                <w:sz w:val="16"/>
                <w:szCs w:val="16"/>
                <w:lang w:eastAsia="sk-SK"/>
              </w:rPr>
              <w:t>L</w:t>
            </w:r>
            <w:r w:rsidRPr="00B420D4">
              <w:rPr>
                <w:rFonts w:ascii="Arial Narrow" w:hAnsi="Arial Narrow" w:cs="Arial Narrow"/>
                <w:b/>
                <w:bCs/>
                <w:sz w:val="16"/>
                <w:szCs w:val="16"/>
                <w:lang w:eastAsia="sk-SK"/>
              </w:rPr>
              <w:t>etecká doprava</w:t>
            </w:r>
            <w:r>
              <w:rPr>
                <w:rFonts w:ascii="Arial Narrow" w:hAnsi="Arial Narrow" w:cs="Arial Narrow"/>
                <w:b/>
                <w:bCs/>
                <w:sz w:val="16"/>
                <w:szCs w:val="16"/>
                <w:lang w:eastAsia="sk-SK"/>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10 894</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9 059</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5 311</w:t>
            </w:r>
          </w:p>
        </w:tc>
        <w:tc>
          <w:tcPr>
            <w:tcW w:w="94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5 500</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200</w:t>
            </w:r>
          </w:p>
        </w:tc>
        <w:tc>
          <w:tcPr>
            <w:tcW w:w="94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420D4" w:rsidP="001E5B24">
            <w:pPr>
              <w:bidi w:val="0"/>
              <w:jc w:val="right"/>
              <w:rPr>
                <w:rFonts w:ascii="Arial Narrow" w:hAnsi="Arial Narrow" w:cs="Arial Narrow"/>
                <w:b/>
                <w:bCs/>
                <w:color w:val="000000"/>
                <w:sz w:val="16"/>
                <w:szCs w:val="16"/>
                <w:lang w:eastAsia="sk-SK"/>
              </w:rPr>
            </w:pPr>
            <w:r w:rsidRPr="00B420D4">
              <w:rPr>
                <w:rFonts w:ascii="Arial Narrow" w:hAnsi="Arial Narrow" w:cs="Arial Narrow"/>
                <w:b/>
                <w:bCs/>
                <w:color w:val="000000"/>
                <w:sz w:val="16"/>
                <w:szCs w:val="16"/>
                <w:lang w:eastAsia="sk-SK"/>
              </w:rPr>
              <w:t>200</w:t>
            </w:r>
          </w:p>
        </w:tc>
      </w:tr>
      <w:tr>
        <w:tblPrEx>
          <w:tblW w:w="9101" w:type="dxa"/>
          <w:tblInd w:w="57" w:type="dxa"/>
          <w:tblLayout w:type="fixed"/>
          <w:tblCellMar>
            <w:left w:w="70" w:type="dxa"/>
            <w:right w:w="70" w:type="dxa"/>
          </w:tblCellMar>
          <w:tblLook w:val="00A0"/>
        </w:tblPrEx>
        <w:trPr>
          <w:trHeight w:val="253"/>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 xml:space="preserve">zdroje </w:t>
            </w:r>
            <w:r>
              <w:rPr>
                <w:rFonts w:ascii="Arial Narrow" w:hAnsi="Arial Narrow" w:cs="Arial Narrow"/>
                <w:color w:val="000000"/>
                <w:sz w:val="16"/>
                <w:szCs w:val="16"/>
                <w:lang w:eastAsia="sk-SK"/>
              </w:rPr>
              <w:t>štátneho rozpočtu</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6 928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8 662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5 311</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5 500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200</w:t>
            </w:r>
          </w:p>
        </w:tc>
      </w:tr>
      <w:tr>
        <w:tblPrEx>
          <w:tblW w:w="9101" w:type="dxa"/>
          <w:tblInd w:w="57" w:type="dxa"/>
          <w:tblLayout w:type="fixed"/>
          <w:tblCellMar>
            <w:left w:w="70" w:type="dxa"/>
            <w:right w:w="70" w:type="dxa"/>
          </w:tblCellMar>
          <w:tblLook w:val="00A0"/>
        </w:tblPrEx>
        <w:trPr>
          <w:trHeight w:val="253"/>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B420D4" w:rsidP="001E5B24">
            <w:pPr>
              <w:bidi w:val="0"/>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 xml:space="preserve">zdroj EÚ </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3131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313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r>
      <w:tr>
        <w:tblPrEx>
          <w:tblW w:w="9101" w:type="dxa"/>
          <w:tblInd w:w="57" w:type="dxa"/>
          <w:tblLayout w:type="fixed"/>
          <w:tblCellMar>
            <w:left w:w="70" w:type="dxa"/>
            <w:right w:w="70" w:type="dxa"/>
          </w:tblCellMar>
          <w:tblLook w:val="00A0"/>
        </w:tblPrEx>
        <w:trPr>
          <w:trHeight w:val="253"/>
        </w:trPr>
        <w:tc>
          <w:tcPr>
            <w:tcW w:w="3415" w:type="dxa"/>
            <w:tcBorders>
              <w:top w:val="single" w:sz="4" w:space="0" w:color="auto"/>
              <w:left w:val="single" w:sz="4" w:space="0" w:color="auto"/>
              <w:bottom w:val="single" w:sz="4" w:space="0" w:color="auto"/>
              <w:right w:val="single" w:sz="4" w:space="0" w:color="auto"/>
            </w:tcBorders>
            <w:textDirection w:val="lrTb"/>
            <w:vAlign w:val="bottom"/>
          </w:tcPr>
          <w:p w:rsidR="001E5B24" w:rsidRPr="00B420D4" w:rsidP="001E5B24">
            <w:pPr>
              <w:bidi w:val="0"/>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 xml:space="preserve">zdroj spolufinancovanie  </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835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84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420D4" w:rsidP="001E5B24">
            <w:pPr>
              <w:bidi w:val="0"/>
              <w:jc w:val="right"/>
              <w:rPr>
                <w:rFonts w:ascii="Arial Narrow" w:hAnsi="Arial Narrow" w:cs="Arial Narrow"/>
                <w:color w:val="000000"/>
                <w:sz w:val="16"/>
                <w:szCs w:val="16"/>
                <w:lang w:eastAsia="sk-SK"/>
              </w:rPr>
            </w:pPr>
            <w:r w:rsidRPr="00B420D4">
              <w:rPr>
                <w:rFonts w:ascii="Arial Narrow" w:hAnsi="Arial Narrow" w:cs="Arial Narrow"/>
                <w:color w:val="000000"/>
                <w:sz w:val="16"/>
                <w:szCs w:val="16"/>
                <w:lang w:eastAsia="sk-SK"/>
              </w:rPr>
              <w:t>0</w:t>
            </w:r>
          </w:p>
        </w:tc>
      </w:tr>
    </w:tbl>
    <w:p w:rsidR="001E5B24" w:rsidRPr="006259BE" w:rsidP="001E5B24">
      <w:pPr>
        <w:bidi w:val="0"/>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V oblasti leteckej dopravy sú výdavky v roku 2011 rozpočtované vo výške 5,50 mil. eur, čo v porovnaní  s</w:t>
      </w:r>
      <w:r>
        <w:rPr>
          <w:rFonts w:ascii="Arial Narrow" w:hAnsi="Arial Narrow" w:cs="Arial Narrow"/>
          <w:sz w:val="22"/>
          <w:szCs w:val="22"/>
        </w:rPr>
        <w:t>o schváleným rozpočtom roku</w:t>
      </w:r>
      <w:r w:rsidRPr="006259BE">
        <w:rPr>
          <w:rFonts w:ascii="Arial Narrow" w:hAnsi="Arial Narrow" w:cs="Arial Narrow"/>
          <w:sz w:val="22"/>
          <w:szCs w:val="22"/>
        </w:rPr>
        <w:t xml:space="preserve"> 2010 predstavuje zvýšenie o 3,56 %, t.</w:t>
      </w:r>
      <w:r w:rsidR="008E59B4">
        <w:rPr>
          <w:rFonts w:ascii="Arial Narrow" w:hAnsi="Arial Narrow" w:cs="Arial Narrow"/>
          <w:sz w:val="22"/>
          <w:szCs w:val="22"/>
        </w:rPr>
        <w:t xml:space="preserve"> </w:t>
      </w:r>
      <w:r w:rsidRPr="006259BE">
        <w:rPr>
          <w:rFonts w:ascii="Arial Narrow" w:hAnsi="Arial Narrow" w:cs="Arial Narrow"/>
          <w:sz w:val="22"/>
          <w:szCs w:val="22"/>
        </w:rPr>
        <w:t xml:space="preserve">j. o 189 </w:t>
      </w:r>
      <w:r>
        <w:rPr>
          <w:rFonts w:ascii="Arial Narrow" w:hAnsi="Arial Narrow" w:cs="Arial Narrow"/>
          <w:sz w:val="22"/>
          <w:szCs w:val="22"/>
        </w:rPr>
        <w:t>tis.</w:t>
      </w:r>
      <w:r w:rsidRPr="006259BE">
        <w:rPr>
          <w:rFonts w:ascii="Arial Narrow" w:hAnsi="Arial Narrow" w:cs="Arial Narrow"/>
          <w:sz w:val="22"/>
          <w:szCs w:val="22"/>
        </w:rPr>
        <w:t xml:space="preserve"> eur. Uvedené výdavky sú smerované na zabezpečenie poskytovania služieb súvisiacich s odletmi a pristátiami lietadiel pri vykonávaní letov, ktoré sú oslobodené od odplát za pristátia a odplát za používanie letiska, na plnenie záväzných štandardov bezpečnosti prevádzky letiskovej infraštruktúry, bezpečnostnej ochrany letísk a správy, údržby a zhodnocovania letiskovej infraštruktúry. </w:t>
      </w:r>
    </w:p>
    <w:p w:rsidR="001E5B24" w:rsidRPr="006259BE"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Podpora rozvoja bývania</w:t>
      </w:r>
    </w:p>
    <w:p w:rsidR="001E5B24" w:rsidRPr="009D6CF9" w:rsidP="001E5B24">
      <w:pPr>
        <w:bidi w:val="0"/>
        <w:jc w:val="both"/>
        <w:rPr>
          <w:rFonts w:ascii="Arial Narrow" w:hAnsi="Arial Narrow" w:cs="Arial Narrow"/>
          <w:sz w:val="16"/>
          <w:szCs w:val="16"/>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713"/>
        <w:gridCol w:w="1064"/>
        <w:gridCol w:w="1065"/>
        <w:gridCol w:w="1064"/>
        <w:gridCol w:w="1065"/>
        <w:gridCol w:w="1064"/>
        <w:gridCol w:w="1065"/>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300"/>
        </w:trPr>
        <w:tc>
          <w:tcPr>
            <w:tcW w:w="9100" w:type="dxa"/>
            <w:gridSpan w:val="7"/>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Zdroje na podporu bývania</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b/>
                <w:bCs/>
                <w:sz w:val="16"/>
                <w:szCs w:val="16"/>
              </w:rPr>
            </w:pPr>
            <w:r w:rsidRPr="002504EC">
              <w:rPr>
                <w:rFonts w:ascii="Arial Narrow" w:hAnsi="Arial Narrow" w:cs="Arial Narrow"/>
                <w:b/>
                <w:bCs/>
                <w:sz w:val="16"/>
                <w:szCs w:val="16"/>
              </w:rPr>
              <w:t>v tis. eur</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2008 S</w:t>
            </w:r>
          </w:p>
        </w:tc>
        <w:tc>
          <w:tcPr>
            <w:tcW w:w="1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2009 S</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2010 R</w:t>
            </w:r>
          </w:p>
        </w:tc>
        <w:tc>
          <w:tcPr>
            <w:tcW w:w="1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2011 N</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2012 N</w:t>
            </w:r>
          </w:p>
        </w:tc>
        <w:tc>
          <w:tcPr>
            <w:tcW w:w="1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2013 N</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Štátny fond rozvoja bývania</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76 215</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137 962</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54 904</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54 904</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54 904</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54 904</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Výstavba a obnova bytového fondu </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61 443</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56 927</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50 255</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35 000</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20 000</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20 000</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Štátna prémia v stavebnom sporení </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38 439</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43 624</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48 500</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43 347</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42 980</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41 980</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Bonifikácia k hypotekárnym  úverom </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19 497</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21 723</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20 580</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26 000</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28 000</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30 000</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887550" w:rsidP="001E5B24">
            <w:pPr>
              <w:bidi w:val="0"/>
              <w:rPr>
                <w:rFonts w:ascii="Arial Narrow" w:hAnsi="Arial Narrow" w:cs="Arial Narrow"/>
                <w:b/>
                <w:color w:val="000000"/>
                <w:sz w:val="16"/>
                <w:szCs w:val="16"/>
              </w:rPr>
            </w:pPr>
            <w:r w:rsidRPr="00887550">
              <w:rPr>
                <w:rFonts w:ascii="Arial Narrow" w:hAnsi="Arial Narrow" w:cs="Arial Narrow"/>
                <w:b/>
                <w:color w:val="000000"/>
                <w:sz w:val="16"/>
                <w:szCs w:val="16"/>
              </w:rPr>
              <w:t xml:space="preserve">Spolu dotácie </w:t>
            </w:r>
            <w:r>
              <w:rPr>
                <w:rFonts w:ascii="Arial Narrow" w:hAnsi="Arial Narrow" w:cs="Arial Narrow"/>
                <w:b/>
                <w:color w:val="000000"/>
                <w:sz w:val="16"/>
                <w:szCs w:val="16"/>
              </w:rPr>
              <w:t>zo štátneho rozpočtu</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195 594</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260 236</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174 239</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159 251</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145 884</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146 884</w:t>
            </w:r>
          </w:p>
        </w:tc>
      </w:tr>
      <w:tr>
        <w:tblPrEx>
          <w:tblW w:w="9100" w:type="dxa"/>
          <w:tblInd w:w="57" w:type="dxa"/>
          <w:tblLayout w:type="fixed"/>
          <w:tblCellMar>
            <w:left w:w="70" w:type="dxa"/>
            <w:right w:w="70" w:type="dxa"/>
          </w:tblCellMar>
          <w:tblLook w:val="00A0"/>
        </w:tblPrEx>
        <w:trPr>
          <w:trHeight w:val="300"/>
        </w:trPr>
        <w:tc>
          <w:tcPr>
            <w:tcW w:w="2713"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Príjmy ŠFRB</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98 933</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87 236</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88 754</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94 231</w:t>
            </w:r>
          </w:p>
        </w:tc>
        <w:tc>
          <w:tcPr>
            <w:tcW w:w="1064"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98 534</w:t>
            </w:r>
          </w:p>
        </w:tc>
        <w:tc>
          <w:tcPr>
            <w:tcW w:w="106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504EC" w:rsidP="001E5B24">
            <w:pPr>
              <w:bidi w:val="0"/>
              <w:jc w:val="right"/>
              <w:rPr>
                <w:rFonts w:ascii="Arial Narrow" w:hAnsi="Arial Narrow" w:cs="Arial Narrow"/>
                <w:color w:val="000000"/>
                <w:sz w:val="16"/>
                <w:szCs w:val="16"/>
              </w:rPr>
            </w:pPr>
            <w:r w:rsidRPr="002504EC">
              <w:rPr>
                <w:rFonts w:ascii="Arial Narrow" w:hAnsi="Arial Narrow" w:cs="Arial Narrow"/>
                <w:color w:val="000000"/>
                <w:sz w:val="16"/>
                <w:szCs w:val="16"/>
              </w:rPr>
              <w:t>103 766</w:t>
            </w:r>
          </w:p>
        </w:tc>
      </w:tr>
      <w:tr>
        <w:tblPrEx>
          <w:tblW w:w="9100" w:type="dxa"/>
          <w:tblInd w:w="57" w:type="dxa"/>
          <w:tblLayout w:type="fixed"/>
          <w:tblCellMar>
            <w:left w:w="70" w:type="dxa"/>
            <w:right w:w="70" w:type="dxa"/>
          </w:tblCellMar>
          <w:tblLook w:val="00A0"/>
        </w:tblPrEx>
        <w:trPr>
          <w:trHeight w:val="315"/>
        </w:trPr>
        <w:tc>
          <w:tcPr>
            <w:tcW w:w="2713"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887550" w:rsidP="001E5B24">
            <w:pPr>
              <w:bidi w:val="0"/>
              <w:rPr>
                <w:rFonts w:ascii="Arial Narrow" w:hAnsi="Arial Narrow" w:cs="Arial Narrow"/>
                <w:b/>
                <w:color w:val="000000"/>
                <w:sz w:val="16"/>
                <w:szCs w:val="16"/>
              </w:rPr>
            </w:pPr>
            <w:r w:rsidRPr="00887550">
              <w:rPr>
                <w:rFonts w:ascii="Arial Narrow" w:hAnsi="Arial Narrow" w:cs="Arial Narrow"/>
                <w:b/>
                <w:color w:val="000000"/>
                <w:sz w:val="16"/>
                <w:szCs w:val="16"/>
              </w:rPr>
              <w:t>Celkom verejné zdroje</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294 527</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347 472</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262 993</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253 482</w:t>
            </w:r>
          </w:p>
        </w:tc>
        <w:tc>
          <w:tcPr>
            <w:tcW w:w="10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244 418</w:t>
            </w:r>
          </w:p>
        </w:tc>
        <w:tc>
          <w:tcPr>
            <w:tcW w:w="1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887550" w:rsidP="001E5B24">
            <w:pPr>
              <w:bidi w:val="0"/>
              <w:jc w:val="right"/>
              <w:rPr>
                <w:rFonts w:ascii="Arial Narrow" w:hAnsi="Arial Narrow" w:cs="Arial Narrow"/>
                <w:b/>
                <w:color w:val="000000"/>
                <w:sz w:val="16"/>
                <w:szCs w:val="16"/>
              </w:rPr>
            </w:pPr>
            <w:r w:rsidRPr="00887550">
              <w:rPr>
                <w:rFonts w:ascii="Arial Narrow" w:hAnsi="Arial Narrow" w:cs="Arial Narrow"/>
                <w:b/>
                <w:color w:val="000000"/>
                <w:sz w:val="16"/>
                <w:szCs w:val="16"/>
              </w:rPr>
              <w:t>250 650</w:t>
            </w:r>
          </w:p>
        </w:tc>
      </w:tr>
    </w:tbl>
    <w:p w:rsidR="001E5B24" w:rsidRPr="00AD72ED" w:rsidP="001E5B24">
      <w:pPr>
        <w:bidi w:val="0"/>
        <w:jc w:val="both"/>
        <w:rPr>
          <w:rFonts w:ascii="Arial Narrow" w:hAnsi="Arial Narrow" w:cs="Arial Narrow"/>
          <w:sz w:val="16"/>
          <w:szCs w:val="16"/>
        </w:rPr>
      </w:pPr>
      <w:r>
        <w:rPr>
          <w:rFonts w:ascii="Arial Narrow" w:hAnsi="Arial Narrow" w:cs="Arial Narrow"/>
          <w:sz w:val="16"/>
          <w:szCs w:val="16"/>
        </w:rPr>
        <w:t xml:space="preserve">Poznámka: </w:t>
      </w:r>
      <w:r w:rsidRPr="00AD72ED">
        <w:rPr>
          <w:rFonts w:ascii="Arial Narrow" w:hAnsi="Arial Narrow" w:cs="Arial Narrow"/>
          <w:sz w:val="16"/>
          <w:szCs w:val="16"/>
        </w:rPr>
        <w:t>Výdavky boli do roku 2011 rozpočtované v kapitole MVRR SR</w:t>
      </w:r>
    </w:p>
    <w:p w:rsidR="001E5B24" w:rsidRPr="006259BE" w:rsidP="001E5B24">
      <w:pPr>
        <w:bidi w:val="0"/>
        <w:jc w:val="both"/>
        <w:rPr>
          <w:rFonts w:ascii="Arial Narrow" w:hAnsi="Arial Narrow" w:cs="Arial Narrow"/>
          <w:b/>
          <w:bCs/>
          <w:sz w:val="16"/>
          <w:szCs w:val="16"/>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Na podporu rozvoja bývania sú v roku 2011 k dispozícií verejné výdavky vo výške 253 mil. eur, z toho zo štátneho rozpočtu v sume 159 mil. eur a z príjmov Štátneho fondu</w:t>
      </w:r>
      <w:r>
        <w:rPr>
          <w:rFonts w:ascii="Arial Narrow" w:hAnsi="Arial Narrow" w:cs="Arial Narrow"/>
          <w:sz w:val="22"/>
          <w:szCs w:val="22"/>
        </w:rPr>
        <w:t xml:space="preserve"> </w:t>
      </w:r>
      <w:r w:rsidRPr="006259BE">
        <w:rPr>
          <w:rFonts w:ascii="Arial Narrow" w:hAnsi="Arial Narrow" w:cs="Arial Narrow"/>
          <w:sz w:val="22"/>
          <w:szCs w:val="22"/>
        </w:rPr>
        <w:t xml:space="preserve">rozvoja bývania </w:t>
      </w:r>
      <w:r>
        <w:rPr>
          <w:rFonts w:ascii="Arial Narrow" w:hAnsi="Arial Narrow" w:cs="Arial Narrow"/>
          <w:sz w:val="22"/>
          <w:szCs w:val="22"/>
        </w:rPr>
        <w:t xml:space="preserve">(ďalej len „ŠFRB“) </w:t>
      </w:r>
      <w:r w:rsidRPr="006259BE">
        <w:rPr>
          <w:rFonts w:ascii="Arial Narrow" w:hAnsi="Arial Narrow" w:cs="Arial Narrow"/>
          <w:sz w:val="22"/>
          <w:szCs w:val="22"/>
        </w:rPr>
        <w:t>94,2 mil. eur. V porovnaní so schváleným rozpočtom roku 2010 sú zdroje nižšie o 3,62 %. Výdavky zo štátneho rozpočtu sú nižšie o 8,60 %, t.</w:t>
      </w:r>
      <w:r w:rsidR="007C7DA8">
        <w:rPr>
          <w:rFonts w:ascii="Arial Narrow" w:hAnsi="Arial Narrow" w:cs="Arial Narrow"/>
          <w:sz w:val="22"/>
          <w:szCs w:val="22"/>
        </w:rPr>
        <w:t xml:space="preserve"> </w:t>
      </w:r>
      <w:r w:rsidRPr="006259BE">
        <w:rPr>
          <w:rFonts w:ascii="Arial Narrow" w:hAnsi="Arial Narrow" w:cs="Arial Narrow"/>
          <w:sz w:val="22"/>
          <w:szCs w:val="22"/>
        </w:rPr>
        <w:t>j. o 15,0 mil. eur, v nadväznosti na zníženie výdavkov na  dotácie.</w:t>
      </w:r>
    </w:p>
    <w:p w:rsidR="001E5B24" w:rsidRPr="006259BE" w:rsidP="001E5B24">
      <w:pPr>
        <w:bidi w:val="0"/>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 xml:space="preserve">Na dotácie na výstavbu a obnovu bytového fondu sa rozpočtujú prostriedky v sume 35,0 mil. eur, ktoré sa využijú na podporu výstavby nájomných bytov, prípravu územia na výstavbu technickej vybavenosti, odstraňovanie systémových porúch a bankové záruky.  </w:t>
      </w:r>
    </w:p>
    <w:p w:rsidR="001E5B24" w:rsidRPr="006259BE" w:rsidP="001E5B24">
      <w:pPr>
        <w:bidi w:val="0"/>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Podpora financovania s cieľom zlepšenia prístupu k bytovému fondu je realizovaná dotáciami na  štátnu prémiu k stavebnému sporeniu, ktorá je rozpočtovaná vo výške 43,3 mil. eur a na bonifikáciu hypotekárnych úverov je vyčlenených 26,0 mil. eur. Zvýhodnené hypotekárne úvery pre mladých s bonifikáciou úrokovej sadzby sú podporované zo štátneho rozpočtu vo výške 2 % a banky  sa zaviazali zvýhodniť tieto úvery do výšky 1 %, čím sa dosiahlo zvýhodnenie hypotekárnych úverov pre mladých o 3 %.</w:t>
      </w:r>
    </w:p>
    <w:p w:rsidR="001E5B24" w:rsidRPr="006259BE" w:rsidP="001E5B24">
      <w:pPr>
        <w:bidi w:val="0"/>
        <w:jc w:val="both"/>
        <w:rPr>
          <w:rFonts w:ascii="Arial Narrow" w:hAnsi="Arial Narrow" w:cs="Arial Narrow"/>
          <w:sz w:val="22"/>
          <w:szCs w:val="22"/>
        </w:rPr>
      </w:pPr>
    </w:p>
    <w:p w:rsidR="001E5B24" w:rsidRPr="006259BE" w:rsidP="001E5B24">
      <w:pPr>
        <w:bidi w:val="0"/>
        <w:ind w:firstLine="708"/>
        <w:jc w:val="both"/>
        <w:rPr>
          <w:rFonts w:ascii="Arial Narrow" w:hAnsi="Arial Narrow" w:cs="Arial Narrow"/>
          <w:sz w:val="22"/>
          <w:szCs w:val="22"/>
        </w:rPr>
      </w:pPr>
      <w:r w:rsidRPr="006259BE">
        <w:rPr>
          <w:rFonts w:ascii="Arial Narrow" w:hAnsi="Arial Narrow" w:cs="Arial Narrow"/>
          <w:sz w:val="22"/>
          <w:szCs w:val="22"/>
        </w:rPr>
        <w:t xml:space="preserve">Významnú úlohu v podpore rozvoja bývania má ŠFRB, ktorého celkové zdroje v roku 2011 predstavujú čiastku 149 mil. eur, čo je nárast o 3,81 % v porovnaní s rokom 2010. Príjmy zo štátneho rozpočtu  sú v sume 54,9 mil. eur a vlastné príjmy fondu  (najmä príjmy zo splácania v minulosti poskytnutých úverov a z úrokov) predstavujú 94,2 mil. eur.  </w:t>
      </w:r>
    </w:p>
    <w:p w:rsidR="001E5B24" w:rsidP="001E5B24">
      <w:pPr>
        <w:bidi w:val="0"/>
        <w:jc w:val="both"/>
        <w:rPr>
          <w:rFonts w:ascii="Arial" w:hAnsi="Arial" w:cs="Arial"/>
          <w:sz w:val="22"/>
          <w:szCs w:val="22"/>
        </w:rPr>
      </w:pPr>
    </w:p>
    <w:tbl>
      <w:tblPr>
        <w:tblStyle w:val="TableNormal"/>
        <w:tblW w:w="91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8"/>
        <w:gridCol w:w="949"/>
        <w:gridCol w:w="949"/>
        <w:gridCol w:w="949"/>
        <w:gridCol w:w="949"/>
        <w:gridCol w:w="949"/>
      </w:tblGrid>
      <w:tr>
        <w:tblPrEx>
          <w:tblW w:w="91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56"/>
        </w:trPr>
        <w:tc>
          <w:tcPr>
            <w:tcW w:w="9108" w:type="dxa"/>
            <w:gridSpan w:val="7"/>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Zdroje Štátneho fondu rozvoja bývania</w:t>
            </w:r>
          </w:p>
        </w:tc>
      </w:tr>
      <w:tr>
        <w:tblPrEx>
          <w:tblW w:w="9108" w:type="dxa"/>
          <w:tblInd w:w="57" w:type="dxa"/>
          <w:tblLayout w:type="fixed"/>
          <w:tblCellMar>
            <w:left w:w="70" w:type="dxa"/>
            <w:right w:w="70" w:type="dxa"/>
          </w:tblCellMar>
          <w:tblLook w:val="00A0"/>
        </w:tblPrEx>
        <w:trPr>
          <w:trHeight w:val="256"/>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rPr>
                <w:rFonts w:ascii="Arial Narrow" w:hAnsi="Arial Narrow" w:cs="Arial Narrow"/>
                <w:b/>
                <w:bCs/>
                <w:sz w:val="16"/>
                <w:szCs w:val="16"/>
              </w:rPr>
            </w:pPr>
            <w:r w:rsidRPr="00B71E1C">
              <w:rPr>
                <w:rFonts w:ascii="Arial Narrow" w:hAnsi="Arial Narrow" w:cs="Arial Narrow"/>
                <w:b/>
                <w:bCs/>
                <w:sz w:val="16"/>
                <w:szCs w:val="16"/>
              </w:rPr>
              <w:t>v tis. eur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2008 S</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2009 S</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2010 R</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2011 N</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2012 N</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2013 N</w:t>
            </w:r>
          </w:p>
        </w:tc>
      </w:tr>
      <w:tr>
        <w:tblPrEx>
          <w:tblW w:w="9108" w:type="dxa"/>
          <w:tblInd w:w="57" w:type="dxa"/>
          <w:tblLayout w:type="fixed"/>
          <w:tblCellMar>
            <w:left w:w="70" w:type="dxa"/>
            <w:right w:w="70" w:type="dxa"/>
          </w:tblCellMar>
          <w:tblLook w:val="00A0"/>
        </w:tblPrEx>
        <w:trPr>
          <w:trHeight w:val="25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rPr>
                <w:rFonts w:ascii="Arial Narrow" w:hAnsi="Arial Narrow" w:cs="Arial Narrow"/>
                <w:color w:val="000000"/>
                <w:sz w:val="16"/>
                <w:szCs w:val="16"/>
              </w:rPr>
            </w:pPr>
            <w:r w:rsidRPr="00B71E1C">
              <w:rPr>
                <w:rFonts w:ascii="Arial Narrow" w:hAnsi="Arial Narrow" w:cs="Arial Narrow"/>
                <w:color w:val="000000"/>
                <w:sz w:val="16"/>
                <w:szCs w:val="16"/>
              </w:rPr>
              <w:t xml:space="preserve">transfer zo </w:t>
            </w:r>
            <w:r>
              <w:rPr>
                <w:rFonts w:ascii="Arial Narrow" w:hAnsi="Arial Narrow" w:cs="Arial Narrow"/>
                <w:color w:val="000000"/>
                <w:sz w:val="16"/>
                <w:szCs w:val="16"/>
              </w:rPr>
              <w:t>štátneho rozpočtu</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76 215</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137 962</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54 904</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54 904</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54 904</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54 904</w:t>
            </w:r>
          </w:p>
        </w:tc>
      </w:tr>
      <w:tr>
        <w:tblPrEx>
          <w:tblW w:w="9108" w:type="dxa"/>
          <w:tblInd w:w="57" w:type="dxa"/>
          <w:tblLayout w:type="fixed"/>
          <w:tblCellMar>
            <w:left w:w="70" w:type="dxa"/>
            <w:right w:w="70" w:type="dxa"/>
          </w:tblCellMar>
          <w:tblLook w:val="00A0"/>
        </w:tblPrEx>
        <w:trPr>
          <w:trHeight w:val="256"/>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rPr>
                <w:rFonts w:ascii="Arial Narrow" w:hAnsi="Arial Narrow" w:cs="Arial Narrow"/>
                <w:color w:val="000000"/>
                <w:sz w:val="16"/>
                <w:szCs w:val="16"/>
              </w:rPr>
            </w:pPr>
            <w:r w:rsidRPr="00B71E1C">
              <w:rPr>
                <w:rFonts w:ascii="Arial Narrow" w:hAnsi="Arial Narrow" w:cs="Arial Narrow"/>
                <w:color w:val="000000"/>
                <w:sz w:val="16"/>
                <w:szCs w:val="16"/>
              </w:rPr>
              <w:t>vlastné príjmy</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98 932</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87 238</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88 754</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94 231</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98 534</w:t>
            </w:r>
          </w:p>
        </w:tc>
        <w:tc>
          <w:tcPr>
            <w:tcW w:w="94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103 766</w:t>
            </w:r>
          </w:p>
        </w:tc>
      </w:tr>
      <w:tr>
        <w:tblPrEx>
          <w:tblW w:w="9108" w:type="dxa"/>
          <w:tblInd w:w="57" w:type="dxa"/>
          <w:tblLayout w:type="fixed"/>
          <w:tblCellMar>
            <w:left w:w="70" w:type="dxa"/>
            <w:right w:w="70" w:type="dxa"/>
          </w:tblCellMar>
          <w:tblLook w:val="00A0"/>
        </w:tblPrEx>
        <w:trPr>
          <w:trHeight w:val="256"/>
        </w:trPr>
        <w:tc>
          <w:tcPr>
            <w:tcW w:w="341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rPr>
                <w:rFonts w:ascii="Arial Narrow" w:hAnsi="Arial Narrow" w:cs="Arial Narrow"/>
                <w:b/>
                <w:bCs/>
                <w:color w:val="000000"/>
                <w:sz w:val="16"/>
                <w:szCs w:val="16"/>
              </w:rPr>
            </w:pPr>
            <w:r w:rsidRPr="00B71E1C">
              <w:rPr>
                <w:rFonts w:ascii="Arial Narrow" w:hAnsi="Arial Narrow" w:cs="Arial Narrow"/>
                <w:b/>
                <w:bCs/>
                <w:color w:val="000000"/>
                <w:sz w:val="16"/>
                <w:szCs w:val="16"/>
              </w:rPr>
              <w:t>Spolu</w:t>
            </w:r>
          </w:p>
        </w:tc>
        <w:tc>
          <w:tcPr>
            <w:tcW w:w="9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175 147</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225 200</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143 658</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149 135</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153 438</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B71E1C" w:rsidP="001E5B24">
            <w:pPr>
              <w:bidi w:val="0"/>
              <w:jc w:val="right"/>
              <w:rPr>
                <w:rFonts w:ascii="Arial Narrow" w:hAnsi="Arial Narrow" w:cs="Arial Narrow"/>
                <w:b/>
                <w:bCs/>
                <w:color w:val="000000"/>
                <w:sz w:val="16"/>
                <w:szCs w:val="16"/>
              </w:rPr>
            </w:pPr>
            <w:r w:rsidRPr="00B71E1C">
              <w:rPr>
                <w:rFonts w:ascii="Arial Narrow" w:hAnsi="Arial Narrow" w:cs="Arial Narrow"/>
                <w:b/>
                <w:bCs/>
                <w:color w:val="000000"/>
                <w:sz w:val="16"/>
                <w:szCs w:val="16"/>
              </w:rPr>
              <w:t>158 670</w:t>
            </w:r>
          </w:p>
        </w:tc>
      </w:tr>
    </w:tbl>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6259BE">
        <w:rPr>
          <w:rFonts w:ascii="Arial Narrow" w:hAnsi="Arial Narrow" w:cs="Arial Narrow"/>
          <w:sz w:val="22"/>
          <w:szCs w:val="22"/>
        </w:rPr>
        <w:t>OP Technická pomoc</w:t>
      </w:r>
    </w:p>
    <w:p w:rsidR="001E5B24" w:rsidRPr="00AD72ED" w:rsidP="001E5B24">
      <w:pPr>
        <w:bidi w:val="0"/>
        <w:jc w:val="both"/>
        <w:rPr>
          <w:rFonts w:ascii="Arial Narrow" w:hAnsi="Arial Narrow" w:cs="Arial Narrow"/>
          <w:sz w:val="22"/>
          <w:szCs w:val="22"/>
        </w:rPr>
      </w:pPr>
    </w:p>
    <w:tbl>
      <w:tblPr>
        <w:tblStyle w:val="TableNormal"/>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8"/>
        <w:gridCol w:w="947"/>
        <w:gridCol w:w="948"/>
        <w:gridCol w:w="948"/>
      </w:tblGrid>
      <w:tr>
        <w:tblPrEx>
          <w:tblW w:w="91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45"/>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rPr>
                <w:rFonts w:ascii="Arial Narrow" w:hAnsi="Arial Narrow" w:cs="Arial Narrow"/>
                <w:b/>
                <w:bCs/>
                <w:sz w:val="16"/>
                <w:szCs w:val="16"/>
              </w:rPr>
            </w:pPr>
            <w:r w:rsidRPr="00B71E1C">
              <w:rPr>
                <w:rFonts w:ascii="Arial Narrow" w:hAnsi="Arial Narrow" w:cs="Arial Narrow"/>
                <w:b/>
                <w:bCs/>
                <w:sz w:val="16"/>
                <w:szCs w:val="16"/>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2009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2010 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2011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B71E1C" w:rsidP="001E5B24">
            <w:pPr>
              <w:bidi w:val="0"/>
              <w:jc w:val="center"/>
              <w:rPr>
                <w:rFonts w:ascii="Arial Narrow" w:hAnsi="Arial Narrow" w:cs="Arial Narrow"/>
                <w:b/>
                <w:bCs/>
                <w:sz w:val="16"/>
                <w:szCs w:val="16"/>
              </w:rPr>
            </w:pPr>
            <w:r w:rsidRPr="00B71E1C">
              <w:rPr>
                <w:rFonts w:ascii="Arial Narrow" w:hAnsi="Arial Narrow" w:cs="Arial Narrow"/>
                <w:b/>
                <w:bCs/>
                <w:sz w:val="16"/>
                <w:szCs w:val="16"/>
              </w:rPr>
              <w:t>2013 N</w:t>
            </w:r>
          </w:p>
        </w:tc>
      </w:tr>
      <w:tr>
        <w:tblPrEx>
          <w:tblW w:w="9101" w:type="dxa"/>
          <w:tblInd w:w="57" w:type="dxa"/>
          <w:tblLayout w:type="fixed"/>
          <w:tblCellMar>
            <w:left w:w="70" w:type="dxa"/>
            <w:right w:w="70" w:type="dxa"/>
          </w:tblCellMar>
          <w:tblLook w:val="00A0"/>
        </w:tblPrEx>
        <w:trPr>
          <w:trHeight w:val="245"/>
        </w:trPr>
        <w:tc>
          <w:tcPr>
            <w:tcW w:w="3415"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rPr>
                <w:rFonts w:ascii="Arial Narrow" w:hAnsi="Arial Narrow" w:cs="Arial Narrow"/>
                <w:color w:val="000000"/>
                <w:sz w:val="16"/>
                <w:szCs w:val="16"/>
              </w:rPr>
            </w:pPr>
            <w:r w:rsidRPr="00B71E1C">
              <w:rPr>
                <w:rFonts w:ascii="Arial Narrow" w:hAnsi="Arial Narrow" w:cs="Arial Narrow"/>
                <w:b/>
                <w:bCs/>
                <w:sz w:val="16"/>
                <w:szCs w:val="16"/>
              </w:rPr>
              <w:t>OP Technická pomoc</w:t>
            </w:r>
            <w:r>
              <w:rPr>
                <w:rFonts w:ascii="Arial Narrow" w:hAnsi="Arial Narrow" w:cs="Arial Narrow"/>
                <w:b/>
                <w:bCs/>
                <w:sz w:val="16"/>
                <w:szCs w:val="16"/>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7 473</w:t>
            </w:r>
          </w:p>
        </w:tc>
        <w:tc>
          <w:tcPr>
            <w:tcW w:w="948"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10 570</w:t>
            </w:r>
          </w:p>
        </w:tc>
        <w:tc>
          <w:tcPr>
            <w:tcW w:w="948"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16 153</w:t>
            </w:r>
          </w:p>
        </w:tc>
        <w:tc>
          <w:tcPr>
            <w:tcW w:w="947"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23 011</w:t>
            </w:r>
          </w:p>
        </w:tc>
        <w:tc>
          <w:tcPr>
            <w:tcW w:w="948"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13 717</w:t>
            </w:r>
          </w:p>
        </w:tc>
        <w:tc>
          <w:tcPr>
            <w:tcW w:w="948" w:type="dxa"/>
            <w:tcBorders>
              <w:top w:val="single" w:sz="4" w:space="0" w:color="auto"/>
              <w:left w:val="single" w:sz="4" w:space="0" w:color="auto"/>
              <w:bottom w:val="single" w:sz="4" w:space="0" w:color="auto"/>
              <w:right w:val="single" w:sz="4" w:space="0" w:color="auto"/>
            </w:tcBorders>
            <w:shd w:val="clear" w:color="000000" w:fill="D8D8D8"/>
            <w:noWrap/>
            <w:textDirection w:val="lrTb"/>
            <w:vAlign w:val="bottom"/>
          </w:tcPr>
          <w:p w:rsidR="001E5B24" w:rsidRPr="00B71E1C" w:rsidP="001E5B24">
            <w:pPr>
              <w:bidi w:val="0"/>
              <w:jc w:val="right"/>
              <w:rPr>
                <w:rFonts w:ascii="Arial Narrow" w:hAnsi="Arial Narrow" w:cs="Arial Narrow"/>
                <w:b/>
                <w:bCs/>
                <w:sz w:val="16"/>
                <w:szCs w:val="16"/>
              </w:rPr>
            </w:pPr>
            <w:r w:rsidRPr="00B71E1C">
              <w:rPr>
                <w:rFonts w:ascii="Arial Narrow" w:hAnsi="Arial Narrow" w:cs="Arial Narrow"/>
                <w:b/>
                <w:bCs/>
                <w:sz w:val="16"/>
                <w:szCs w:val="16"/>
              </w:rPr>
              <w:t>13 206</w:t>
            </w:r>
          </w:p>
        </w:tc>
      </w:tr>
      <w:tr>
        <w:tblPrEx>
          <w:tblW w:w="9101" w:type="dxa"/>
          <w:tblInd w:w="57" w:type="dxa"/>
          <w:tblLayout w:type="fixed"/>
          <w:tblCellMar>
            <w:left w:w="70" w:type="dxa"/>
            <w:right w:w="70" w:type="dxa"/>
          </w:tblCellMar>
          <w:tblLook w:val="00A0"/>
        </w:tblPrEx>
        <w:trPr>
          <w:trHeight w:val="245"/>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rPr>
                <w:rFonts w:ascii="Arial Narrow" w:hAnsi="Arial Narrow" w:cs="Arial Narrow"/>
                <w:color w:val="000000"/>
                <w:sz w:val="16"/>
                <w:szCs w:val="16"/>
              </w:rPr>
            </w:pPr>
            <w:r>
              <w:rPr>
                <w:rFonts w:ascii="Arial Narrow" w:hAnsi="Arial Narrow" w:cs="Arial Narrow"/>
                <w:color w:val="000000"/>
                <w:sz w:val="16"/>
                <w:szCs w:val="16"/>
              </w:rPr>
              <w:t>z</w:t>
            </w:r>
            <w:r w:rsidRPr="00B71E1C">
              <w:rPr>
                <w:rFonts w:ascii="Arial Narrow" w:hAnsi="Arial Narrow" w:cs="Arial Narrow"/>
                <w:color w:val="000000"/>
                <w:sz w:val="16"/>
                <w:szCs w:val="16"/>
              </w:rPr>
              <w:t xml:space="preserve">droje EÚ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6 352</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8 697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13 191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18 923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11 023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10 589</w:t>
            </w:r>
          </w:p>
        </w:tc>
      </w:tr>
      <w:tr>
        <w:tblPrEx>
          <w:tblW w:w="9101" w:type="dxa"/>
          <w:tblInd w:w="57" w:type="dxa"/>
          <w:tblLayout w:type="fixed"/>
          <w:tblCellMar>
            <w:left w:w="70" w:type="dxa"/>
            <w:right w:w="70" w:type="dxa"/>
          </w:tblCellMar>
          <w:tblLook w:val="00A0"/>
        </w:tblPrEx>
        <w:trPr>
          <w:trHeight w:val="245"/>
        </w:trPr>
        <w:tc>
          <w:tcPr>
            <w:tcW w:w="341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rPr>
                <w:rFonts w:ascii="Arial Narrow" w:hAnsi="Arial Narrow" w:cs="Arial Narrow"/>
                <w:color w:val="000000"/>
                <w:sz w:val="16"/>
                <w:szCs w:val="16"/>
              </w:rPr>
            </w:pPr>
            <w:r w:rsidRPr="00B71E1C">
              <w:rPr>
                <w:rFonts w:ascii="Arial Narrow" w:hAnsi="Arial Narrow" w:cs="Arial Narrow"/>
                <w:color w:val="000000"/>
                <w:sz w:val="16"/>
                <w:szCs w:val="16"/>
              </w:rPr>
              <w:t xml:space="preserve">zdroje spolufinancovanie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1 121</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1 873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2 962</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4 088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2 694</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B71E1C" w:rsidP="001E5B24">
            <w:pPr>
              <w:bidi w:val="0"/>
              <w:jc w:val="right"/>
              <w:rPr>
                <w:rFonts w:ascii="Arial Narrow" w:hAnsi="Arial Narrow" w:cs="Arial Narrow"/>
                <w:color w:val="000000"/>
                <w:sz w:val="16"/>
                <w:szCs w:val="16"/>
              </w:rPr>
            </w:pPr>
            <w:r w:rsidRPr="00B71E1C">
              <w:rPr>
                <w:rFonts w:ascii="Arial Narrow" w:hAnsi="Arial Narrow" w:cs="Arial Narrow"/>
                <w:color w:val="000000"/>
                <w:sz w:val="16"/>
                <w:szCs w:val="16"/>
              </w:rPr>
              <w:t>2 617</w:t>
            </w:r>
          </w:p>
        </w:tc>
      </w:tr>
    </w:tbl>
    <w:p w:rsidR="001E5B24" w:rsidRPr="00AD72ED" w:rsidP="001E5B24">
      <w:pPr>
        <w:bidi w:val="0"/>
        <w:jc w:val="both"/>
        <w:rPr>
          <w:rFonts w:ascii="Arial Narrow" w:hAnsi="Arial Narrow" w:cs="Arial Narrow"/>
          <w:sz w:val="16"/>
          <w:szCs w:val="16"/>
        </w:rPr>
      </w:pPr>
      <w:r>
        <w:rPr>
          <w:rFonts w:ascii="Arial Narrow" w:hAnsi="Arial Narrow" w:cs="Arial Narrow"/>
          <w:sz w:val="16"/>
          <w:szCs w:val="16"/>
        </w:rPr>
        <w:t xml:space="preserve">Poznámka: </w:t>
      </w:r>
      <w:r w:rsidRPr="00AD72ED">
        <w:rPr>
          <w:rFonts w:ascii="Arial Narrow" w:hAnsi="Arial Narrow" w:cs="Arial Narrow"/>
          <w:sz w:val="16"/>
          <w:szCs w:val="16"/>
        </w:rPr>
        <w:t xml:space="preserve">Výdavky </w:t>
      </w:r>
      <w:r>
        <w:rPr>
          <w:rFonts w:ascii="Arial Narrow" w:hAnsi="Arial Narrow" w:cs="Arial Narrow"/>
          <w:sz w:val="16"/>
          <w:szCs w:val="16"/>
        </w:rPr>
        <w:t xml:space="preserve">boli </w:t>
      </w:r>
      <w:r w:rsidRPr="00AD72ED">
        <w:rPr>
          <w:rFonts w:ascii="Arial Narrow" w:hAnsi="Arial Narrow" w:cs="Arial Narrow"/>
          <w:sz w:val="16"/>
          <w:szCs w:val="16"/>
        </w:rPr>
        <w:t>do roku 201</w:t>
      </w:r>
      <w:r>
        <w:rPr>
          <w:rFonts w:ascii="Arial Narrow" w:hAnsi="Arial Narrow" w:cs="Arial Narrow"/>
          <w:sz w:val="16"/>
          <w:szCs w:val="16"/>
        </w:rPr>
        <w:t>1</w:t>
      </w:r>
      <w:r w:rsidRPr="00AD72ED">
        <w:rPr>
          <w:rFonts w:ascii="Arial Narrow" w:hAnsi="Arial Narrow" w:cs="Arial Narrow"/>
          <w:sz w:val="16"/>
          <w:szCs w:val="16"/>
        </w:rPr>
        <w:t xml:space="preserve"> rozpočtované v kapitole MVRR</w:t>
      </w:r>
      <w:r>
        <w:rPr>
          <w:rFonts w:ascii="Arial Narrow" w:hAnsi="Arial Narrow" w:cs="Arial Narrow"/>
          <w:sz w:val="22"/>
          <w:szCs w:val="22"/>
        </w:rPr>
        <w:t xml:space="preserve"> </w:t>
      </w:r>
      <w:r>
        <w:rPr>
          <w:rFonts w:ascii="Arial Narrow" w:hAnsi="Arial Narrow" w:cs="Arial Narrow"/>
          <w:sz w:val="16"/>
          <w:szCs w:val="16"/>
        </w:rPr>
        <w:t>SR</w:t>
      </w:r>
    </w:p>
    <w:p w:rsidR="001E5B24" w:rsidRPr="00AD72ED" w:rsidP="001E5B24">
      <w:pPr>
        <w:bidi w:val="0"/>
        <w:jc w:val="both"/>
        <w:rPr>
          <w:rFonts w:ascii="Arial Narrow" w:hAnsi="Arial Narrow" w:cs="Arial Narrow"/>
          <w:sz w:val="16"/>
          <w:szCs w:val="16"/>
        </w:rPr>
      </w:pPr>
    </w:p>
    <w:p w:rsidR="001E5B24" w:rsidRPr="00AD72ED" w:rsidP="001E5B24">
      <w:pPr>
        <w:bidi w:val="0"/>
        <w:ind w:firstLine="708"/>
        <w:jc w:val="both"/>
        <w:rPr>
          <w:rFonts w:ascii="Arial Narrow" w:hAnsi="Arial Narrow" w:cs="Arial Narrow"/>
          <w:sz w:val="22"/>
          <w:szCs w:val="22"/>
        </w:rPr>
      </w:pPr>
      <w:r w:rsidRPr="00AD72ED">
        <w:rPr>
          <w:rFonts w:ascii="Arial Narrow" w:hAnsi="Arial Narrow" w:cs="Arial Narrow"/>
          <w:sz w:val="22"/>
          <w:szCs w:val="22"/>
        </w:rPr>
        <w:t xml:space="preserve">Na OP technická pomoc  sú rozpočtované výdavky vo výške 23,0 mil. eur zo zdrojov EÚ </w:t>
      </w:r>
      <w:r>
        <w:rPr>
          <w:rFonts w:ascii="Arial Narrow" w:hAnsi="Arial Narrow" w:cs="Arial Narrow"/>
          <w:sz w:val="22"/>
          <w:szCs w:val="22"/>
        </w:rPr>
        <w:t xml:space="preserve">a </w:t>
      </w:r>
      <w:r w:rsidRPr="00AD72ED">
        <w:rPr>
          <w:rFonts w:ascii="Arial Narrow" w:hAnsi="Arial Narrow" w:cs="Arial Narrow"/>
          <w:sz w:val="22"/>
          <w:szCs w:val="22"/>
        </w:rPr>
        <w:t xml:space="preserve">spolufinancovania.  V porovnaní so schváleným rozpočtom roku 2010 sú výdavky  vyššie o 42,5 %, </w:t>
      </w:r>
      <w:r w:rsidR="007C7DA8">
        <w:rPr>
          <w:rFonts w:ascii="Arial Narrow" w:hAnsi="Arial Narrow" w:cs="Arial Narrow"/>
          <w:sz w:val="22"/>
          <w:szCs w:val="22"/>
        </w:rPr>
        <w:t>t. j.</w:t>
      </w:r>
      <w:r w:rsidRPr="00AD72ED">
        <w:rPr>
          <w:rFonts w:ascii="Arial Narrow" w:hAnsi="Arial Narrow" w:cs="Arial Narrow"/>
          <w:sz w:val="22"/>
          <w:szCs w:val="22"/>
        </w:rPr>
        <w:t xml:space="preserve"> o 6,86 mil. eur. Uvedené výdavky sú smerované do oblastí monitorovania, pracovných a koordinačných skupín, výborov a komisií, posilnenia administratívnych kapacít a na podporu riadenia pomoci, informačných systémov pre oblasť riadenia a implementácie regionálnej politiky SR, finančného riadenia, kontroly a auditu, podpory zavádzania inovatívnych nástrojov. </w:t>
      </w:r>
    </w:p>
    <w:p w:rsidR="001E5B24" w:rsidRPr="00AD72ED" w:rsidP="001E5B24">
      <w:pPr>
        <w:bidi w:val="0"/>
        <w:jc w:val="both"/>
        <w:rPr>
          <w:rFonts w:ascii="Arial Narrow" w:hAnsi="Arial Narrow" w:cs="Arial Narrow"/>
          <w:sz w:val="22"/>
          <w:szCs w:val="22"/>
        </w:rPr>
      </w:pPr>
    </w:p>
    <w:p w:rsidR="001E5B24" w:rsidRPr="00AD72ED" w:rsidP="001E5B24">
      <w:pPr>
        <w:bidi w:val="0"/>
        <w:jc w:val="both"/>
        <w:rPr>
          <w:rFonts w:ascii="Arial Narrow" w:hAnsi="Arial Narrow" w:cs="Arial Narrow"/>
          <w:sz w:val="22"/>
          <w:szCs w:val="22"/>
        </w:rPr>
      </w:pPr>
      <w:r w:rsidRPr="00AD72ED">
        <w:rPr>
          <w:rFonts w:ascii="Arial Narrow" w:hAnsi="Arial Narrow" w:cs="Arial Narrow"/>
          <w:sz w:val="22"/>
          <w:szCs w:val="22"/>
        </w:rPr>
        <w:t>Podpora cestovného ruchu</w:t>
      </w:r>
    </w:p>
    <w:p w:rsidR="001E5B24" w:rsidRPr="00AD72ED" w:rsidP="001E5B24">
      <w:pPr>
        <w:bidi w:val="0"/>
        <w:jc w:val="both"/>
        <w:rPr>
          <w:rFonts w:ascii="Arial Narrow" w:hAnsi="Arial Narrow" w:cs="Arial Narrow"/>
          <w:sz w:val="22"/>
          <w:szCs w:val="22"/>
        </w:rPr>
      </w:pPr>
    </w:p>
    <w:tbl>
      <w:tblPr>
        <w:tblStyle w:val="TableNormal"/>
        <w:tblW w:w="91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7"/>
        <w:gridCol w:w="947"/>
        <w:gridCol w:w="947"/>
        <w:gridCol w:w="947"/>
        <w:gridCol w:w="947"/>
        <w:gridCol w:w="947"/>
        <w:gridCol w:w="948"/>
      </w:tblGrid>
      <w:tr>
        <w:tblPrEx>
          <w:tblW w:w="91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56"/>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rPr>
                <w:rFonts w:ascii="Arial Narrow" w:hAnsi="Arial Narrow" w:cs="Arial Narrow"/>
                <w:b/>
                <w:bCs/>
                <w:sz w:val="16"/>
                <w:szCs w:val="16"/>
              </w:rPr>
            </w:pPr>
            <w:r w:rsidRPr="00A157C0">
              <w:rPr>
                <w:rFonts w:ascii="Arial Narrow" w:hAnsi="Arial Narrow" w:cs="Arial Narrow"/>
                <w:b/>
                <w:bCs/>
                <w:sz w:val="16"/>
                <w:szCs w:val="16"/>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2008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2010 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157C0" w:rsidP="001E5B24">
            <w:pPr>
              <w:bidi w:val="0"/>
              <w:jc w:val="center"/>
              <w:rPr>
                <w:rFonts w:ascii="Arial Narrow" w:hAnsi="Arial Narrow" w:cs="Arial Narrow"/>
                <w:b/>
                <w:bCs/>
                <w:sz w:val="16"/>
                <w:szCs w:val="16"/>
              </w:rPr>
            </w:pPr>
            <w:r w:rsidRPr="00A157C0">
              <w:rPr>
                <w:rFonts w:ascii="Arial Narrow" w:hAnsi="Arial Narrow" w:cs="Arial Narrow"/>
                <w:b/>
                <w:bCs/>
                <w:sz w:val="16"/>
                <w:szCs w:val="16"/>
              </w:rPr>
              <w:t>2013 N</w:t>
            </w:r>
          </w:p>
        </w:tc>
      </w:tr>
      <w:tr>
        <w:tblPrEx>
          <w:tblW w:w="9100" w:type="dxa"/>
          <w:tblInd w:w="55" w:type="dxa"/>
          <w:tblLayout w:type="fixed"/>
          <w:tblCellMar>
            <w:left w:w="70" w:type="dxa"/>
            <w:right w:w="70" w:type="dxa"/>
          </w:tblCellMar>
          <w:tblLook w:val="00A0"/>
        </w:tblPrEx>
        <w:trPr>
          <w:trHeight w:val="256"/>
        </w:trPr>
        <w:tc>
          <w:tcPr>
            <w:tcW w:w="3417"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B6072D" w:rsidP="001E5B24">
            <w:pPr>
              <w:bidi w:val="0"/>
              <w:rPr>
                <w:rFonts w:ascii="Arial Narrow" w:hAnsi="Arial Narrow" w:cs="Arial Narrow"/>
                <w:b/>
                <w:color w:val="000000"/>
                <w:sz w:val="16"/>
                <w:szCs w:val="16"/>
              </w:rPr>
            </w:pPr>
            <w:r w:rsidRPr="00B6072D">
              <w:rPr>
                <w:rFonts w:ascii="Arial Narrow" w:hAnsi="Arial Narrow" w:cs="Arial Narrow"/>
                <w:b/>
                <w:bCs/>
                <w:sz w:val="16"/>
                <w:szCs w:val="16"/>
              </w:rPr>
              <w:t>Podpora cestovného ruchu celkom, z toho:</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36 367</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22 765</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46 704</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56 337</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31 178</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B6072D" w:rsidP="001E5B24">
            <w:pPr>
              <w:bidi w:val="0"/>
              <w:jc w:val="right"/>
              <w:rPr>
                <w:rFonts w:ascii="Arial Narrow" w:hAnsi="Arial Narrow" w:cs="Arial Narrow"/>
                <w:b/>
                <w:color w:val="000000"/>
                <w:sz w:val="16"/>
                <w:szCs w:val="16"/>
              </w:rPr>
            </w:pPr>
            <w:r w:rsidRPr="00B6072D">
              <w:rPr>
                <w:rFonts w:ascii="Arial Narrow" w:hAnsi="Arial Narrow" w:cs="Arial Narrow"/>
                <w:b/>
                <w:color w:val="000000"/>
                <w:sz w:val="16"/>
                <w:szCs w:val="16"/>
              </w:rPr>
              <w:t>21 487</w:t>
            </w:r>
          </w:p>
        </w:tc>
      </w:tr>
      <w:tr>
        <w:tblPrEx>
          <w:tblW w:w="9100" w:type="dxa"/>
          <w:tblInd w:w="55" w:type="dxa"/>
          <w:tblLayout w:type="fixed"/>
          <w:tblCellMar>
            <w:left w:w="70" w:type="dxa"/>
            <w:right w:w="70" w:type="dxa"/>
          </w:tblCellMar>
          <w:tblLook w:val="00A0"/>
        </w:tblPrEx>
        <w:trPr>
          <w:trHeight w:val="256"/>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rPr>
                <w:rFonts w:ascii="Arial Narrow" w:hAnsi="Arial Narrow" w:cs="Arial Narrow"/>
                <w:color w:val="000000"/>
                <w:sz w:val="16"/>
                <w:szCs w:val="16"/>
              </w:rPr>
            </w:pPr>
            <w:r w:rsidRPr="00A157C0">
              <w:rPr>
                <w:rFonts w:ascii="Arial Narrow" w:hAnsi="Arial Narrow" w:cs="Arial Narrow"/>
                <w:color w:val="000000"/>
                <w:sz w:val="16"/>
                <w:szCs w:val="16"/>
              </w:rPr>
              <w:t xml:space="preserve">zdroje </w:t>
            </w:r>
            <w:r>
              <w:rPr>
                <w:rFonts w:ascii="Arial Narrow" w:hAnsi="Arial Narrow" w:cs="Arial Narrow"/>
                <w:color w:val="000000"/>
                <w:sz w:val="16"/>
                <w:szCs w:val="16"/>
              </w:rPr>
              <w:t>štátneho rozpočtu</w:t>
            </w:r>
            <w:r w:rsidRPr="00A157C0">
              <w:rPr>
                <w:rFonts w:ascii="Arial Narrow" w:hAnsi="Arial Narrow" w:cs="Arial Narrow"/>
                <w:color w:val="000000"/>
                <w:sz w:val="16"/>
                <w:szCs w:val="16"/>
              </w:rPr>
              <w:t xml:space="preserve">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9 494</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1 437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1 941</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2 707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4 507</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6 507</w:t>
            </w:r>
          </w:p>
        </w:tc>
      </w:tr>
      <w:tr>
        <w:tblPrEx>
          <w:tblW w:w="9100" w:type="dxa"/>
          <w:tblInd w:w="55" w:type="dxa"/>
          <w:tblLayout w:type="fixed"/>
          <w:tblCellMar>
            <w:left w:w="70" w:type="dxa"/>
            <w:right w:w="70" w:type="dxa"/>
          </w:tblCellMar>
          <w:tblLook w:val="00A0"/>
        </w:tblPrEx>
        <w:trPr>
          <w:trHeight w:val="256"/>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rPr>
                <w:rFonts w:ascii="Arial Narrow" w:hAnsi="Arial Narrow" w:cs="Arial Narrow"/>
                <w:color w:val="000000"/>
                <w:sz w:val="16"/>
                <w:szCs w:val="16"/>
              </w:rPr>
            </w:pPr>
            <w:r w:rsidRPr="00A157C0">
              <w:rPr>
                <w:rFonts w:ascii="Arial Narrow" w:hAnsi="Arial Narrow" w:cs="Arial Narrow"/>
                <w:color w:val="000000"/>
                <w:sz w:val="16"/>
                <w:szCs w:val="16"/>
              </w:rPr>
              <w:t xml:space="preserve">zdroj EÚ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19 447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16 766</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38 049</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45 617</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22 808</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12 769</w:t>
            </w:r>
          </w:p>
        </w:tc>
      </w:tr>
      <w:tr>
        <w:tblPrEx>
          <w:tblW w:w="9100" w:type="dxa"/>
          <w:tblInd w:w="55" w:type="dxa"/>
          <w:tblLayout w:type="fixed"/>
          <w:tblCellMar>
            <w:left w:w="70" w:type="dxa"/>
            <w:right w:w="70" w:type="dxa"/>
          </w:tblCellMar>
          <w:tblLook w:val="00A0"/>
        </w:tblPrEx>
        <w:trPr>
          <w:trHeight w:val="256"/>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rPr>
                <w:rFonts w:ascii="Arial Narrow" w:hAnsi="Arial Narrow" w:cs="Arial Narrow"/>
                <w:color w:val="000000"/>
                <w:sz w:val="16"/>
                <w:szCs w:val="16"/>
              </w:rPr>
            </w:pPr>
            <w:r w:rsidRPr="00A157C0">
              <w:rPr>
                <w:rFonts w:ascii="Arial Narrow" w:hAnsi="Arial Narrow" w:cs="Arial Narrow"/>
                <w:color w:val="000000"/>
                <w:sz w:val="16"/>
                <w:szCs w:val="16"/>
              </w:rPr>
              <w:t xml:space="preserve">zdroj spolufinancovanie   </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7 426</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4 562</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6 714</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8 013</w:t>
            </w:r>
          </w:p>
        </w:tc>
        <w:tc>
          <w:tcPr>
            <w:tcW w:w="94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3 863</w:t>
            </w:r>
          </w:p>
        </w:tc>
        <w:tc>
          <w:tcPr>
            <w:tcW w:w="94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157C0" w:rsidP="001E5B24">
            <w:pPr>
              <w:bidi w:val="0"/>
              <w:jc w:val="right"/>
              <w:rPr>
                <w:rFonts w:ascii="Arial Narrow" w:hAnsi="Arial Narrow" w:cs="Arial Narrow"/>
                <w:color w:val="000000"/>
                <w:sz w:val="16"/>
                <w:szCs w:val="16"/>
              </w:rPr>
            </w:pPr>
            <w:r w:rsidRPr="00A157C0">
              <w:rPr>
                <w:rFonts w:ascii="Arial Narrow" w:hAnsi="Arial Narrow" w:cs="Arial Narrow"/>
                <w:color w:val="000000"/>
                <w:sz w:val="16"/>
                <w:szCs w:val="16"/>
              </w:rPr>
              <w:t>2 211</w:t>
            </w:r>
          </w:p>
        </w:tc>
      </w:tr>
    </w:tbl>
    <w:p w:rsidR="001E5B24" w:rsidRPr="00AD72ED" w:rsidP="001E5B24">
      <w:pPr>
        <w:bidi w:val="0"/>
        <w:jc w:val="both"/>
        <w:rPr>
          <w:rFonts w:ascii="Arial Narrow" w:hAnsi="Arial Narrow" w:cs="Arial Narrow"/>
          <w:sz w:val="16"/>
          <w:szCs w:val="16"/>
        </w:rPr>
      </w:pPr>
      <w:r>
        <w:rPr>
          <w:rFonts w:ascii="Arial Narrow" w:hAnsi="Arial Narrow" w:cs="Arial Narrow"/>
          <w:sz w:val="16"/>
          <w:szCs w:val="16"/>
        </w:rPr>
        <w:t xml:space="preserve">Poznámka: </w:t>
      </w:r>
      <w:r w:rsidRPr="00AD72ED">
        <w:rPr>
          <w:rFonts w:ascii="Arial Narrow" w:hAnsi="Arial Narrow" w:cs="Arial Narrow"/>
          <w:sz w:val="16"/>
          <w:szCs w:val="16"/>
        </w:rPr>
        <w:t xml:space="preserve">Výdavky </w:t>
      </w:r>
      <w:r>
        <w:rPr>
          <w:rFonts w:ascii="Arial Narrow" w:hAnsi="Arial Narrow" w:cs="Arial Narrow"/>
          <w:sz w:val="16"/>
          <w:szCs w:val="16"/>
        </w:rPr>
        <w:t xml:space="preserve">boli </w:t>
      </w:r>
      <w:r w:rsidRPr="00AD72ED">
        <w:rPr>
          <w:rFonts w:ascii="Arial Narrow" w:hAnsi="Arial Narrow" w:cs="Arial Narrow"/>
          <w:sz w:val="16"/>
          <w:szCs w:val="16"/>
        </w:rPr>
        <w:t>do roku 201</w:t>
      </w:r>
      <w:r>
        <w:rPr>
          <w:rFonts w:ascii="Arial Narrow" w:hAnsi="Arial Narrow" w:cs="Arial Narrow"/>
          <w:sz w:val="16"/>
          <w:szCs w:val="16"/>
        </w:rPr>
        <w:t>1</w:t>
      </w:r>
      <w:r w:rsidRPr="00AD72ED">
        <w:rPr>
          <w:rFonts w:ascii="Arial Narrow" w:hAnsi="Arial Narrow" w:cs="Arial Narrow"/>
          <w:sz w:val="16"/>
          <w:szCs w:val="16"/>
        </w:rPr>
        <w:t xml:space="preserve"> rozpočtované v kapitole MVRR</w:t>
      </w:r>
      <w:r>
        <w:rPr>
          <w:rFonts w:ascii="Arial Narrow" w:hAnsi="Arial Narrow" w:cs="Arial Narrow"/>
          <w:sz w:val="22"/>
          <w:szCs w:val="22"/>
        </w:rPr>
        <w:t xml:space="preserve"> </w:t>
      </w:r>
      <w:r>
        <w:rPr>
          <w:rFonts w:ascii="Arial Narrow" w:hAnsi="Arial Narrow" w:cs="Arial Narrow"/>
          <w:sz w:val="16"/>
          <w:szCs w:val="16"/>
        </w:rPr>
        <w:t>SR</w:t>
      </w:r>
    </w:p>
    <w:p w:rsidR="001E5B24" w:rsidP="001E5B24">
      <w:pPr>
        <w:bidi w:val="0"/>
        <w:jc w:val="both"/>
        <w:rPr>
          <w:rFonts w:ascii="Arial" w:hAnsi="Arial" w:cs="Arial"/>
          <w:sz w:val="22"/>
          <w:szCs w:val="22"/>
        </w:rPr>
      </w:pPr>
    </w:p>
    <w:p w:rsidR="001E5B24" w:rsidP="001E5B24">
      <w:pPr>
        <w:bidi w:val="0"/>
        <w:ind w:firstLine="708"/>
        <w:jc w:val="both"/>
        <w:rPr>
          <w:rFonts w:ascii="Arial Narrow" w:hAnsi="Arial Narrow" w:cs="Arial Narrow"/>
          <w:sz w:val="22"/>
          <w:szCs w:val="22"/>
        </w:rPr>
      </w:pPr>
      <w:r w:rsidRPr="00AD72ED">
        <w:rPr>
          <w:rFonts w:ascii="Arial Narrow" w:hAnsi="Arial Narrow" w:cs="Arial Narrow"/>
          <w:sz w:val="22"/>
          <w:szCs w:val="22"/>
        </w:rPr>
        <w:t>Výdavky na podporu cestovného ruchu sa pre rok 2011 rozpočtujú v sume 56,3 mil. eur vrátane zdrojov EÚ a spolufinancovania. V porovnaní so schváleným rozpočtom roku 2010 ide o zvýšenie  o 20,6 %.</w:t>
      </w:r>
    </w:p>
    <w:p w:rsidR="001E5B24" w:rsidRPr="00AD72ED" w:rsidP="001E5B24">
      <w:pPr>
        <w:bidi w:val="0"/>
        <w:ind w:firstLine="708"/>
        <w:jc w:val="both"/>
        <w:rPr>
          <w:rFonts w:ascii="Arial Narrow" w:hAnsi="Arial Narrow" w:cs="Arial Narrow"/>
          <w:sz w:val="22"/>
          <w:szCs w:val="22"/>
        </w:rPr>
      </w:pPr>
    </w:p>
    <w:p w:rsidR="001E5B24" w:rsidRPr="00AD72ED" w:rsidP="001E5B24">
      <w:pPr>
        <w:bidi w:val="0"/>
        <w:ind w:firstLine="708"/>
        <w:jc w:val="both"/>
        <w:rPr>
          <w:rFonts w:ascii="Arial Narrow" w:hAnsi="Arial Narrow" w:cs="Arial Narrow"/>
          <w:sz w:val="22"/>
          <w:szCs w:val="22"/>
        </w:rPr>
      </w:pPr>
      <w:r w:rsidRPr="00AD72ED">
        <w:rPr>
          <w:rFonts w:ascii="Arial Narrow" w:hAnsi="Arial Narrow" w:cs="Arial Narrow"/>
          <w:sz w:val="22"/>
          <w:szCs w:val="22"/>
        </w:rPr>
        <w:t xml:space="preserve"> Prostriedky zo zdrojov štátneho rozpočtu v porovnaní so schváleným rozpočtom roku 2010 sú vyššie o 39,5 %, </w:t>
      </w:r>
      <w:r w:rsidR="007C7DA8">
        <w:rPr>
          <w:rFonts w:ascii="Arial Narrow" w:hAnsi="Arial Narrow" w:cs="Arial Narrow"/>
          <w:sz w:val="22"/>
          <w:szCs w:val="22"/>
        </w:rPr>
        <w:t>t. j.</w:t>
      </w:r>
      <w:r w:rsidRPr="00AD72ED">
        <w:rPr>
          <w:rFonts w:ascii="Arial Narrow" w:hAnsi="Arial Narrow" w:cs="Arial Narrow"/>
          <w:sz w:val="22"/>
          <w:szCs w:val="22"/>
        </w:rPr>
        <w:t xml:space="preserve"> o 766 tis. eur z dôvodu, že od roku 2011 sa v týchto výdavkoch rozpočtujú aj výdavky na administráciu cestovného ruchu</w:t>
      </w:r>
      <w:r>
        <w:rPr>
          <w:rFonts w:ascii="Arial Narrow" w:hAnsi="Arial Narrow" w:cs="Arial Narrow"/>
          <w:sz w:val="22"/>
          <w:szCs w:val="22"/>
        </w:rPr>
        <w:t xml:space="preserve"> (sekcia cestovného ruchu)</w:t>
      </w:r>
      <w:r w:rsidRPr="00AD72ED">
        <w:rPr>
          <w:rFonts w:ascii="Arial Narrow" w:hAnsi="Arial Narrow" w:cs="Arial Narrow"/>
          <w:sz w:val="22"/>
          <w:szCs w:val="22"/>
        </w:rPr>
        <w:t>.  Uvedené výdavky sú určené na podporu podnikateľských aktivít v cestovnom ruchu, rozvoj informačných služieb cestovného ruchu a administráci</w:t>
      </w:r>
      <w:r>
        <w:rPr>
          <w:rFonts w:ascii="Arial Narrow" w:hAnsi="Arial Narrow" w:cs="Arial Narrow"/>
          <w:sz w:val="22"/>
          <w:szCs w:val="22"/>
        </w:rPr>
        <w:t>u</w:t>
      </w:r>
      <w:r w:rsidRPr="00AD72ED">
        <w:rPr>
          <w:rFonts w:ascii="Arial Narrow" w:hAnsi="Arial Narrow" w:cs="Arial Narrow"/>
          <w:sz w:val="22"/>
          <w:szCs w:val="22"/>
        </w:rPr>
        <w:t xml:space="preserve"> cestovného ruchu. </w:t>
      </w:r>
    </w:p>
    <w:p w:rsidR="001E5B24" w:rsidRPr="00AD72ED"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AD72ED">
        <w:rPr>
          <w:rFonts w:ascii="Arial Narrow" w:hAnsi="Arial Narrow" w:cs="Arial Narrow"/>
          <w:sz w:val="22"/>
          <w:szCs w:val="22"/>
        </w:rPr>
        <w:t>Administratíva</w:t>
      </w:r>
    </w:p>
    <w:p w:rsidR="001E5B24" w:rsidRPr="00AD72ED"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185838">
        <w:rPr>
          <w:rFonts w:ascii="Arial Narrow" w:hAnsi="Arial Narrow" w:cs="Arial Narrow"/>
          <w:sz w:val="22"/>
          <w:szCs w:val="22"/>
        </w:rPr>
        <w:t xml:space="preserve">Výdavky na ostatné činnosti sa v roku 2011 rozpočtujú v sume 67,0 mil. eur </w:t>
      </w:r>
      <w:r>
        <w:rPr>
          <w:rFonts w:ascii="Arial Narrow" w:hAnsi="Arial Narrow" w:cs="Arial Narrow"/>
          <w:sz w:val="22"/>
          <w:szCs w:val="22"/>
        </w:rPr>
        <w:t xml:space="preserve">vrátane zdrojov spolufinancovania </w:t>
      </w:r>
      <w:r w:rsidRPr="00185838">
        <w:rPr>
          <w:rFonts w:ascii="Arial Narrow" w:hAnsi="Arial Narrow" w:cs="Arial Narrow"/>
          <w:sz w:val="22"/>
          <w:szCs w:val="22"/>
        </w:rPr>
        <w:t xml:space="preserve">a v porovnaní so schváleným rozpočtom roku 2010 sú </w:t>
      </w:r>
      <w:r>
        <w:rPr>
          <w:rFonts w:ascii="Arial Narrow" w:hAnsi="Arial Narrow" w:cs="Arial Narrow"/>
          <w:sz w:val="22"/>
          <w:szCs w:val="22"/>
        </w:rPr>
        <w:t>vyššie</w:t>
      </w:r>
      <w:r w:rsidRPr="00185838">
        <w:rPr>
          <w:rFonts w:ascii="Arial Narrow" w:hAnsi="Arial Narrow" w:cs="Arial Narrow"/>
          <w:sz w:val="22"/>
          <w:szCs w:val="22"/>
        </w:rPr>
        <w:t xml:space="preserve"> o</w:t>
      </w:r>
      <w:r>
        <w:rPr>
          <w:rFonts w:ascii="Arial Narrow" w:hAnsi="Arial Narrow" w:cs="Arial Narrow"/>
          <w:sz w:val="22"/>
          <w:szCs w:val="22"/>
        </w:rPr>
        <w:t> 2</w:t>
      </w:r>
      <w:r w:rsidRPr="00185838">
        <w:rPr>
          <w:rFonts w:ascii="Arial Narrow" w:hAnsi="Arial Narrow" w:cs="Arial Narrow"/>
          <w:sz w:val="22"/>
          <w:szCs w:val="22"/>
        </w:rPr>
        <w:t>1</w:t>
      </w:r>
      <w:r>
        <w:rPr>
          <w:rFonts w:ascii="Arial Narrow" w:hAnsi="Arial Narrow" w:cs="Arial Narrow"/>
          <w:sz w:val="22"/>
          <w:szCs w:val="22"/>
        </w:rPr>
        <w:t>,</w:t>
      </w:r>
      <w:r w:rsidRPr="00185838">
        <w:rPr>
          <w:rFonts w:ascii="Arial Narrow" w:hAnsi="Arial Narrow" w:cs="Arial Narrow"/>
          <w:sz w:val="22"/>
          <w:szCs w:val="22"/>
        </w:rPr>
        <w:t>4 %</w:t>
      </w:r>
      <w:r>
        <w:rPr>
          <w:rFonts w:ascii="Arial Narrow" w:hAnsi="Arial Narrow" w:cs="Arial Narrow"/>
          <w:sz w:val="22"/>
          <w:szCs w:val="22"/>
        </w:rPr>
        <w:t>.</w:t>
      </w:r>
      <w:r w:rsidRPr="00185838">
        <w:rPr>
          <w:rFonts w:ascii="Arial Narrow" w:hAnsi="Arial Narrow" w:cs="Arial Narrow"/>
          <w:sz w:val="22"/>
          <w:szCs w:val="22"/>
        </w:rPr>
        <w:t xml:space="preserve"> </w:t>
      </w:r>
    </w:p>
    <w:p w:rsidR="001E5B24" w:rsidRPr="00185838" w:rsidP="001E5B24">
      <w:pPr>
        <w:bidi w:val="0"/>
        <w:ind w:firstLine="708"/>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r>
      <w:r w:rsidRPr="00AD72ED">
        <w:rPr>
          <w:rFonts w:ascii="Arial Narrow" w:hAnsi="Arial Narrow" w:cs="Arial Narrow"/>
          <w:sz w:val="22"/>
          <w:szCs w:val="22"/>
        </w:rPr>
        <w:t xml:space="preserve">Prostriedky zo zdrojov štátneho rozpočtu v porovnaní so schváleným rozpočtom roku 2010 sú vyššie </w:t>
      </w:r>
      <w:r>
        <w:rPr>
          <w:rFonts w:ascii="Arial Narrow" w:hAnsi="Arial Narrow" w:cs="Arial Narrow"/>
          <w:sz w:val="22"/>
          <w:szCs w:val="22"/>
        </w:rPr>
        <w:t xml:space="preserve">o 49,8%, </w:t>
      </w:r>
      <w:r w:rsidR="007C7DA8">
        <w:rPr>
          <w:rFonts w:ascii="Arial Narrow" w:hAnsi="Arial Narrow" w:cs="Arial Narrow"/>
          <w:sz w:val="22"/>
          <w:szCs w:val="22"/>
        </w:rPr>
        <w:t>t. j.</w:t>
      </w:r>
      <w:r>
        <w:rPr>
          <w:rFonts w:ascii="Arial Narrow" w:hAnsi="Arial Narrow" w:cs="Arial Narrow"/>
          <w:sz w:val="22"/>
          <w:szCs w:val="22"/>
        </w:rPr>
        <w:t xml:space="preserve"> o 22 mil. eur z dôvodu presunu výdavkov na kompetencie v oblasti regionálneho rozvoja a implementácie politík MVRR SR  a  rozpočtovania výdavkov na zavádzanie digitálneho vysielania v SR. </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Po vylúčení uvedených výdavkov sú p</w:t>
      </w:r>
      <w:r w:rsidRPr="00AD72ED">
        <w:rPr>
          <w:rFonts w:ascii="Arial Narrow" w:hAnsi="Arial Narrow" w:cs="Arial Narrow"/>
          <w:sz w:val="22"/>
          <w:szCs w:val="22"/>
        </w:rPr>
        <w:t xml:space="preserve">rostriedky </w:t>
      </w:r>
      <w:r>
        <w:rPr>
          <w:rFonts w:ascii="Arial Narrow" w:hAnsi="Arial Narrow" w:cs="Arial Narrow"/>
          <w:sz w:val="22"/>
          <w:szCs w:val="22"/>
        </w:rPr>
        <w:t xml:space="preserve">na implementáciu politík dopravy </w:t>
      </w:r>
      <w:r w:rsidRPr="00AD72ED">
        <w:rPr>
          <w:rFonts w:ascii="Arial Narrow" w:hAnsi="Arial Narrow" w:cs="Arial Narrow"/>
          <w:sz w:val="22"/>
          <w:szCs w:val="22"/>
        </w:rPr>
        <w:t xml:space="preserve">zo zdrojov štátneho rozpočtu v porovnaní so schváleným rozpočtom roku 2010  </w:t>
      </w:r>
      <w:r>
        <w:rPr>
          <w:rFonts w:ascii="Arial Narrow" w:hAnsi="Arial Narrow" w:cs="Arial Narrow"/>
          <w:sz w:val="22"/>
          <w:szCs w:val="22"/>
        </w:rPr>
        <w:t xml:space="preserve">nižšie  o 8,43 %. Uvedené zníženie je v osobných výdavkoch o 8,97 % a vo výdavkoch na tovary a služby o 14,1 %. Kapitálové výdavky sú vyššie o 13,96 % v nadväznosti na zabezpečenie výdavkov na špeciálne  prístroje pre implementáciu riečnych informačných služieb.  </w:t>
      </w:r>
    </w:p>
    <w:p w:rsidR="001E5B24" w:rsidP="001E5B24">
      <w:pPr>
        <w:bidi w:val="0"/>
        <w:jc w:val="both"/>
        <w:rPr>
          <w:rFonts w:ascii="Arial Narrow" w:hAnsi="Arial Narrow" w:cs="Arial Narrow"/>
          <w:sz w:val="22"/>
          <w:szCs w:val="22"/>
        </w:rPr>
      </w:pPr>
    </w:p>
    <w:tbl>
      <w:tblPr>
        <w:tblStyle w:val="TableNormal"/>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5"/>
        <w:gridCol w:w="947"/>
        <w:gridCol w:w="948"/>
        <w:gridCol w:w="947"/>
        <w:gridCol w:w="948"/>
        <w:gridCol w:w="947"/>
        <w:gridCol w:w="948"/>
      </w:tblGrid>
      <w:tr>
        <w:tblPrEx>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b/>
                <w:bCs/>
                <w:sz w:val="16"/>
                <w:szCs w:val="16"/>
              </w:rPr>
            </w:pPr>
            <w:r w:rsidRPr="002504EC">
              <w:rPr>
                <w:rFonts w:ascii="Arial Narrow" w:hAnsi="Arial Narrow" w:cs="Arial Narrow"/>
                <w:b/>
                <w:bCs/>
                <w:sz w:val="16"/>
                <w:szCs w:val="16"/>
              </w:rPr>
              <w:t>v tis. eur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2008 S</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2009 S</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2010 R</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2011 N</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2012 N</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center"/>
              <w:rPr>
                <w:rFonts w:ascii="Arial Narrow" w:hAnsi="Arial Narrow" w:cs="Arial Narrow"/>
                <w:b/>
                <w:bCs/>
                <w:sz w:val="16"/>
                <w:szCs w:val="16"/>
              </w:rPr>
            </w:pPr>
            <w:r w:rsidRPr="002504EC">
              <w:rPr>
                <w:rFonts w:ascii="Arial Narrow" w:hAnsi="Arial Narrow" w:cs="Arial Narrow"/>
                <w:b/>
                <w:bCs/>
                <w:sz w:val="16"/>
                <w:szCs w:val="16"/>
              </w:rPr>
              <w:t>2013 N</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rPr>
                <w:rFonts w:ascii="Arial Narrow" w:hAnsi="Arial Narrow" w:cs="Arial Narrow"/>
                <w:b/>
                <w:bCs/>
                <w:sz w:val="16"/>
                <w:szCs w:val="16"/>
              </w:rPr>
            </w:pPr>
            <w:r w:rsidRPr="002504EC">
              <w:rPr>
                <w:rFonts w:ascii="Arial Narrow" w:hAnsi="Arial Narrow" w:cs="Arial Narrow"/>
                <w:b/>
                <w:bCs/>
                <w:sz w:val="16"/>
                <w:szCs w:val="16"/>
              </w:rPr>
              <w:t>Ostatné činnosti</w:t>
            </w:r>
            <w:r>
              <w:rPr>
                <w:rFonts w:ascii="Arial Narrow" w:hAnsi="Arial Narrow" w:cs="Arial Narrow"/>
                <w:b/>
                <w:bCs/>
                <w:sz w:val="16"/>
                <w:szCs w:val="16"/>
              </w:rPr>
              <w:t xml:space="preserve"> celkom, z toho:</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64 525</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53 163</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55 184</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67 015</w:t>
            </w:r>
          </w:p>
        </w:tc>
        <w:tc>
          <w:tcPr>
            <w:tcW w:w="9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61 790</w:t>
            </w:r>
          </w:p>
        </w:tc>
        <w:tc>
          <w:tcPr>
            <w:tcW w:w="9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2504EC" w:rsidP="001E5B24">
            <w:pPr>
              <w:bidi w:val="0"/>
              <w:jc w:val="right"/>
              <w:rPr>
                <w:rFonts w:ascii="Arial Narrow" w:hAnsi="Arial Narrow" w:cs="Arial Narrow"/>
                <w:b/>
                <w:bCs/>
                <w:sz w:val="16"/>
                <w:szCs w:val="16"/>
              </w:rPr>
            </w:pPr>
            <w:r w:rsidRPr="002504EC">
              <w:rPr>
                <w:rFonts w:ascii="Arial Narrow" w:hAnsi="Arial Narrow" w:cs="Arial Narrow"/>
                <w:b/>
                <w:bCs/>
                <w:sz w:val="16"/>
                <w:szCs w:val="16"/>
              </w:rPr>
              <w:t>62 679</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sz w:val="16"/>
                <w:szCs w:val="16"/>
              </w:rPr>
            </w:pPr>
            <w:r w:rsidRPr="002504EC">
              <w:rPr>
                <w:rFonts w:ascii="Arial Narrow" w:hAnsi="Arial Narrow" w:cs="Arial Narrow"/>
                <w:sz w:val="16"/>
                <w:szCs w:val="16"/>
              </w:rPr>
              <w:t>Tvorba a implementácia MDPT SR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61 079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49 887</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51 720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45 906</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40 681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41 569</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 xml:space="preserve">Civilné a núdzové plánovanie </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14</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24</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24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24</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Podpora obrany</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1 235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1 258</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1 328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1 328</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1 327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1 328</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Hospodárska mobilizácia MDPT SR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1 447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1 403</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1 527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1 802</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1 802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1 802</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Ľudské zdroje</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168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45</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Príspevky SR do MO</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579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556</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582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582</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582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582</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Tvorba a implementácia MVRR SR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17 251</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17 252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17 252</w:t>
            </w:r>
          </w:p>
        </w:tc>
      </w:tr>
      <w:tr>
        <w:tblPrEx>
          <w:tblW w:w="9100" w:type="dxa"/>
          <w:tblInd w:w="57" w:type="dxa"/>
          <w:tblLayout w:type="fixed"/>
          <w:tblCellMar>
            <w:left w:w="70" w:type="dxa"/>
            <w:right w:w="70" w:type="dxa"/>
          </w:tblCellMar>
          <w:tblLook w:val="00A0"/>
        </w:tblPrEx>
        <w:trPr>
          <w:trHeight w:val="269"/>
        </w:trPr>
        <w:tc>
          <w:tcPr>
            <w:tcW w:w="34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rPr>
                <w:rFonts w:ascii="Arial Narrow" w:hAnsi="Arial Narrow" w:cs="Arial Narrow"/>
                <w:color w:val="000000"/>
                <w:sz w:val="16"/>
                <w:szCs w:val="16"/>
              </w:rPr>
            </w:pPr>
            <w:r w:rsidRPr="002504EC">
              <w:rPr>
                <w:rFonts w:ascii="Arial Narrow" w:hAnsi="Arial Narrow" w:cs="Arial Narrow"/>
                <w:color w:val="000000"/>
                <w:sz w:val="16"/>
                <w:szCs w:val="16"/>
              </w:rPr>
              <w:t>Hospodárska mobilizácia MVRR SR</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122</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122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2504EC" w:rsidP="001E5B24">
            <w:pPr>
              <w:bidi w:val="0"/>
              <w:jc w:val="right"/>
              <w:rPr>
                <w:rFonts w:ascii="Arial Narrow" w:hAnsi="Arial Narrow" w:cs="Arial Narrow"/>
                <w:sz w:val="16"/>
                <w:szCs w:val="16"/>
              </w:rPr>
            </w:pPr>
            <w:r w:rsidRPr="002504EC">
              <w:rPr>
                <w:rFonts w:ascii="Arial Narrow" w:hAnsi="Arial Narrow" w:cs="Arial Narrow"/>
                <w:sz w:val="16"/>
                <w:szCs w:val="16"/>
              </w:rPr>
              <w:t>122</w:t>
            </w:r>
          </w:p>
        </w:tc>
      </w:tr>
    </w:tbl>
    <w:p w:rsidR="001E5B24" w:rsidRPr="00185838" w:rsidP="001E5B24">
      <w:pPr>
        <w:bidi w:val="0"/>
        <w:jc w:val="both"/>
        <w:rPr>
          <w:rFonts w:ascii="Arial Narrow" w:hAnsi="Arial Narrow" w:cs="Arial Narrow"/>
          <w:sz w:val="22"/>
          <w:szCs w:val="22"/>
        </w:rPr>
      </w:pPr>
    </w:p>
    <w:p w:rsidR="001E5B24" w:rsidRPr="00185838"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185838">
        <w:rPr>
          <w:rFonts w:ascii="Arial Narrow" w:hAnsi="Arial Narrow" w:cs="Arial Narrow"/>
          <w:sz w:val="22"/>
          <w:szCs w:val="22"/>
        </w:rPr>
        <w:t>ýdavky</w:t>
      </w:r>
      <w:r>
        <w:rPr>
          <w:rFonts w:ascii="Arial Narrow" w:hAnsi="Arial Narrow" w:cs="Arial Narrow"/>
          <w:sz w:val="22"/>
          <w:szCs w:val="22"/>
        </w:rPr>
        <w:t xml:space="preserve"> na tvorbu a impl</w:t>
      </w:r>
      <w:r w:rsidR="007C7DA8">
        <w:rPr>
          <w:rFonts w:ascii="Arial Narrow" w:hAnsi="Arial Narrow" w:cs="Arial Narrow"/>
          <w:sz w:val="22"/>
          <w:szCs w:val="22"/>
        </w:rPr>
        <w:t>e</w:t>
      </w:r>
      <w:r>
        <w:rPr>
          <w:rFonts w:ascii="Arial Narrow" w:hAnsi="Arial Narrow" w:cs="Arial Narrow"/>
          <w:sz w:val="22"/>
          <w:szCs w:val="22"/>
        </w:rPr>
        <w:t>mentáciu</w:t>
      </w:r>
      <w:r w:rsidRPr="00185838">
        <w:rPr>
          <w:rFonts w:ascii="Arial Narrow" w:hAnsi="Arial Narrow" w:cs="Arial Narrow"/>
          <w:sz w:val="22"/>
          <w:szCs w:val="22"/>
        </w:rPr>
        <w:t xml:space="preserve"> sú určené na zabezpečenie financovania úloh úradu, pre rozpočtové organizácie regulácie a štátneho dozoru</w:t>
      </w:r>
      <w:r>
        <w:rPr>
          <w:rFonts w:ascii="Arial Narrow" w:hAnsi="Arial Narrow" w:cs="Arial Narrow"/>
          <w:sz w:val="22"/>
          <w:szCs w:val="22"/>
        </w:rPr>
        <w:t xml:space="preserve"> a</w:t>
      </w:r>
      <w:r w:rsidRPr="00185838">
        <w:rPr>
          <w:rFonts w:ascii="Arial Narrow" w:hAnsi="Arial Narrow" w:cs="Arial Narrow"/>
          <w:sz w:val="22"/>
          <w:szCs w:val="22"/>
        </w:rPr>
        <w:t xml:space="preserve"> </w:t>
      </w:r>
      <w:r>
        <w:rPr>
          <w:rFonts w:ascii="Arial Narrow" w:hAnsi="Arial Narrow" w:cs="Arial Narrow"/>
          <w:sz w:val="22"/>
          <w:szCs w:val="22"/>
        </w:rPr>
        <w:t>pre hygienu a ochranu zdravia</w:t>
      </w:r>
      <w:r w:rsidRPr="00185838">
        <w:rPr>
          <w:rFonts w:ascii="Arial Narrow" w:hAnsi="Arial Narrow" w:cs="Arial Narrow"/>
          <w:sz w:val="22"/>
          <w:szCs w:val="22"/>
        </w:rPr>
        <w:t>, na technickú pomoc pri projektoch OP Doprava, na zavádzanie digitálneho vysielania v SR, na podporu integrovanej siete RRA, projektov Euroregiónov a územného rozvoja obcí a miest, na podporu vedy a výskum</w:t>
      </w:r>
      <w:r>
        <w:rPr>
          <w:rFonts w:ascii="Arial Narrow" w:hAnsi="Arial Narrow" w:cs="Arial Narrow"/>
          <w:sz w:val="22"/>
          <w:szCs w:val="22"/>
        </w:rPr>
        <w:t>u</w:t>
      </w:r>
      <w:r w:rsidRPr="00185838">
        <w:rPr>
          <w:rFonts w:ascii="Arial Narrow" w:hAnsi="Arial Narrow" w:cs="Arial Narrow"/>
          <w:sz w:val="22"/>
          <w:szCs w:val="22"/>
        </w:rPr>
        <w:t xml:space="preserve">, na </w:t>
      </w:r>
      <w:r>
        <w:rPr>
          <w:rFonts w:ascii="Arial Narrow" w:hAnsi="Arial Narrow" w:cs="Arial Narrow"/>
          <w:sz w:val="22"/>
          <w:szCs w:val="22"/>
        </w:rPr>
        <w:t>prenesený výkon štátnej správy</w:t>
      </w:r>
      <w:r w:rsidRPr="00185838">
        <w:rPr>
          <w:rFonts w:ascii="Arial Narrow" w:hAnsi="Arial Narrow" w:cs="Arial Narrow"/>
          <w:sz w:val="22"/>
          <w:szCs w:val="22"/>
        </w:rPr>
        <w:t>, pre krajské stavebné úrady a</w:t>
      </w:r>
      <w:r>
        <w:rPr>
          <w:rFonts w:ascii="Arial Narrow" w:hAnsi="Arial Narrow" w:cs="Arial Narrow"/>
          <w:sz w:val="22"/>
          <w:szCs w:val="22"/>
        </w:rPr>
        <w:t xml:space="preserve"> </w:t>
      </w:r>
      <w:r w:rsidRPr="000F15F9">
        <w:rPr>
          <w:rFonts w:ascii="Arial Narrow" w:hAnsi="Arial Narrow" w:cs="Arial Narrow"/>
          <w:sz w:val="22"/>
          <w:szCs w:val="22"/>
        </w:rPr>
        <w:t>na</w:t>
      </w:r>
      <w:r w:rsidRPr="00185838">
        <w:rPr>
          <w:rFonts w:ascii="Arial Narrow" w:hAnsi="Arial Narrow" w:cs="Arial Narrow"/>
          <w:sz w:val="22"/>
          <w:szCs w:val="22"/>
        </w:rPr>
        <w:t xml:space="preserve"> kontrolu, štúdie, štátny dozor</w:t>
      </w:r>
      <w:r>
        <w:rPr>
          <w:rFonts w:ascii="Arial Narrow" w:hAnsi="Arial Narrow" w:cs="Arial Narrow"/>
          <w:sz w:val="22"/>
          <w:szCs w:val="22"/>
        </w:rPr>
        <w:t>,</w:t>
      </w:r>
      <w:r w:rsidRPr="00185838">
        <w:rPr>
          <w:rFonts w:ascii="Arial Narrow" w:hAnsi="Arial Narrow" w:cs="Arial Narrow"/>
          <w:sz w:val="22"/>
          <w:szCs w:val="22"/>
        </w:rPr>
        <w:t xml:space="preserve"> pre</w:t>
      </w:r>
      <w:r>
        <w:rPr>
          <w:rFonts w:ascii="Arial Narrow" w:hAnsi="Arial Narrow" w:cs="Arial Narrow"/>
          <w:sz w:val="22"/>
          <w:szCs w:val="22"/>
        </w:rPr>
        <w:t xml:space="preserve"> príspevkovú organizáciu URBION</w:t>
      </w:r>
      <w:r w:rsidRPr="00185838">
        <w:rPr>
          <w:rFonts w:ascii="Arial Narrow" w:hAnsi="Arial Narrow" w:cs="Arial Narrow"/>
          <w:sz w:val="22"/>
          <w:szCs w:val="22"/>
        </w:rPr>
        <w:t xml:space="preserve">. </w:t>
      </w:r>
    </w:p>
    <w:p w:rsidR="001E5B24" w:rsidRPr="00185838"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185838">
        <w:rPr>
          <w:rFonts w:ascii="Arial Narrow" w:hAnsi="Arial Narrow" w:cs="Arial Narrow"/>
          <w:sz w:val="22"/>
          <w:szCs w:val="22"/>
        </w:rPr>
        <w:tab/>
        <w:t>Na podprogramy, ktoré rozpočtová kapitola rieši ako účastník medzirezortného programu sa rozpočtujú výdavky v sume 3,86 mil. eur. Uvedené výdavky sú určené pre podprogramy Civilné a núdzové plánovanie, Dopravná a telekomunikačná podpora, Hospodárska mobilizácia a Príspevky SR do medzinárodných organizácií.</w:t>
      </w:r>
    </w:p>
    <w:p w:rsidR="001E5B24" w:rsidP="001E5B24">
      <w:pPr>
        <w:bidi w:val="0"/>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Ministerstvo š</w:t>
      </w:r>
      <w:r w:rsidRPr="001F28CD">
        <w:rPr>
          <w:rFonts w:ascii="Arial Narrow" w:hAnsi="Arial Narrow" w:cs="Arial Narrow"/>
          <w:b/>
          <w:bCs/>
          <w:sz w:val="22"/>
          <w:szCs w:val="22"/>
        </w:rPr>
        <w:t>kolstv</w:t>
      </w:r>
      <w:r>
        <w:rPr>
          <w:rFonts w:ascii="Arial Narrow" w:hAnsi="Arial Narrow" w:cs="Arial Narrow"/>
          <w:b/>
          <w:bCs/>
          <w:sz w:val="22"/>
          <w:szCs w:val="22"/>
        </w:rPr>
        <w:t>a</w:t>
      </w:r>
      <w:r w:rsidRPr="001F28CD">
        <w:rPr>
          <w:rFonts w:ascii="Arial Narrow" w:hAnsi="Arial Narrow" w:cs="Arial Narrow"/>
          <w:b/>
          <w:bCs/>
          <w:sz w:val="22"/>
          <w:szCs w:val="22"/>
        </w:rPr>
        <w:t>, ved</w:t>
      </w:r>
      <w:r>
        <w:rPr>
          <w:rFonts w:ascii="Arial Narrow" w:hAnsi="Arial Narrow" w:cs="Arial Narrow"/>
          <w:b/>
          <w:bCs/>
          <w:sz w:val="22"/>
          <w:szCs w:val="22"/>
        </w:rPr>
        <w:t>y</w:t>
      </w:r>
      <w:r w:rsidRPr="001F28CD">
        <w:rPr>
          <w:rFonts w:ascii="Arial Narrow" w:hAnsi="Arial Narrow" w:cs="Arial Narrow"/>
          <w:b/>
          <w:bCs/>
          <w:sz w:val="22"/>
          <w:szCs w:val="22"/>
        </w:rPr>
        <w:t>, výskum</w:t>
      </w:r>
      <w:r>
        <w:rPr>
          <w:rFonts w:ascii="Arial Narrow" w:hAnsi="Arial Narrow" w:cs="Arial Narrow"/>
          <w:b/>
          <w:bCs/>
          <w:sz w:val="22"/>
          <w:szCs w:val="22"/>
        </w:rPr>
        <w:t>u</w:t>
      </w:r>
      <w:r w:rsidRPr="001F28CD">
        <w:rPr>
          <w:rFonts w:ascii="Arial Narrow" w:hAnsi="Arial Narrow" w:cs="Arial Narrow"/>
          <w:b/>
          <w:bCs/>
          <w:sz w:val="22"/>
          <w:szCs w:val="22"/>
        </w:rPr>
        <w:t xml:space="preserve"> a</w:t>
      </w:r>
      <w:r>
        <w:rPr>
          <w:rFonts w:ascii="Arial Narrow" w:hAnsi="Arial Narrow" w:cs="Arial Narrow"/>
          <w:b/>
          <w:bCs/>
          <w:sz w:val="22"/>
          <w:szCs w:val="22"/>
        </w:rPr>
        <w:t> </w:t>
      </w:r>
      <w:r w:rsidRPr="001F28CD">
        <w:rPr>
          <w:rFonts w:ascii="Arial Narrow" w:hAnsi="Arial Narrow" w:cs="Arial Narrow"/>
          <w:b/>
          <w:bCs/>
          <w:sz w:val="22"/>
          <w:szCs w:val="22"/>
        </w:rPr>
        <w:t>šport</w:t>
      </w:r>
      <w:r>
        <w:rPr>
          <w:rFonts w:ascii="Arial Narrow" w:hAnsi="Arial Narrow" w:cs="Arial Narrow"/>
          <w:b/>
          <w:bCs/>
          <w:sz w:val="22"/>
          <w:szCs w:val="22"/>
        </w:rPr>
        <w:t>u SR</w:t>
      </w:r>
    </w:p>
    <w:p w:rsidR="001E5B24" w:rsidP="001E5B24">
      <w:pPr>
        <w:bidi w:val="0"/>
        <w:jc w:val="both"/>
        <w:rPr>
          <w:rFonts w:ascii="Arial Narrow" w:hAnsi="Arial Narrow" w:cs="Arial Narrow"/>
          <w:b/>
          <w:bCs/>
          <w:sz w:val="22"/>
          <w:szCs w:val="22"/>
        </w:rPr>
      </w:pPr>
    </w:p>
    <w:tbl>
      <w:tblPr>
        <w:tblStyle w:val="TableNormal"/>
        <w:tblW w:w="9140" w:type="dxa"/>
        <w:tblInd w:w="65" w:type="dxa"/>
        <w:tblLayout w:type="fixed"/>
        <w:tblCellMar>
          <w:left w:w="70" w:type="dxa"/>
          <w:right w:w="70" w:type="dxa"/>
        </w:tblCellMar>
        <w:tblLook w:val="00A0"/>
      </w:tblPr>
      <w:tblGrid>
        <w:gridCol w:w="3407"/>
        <w:gridCol w:w="955"/>
        <w:gridCol w:w="956"/>
        <w:gridCol w:w="955"/>
        <w:gridCol w:w="956"/>
        <w:gridCol w:w="955"/>
        <w:gridCol w:w="956"/>
      </w:tblGrid>
      <w:tr>
        <w:tblPrEx>
          <w:tblW w:w="9140" w:type="dxa"/>
          <w:tblInd w:w="65" w:type="dxa"/>
          <w:tblLayout w:type="fixed"/>
          <w:tblCellMar>
            <w:left w:w="70" w:type="dxa"/>
            <w:right w:w="70" w:type="dxa"/>
          </w:tblCellMar>
          <w:tblLook w:val="00A0"/>
        </w:tblPrEx>
        <w:trPr>
          <w:trHeight w:val="255"/>
        </w:trPr>
        <w:tc>
          <w:tcPr>
            <w:tcW w:w="340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5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56"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5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56"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5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56"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A05014" w:rsidP="001E5B24">
            <w:pPr>
              <w:bidi w:val="0"/>
              <w:rPr>
                <w:rFonts w:ascii="Arial Narrow" w:hAnsi="Arial Narrow" w:cs="Arial Narrow"/>
                <w:b/>
                <w:sz w:val="16"/>
                <w:szCs w:val="16"/>
              </w:rPr>
            </w:pPr>
            <w:r w:rsidRPr="00A05014">
              <w:rPr>
                <w:rFonts w:ascii="Arial Narrow" w:hAnsi="Arial Narrow" w:cs="Arial Narrow"/>
                <w:b/>
                <w:sz w:val="16"/>
                <w:szCs w:val="16"/>
              </w:rPr>
              <w:t>Zdroje príslušnej kapitoly</w:t>
            </w:r>
          </w:p>
        </w:tc>
        <w:tc>
          <w:tcPr>
            <w:tcW w:w="955"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1 797 661</w:t>
            </w:r>
          </w:p>
        </w:tc>
        <w:tc>
          <w:tcPr>
            <w:tcW w:w="956"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2 018 508</w:t>
            </w:r>
          </w:p>
        </w:tc>
        <w:tc>
          <w:tcPr>
            <w:tcW w:w="955"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2 348 232</w:t>
            </w:r>
          </w:p>
        </w:tc>
        <w:tc>
          <w:tcPr>
            <w:tcW w:w="956"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2 337 280</w:t>
            </w:r>
          </w:p>
        </w:tc>
        <w:tc>
          <w:tcPr>
            <w:tcW w:w="955"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2 238 756</w:t>
            </w:r>
          </w:p>
        </w:tc>
        <w:tc>
          <w:tcPr>
            <w:tcW w:w="956" w:type="dxa"/>
            <w:tcBorders>
              <w:top w:val="nil"/>
              <w:left w:val="nil"/>
              <w:bottom w:val="single" w:sz="4" w:space="0" w:color="auto"/>
              <w:right w:val="single" w:sz="4" w:space="0" w:color="auto"/>
            </w:tcBorders>
            <w:shd w:val="clear" w:color="000000" w:fill="BFBFBF"/>
            <w:noWrap/>
            <w:textDirection w:val="lrTb"/>
            <w:vAlign w:val="bottom"/>
          </w:tcPr>
          <w:p w:rsidR="001E5B24" w:rsidRPr="00A05014" w:rsidP="001E5B24">
            <w:pPr>
              <w:bidi w:val="0"/>
              <w:jc w:val="right"/>
              <w:rPr>
                <w:rFonts w:ascii="Arial Narrow" w:hAnsi="Arial Narrow" w:cs="Arial Narrow"/>
                <w:b/>
                <w:sz w:val="16"/>
                <w:szCs w:val="16"/>
              </w:rPr>
            </w:pPr>
            <w:r w:rsidRPr="00A05014">
              <w:rPr>
                <w:rFonts w:ascii="Arial Narrow" w:hAnsi="Arial Narrow" w:cs="Arial Narrow"/>
                <w:b/>
                <w:sz w:val="16"/>
                <w:szCs w:val="16"/>
              </w:rPr>
              <w:t>2 240 557</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noWrap/>
            <w:textDirection w:val="lrTb"/>
            <w:vAlign w:val="bottom"/>
          </w:tcPr>
          <w:p w:rsidR="001E5B24" w:rsidRPr="006235F7" w:rsidP="001E5B24">
            <w:pPr>
              <w:bidi w:val="0"/>
              <w:rPr>
                <w:rFonts w:ascii="Arial Narrow" w:hAnsi="Arial Narrow" w:cs="Arial Narrow"/>
                <w:sz w:val="16"/>
                <w:szCs w:val="16"/>
              </w:rPr>
            </w:pPr>
            <w:r w:rsidRPr="006235F7">
              <w:rPr>
                <w:rFonts w:ascii="Arial Narrow" w:hAnsi="Arial Narrow" w:cs="Arial Narrow"/>
                <w:sz w:val="16"/>
                <w:szCs w:val="16"/>
              </w:rPr>
              <w:t xml:space="preserve">rozpočtové zdroje kapitoly  </w:t>
            </w:r>
          </w:p>
        </w:tc>
        <w:tc>
          <w:tcPr>
            <w:tcW w:w="955"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1 761 287</w:t>
            </w:r>
          </w:p>
        </w:tc>
        <w:tc>
          <w:tcPr>
            <w:tcW w:w="9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1 900 726</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1 925 196</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1 861 695</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1 847 832</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1 860 566</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noWrap/>
            <w:textDirection w:val="lrTb"/>
            <w:vAlign w:val="bottom"/>
          </w:tcPr>
          <w:p w:rsidR="001E5B24" w:rsidRPr="006235F7" w:rsidP="001E5B24">
            <w:pPr>
              <w:bidi w:val="0"/>
              <w:rPr>
                <w:rFonts w:ascii="Arial Narrow" w:hAnsi="Arial Narrow" w:cs="Arial Narrow"/>
                <w:sz w:val="16"/>
                <w:szCs w:val="16"/>
              </w:rPr>
            </w:pPr>
            <w:r w:rsidRPr="006235F7">
              <w:rPr>
                <w:rFonts w:ascii="Arial Narrow" w:hAnsi="Arial Narrow" w:cs="Arial Narrow"/>
                <w:sz w:val="16"/>
                <w:szCs w:val="16"/>
              </w:rPr>
              <w:t>presun z minulých rokov §8</w:t>
            </w:r>
          </w:p>
        </w:tc>
        <w:tc>
          <w:tcPr>
            <w:tcW w:w="955"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669</w:t>
            </w:r>
          </w:p>
        </w:tc>
        <w:tc>
          <w:tcPr>
            <w:tcW w:w="9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noWrap/>
            <w:textDirection w:val="lrTb"/>
            <w:vAlign w:val="bottom"/>
          </w:tcPr>
          <w:p w:rsidR="001E5B24" w:rsidRPr="006235F7" w:rsidP="001E5B24">
            <w:pPr>
              <w:bidi w:val="0"/>
              <w:rPr>
                <w:rFonts w:ascii="Arial Narrow" w:hAnsi="Arial Narrow" w:cs="Arial Narrow"/>
                <w:sz w:val="16"/>
                <w:szCs w:val="16"/>
              </w:rPr>
            </w:pPr>
            <w:r w:rsidRPr="006235F7">
              <w:rPr>
                <w:rFonts w:ascii="Arial Narrow" w:hAnsi="Arial Narrow" w:cs="Arial Narrow"/>
                <w:sz w:val="16"/>
                <w:szCs w:val="16"/>
              </w:rPr>
              <w:t>zdroje  EU</w:t>
            </w:r>
          </w:p>
        </w:tc>
        <w:tc>
          <w:tcPr>
            <w:tcW w:w="955"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23 890</w:t>
            </w:r>
          </w:p>
        </w:tc>
        <w:tc>
          <w:tcPr>
            <w:tcW w:w="9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98 260</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359 581</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412 550</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334 173</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321 791</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noWrap/>
            <w:textDirection w:val="lrTb"/>
            <w:vAlign w:val="bottom"/>
          </w:tcPr>
          <w:p w:rsidR="001E5B24" w:rsidRPr="006235F7" w:rsidP="001E5B24">
            <w:pPr>
              <w:bidi w:val="0"/>
              <w:rPr>
                <w:rFonts w:ascii="Arial Narrow" w:hAnsi="Arial Narrow" w:cs="Arial Narrow"/>
                <w:sz w:val="16"/>
                <w:szCs w:val="16"/>
              </w:rPr>
            </w:pPr>
            <w:r w:rsidRPr="006235F7">
              <w:rPr>
                <w:rFonts w:ascii="Arial Narrow" w:hAnsi="Arial Narrow" w:cs="Arial Narrow"/>
                <w:sz w:val="16"/>
                <w:szCs w:val="16"/>
              </w:rPr>
              <w:t>spolufinancovanie zo ŠR</w:t>
            </w:r>
          </w:p>
        </w:tc>
        <w:tc>
          <w:tcPr>
            <w:tcW w:w="955"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9 184</w:t>
            </w:r>
          </w:p>
        </w:tc>
        <w:tc>
          <w:tcPr>
            <w:tcW w:w="9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17 103</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63 455</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63 035</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56 751</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58 200</w:t>
            </w:r>
          </w:p>
        </w:tc>
      </w:tr>
      <w:tr>
        <w:tblPrEx>
          <w:tblW w:w="9140" w:type="dxa"/>
          <w:tblInd w:w="65" w:type="dxa"/>
          <w:tblLayout w:type="fixed"/>
          <w:tblCellMar>
            <w:left w:w="70" w:type="dxa"/>
            <w:right w:w="70" w:type="dxa"/>
          </w:tblCellMar>
          <w:tblLook w:val="00A0"/>
        </w:tblPrEx>
        <w:trPr>
          <w:trHeight w:val="270"/>
        </w:trPr>
        <w:tc>
          <w:tcPr>
            <w:tcW w:w="3407" w:type="dxa"/>
            <w:tcBorders>
              <w:top w:val="nil"/>
              <w:left w:val="single" w:sz="4" w:space="0" w:color="auto"/>
              <w:bottom w:val="single" w:sz="4" w:space="0" w:color="auto"/>
              <w:right w:val="single" w:sz="4" w:space="0" w:color="auto"/>
            </w:tcBorders>
            <w:noWrap/>
            <w:textDirection w:val="lrTb"/>
            <w:vAlign w:val="bottom"/>
          </w:tcPr>
          <w:p w:rsidR="001E5B24" w:rsidRPr="006235F7" w:rsidP="001E5B24">
            <w:pPr>
              <w:bidi w:val="0"/>
              <w:rPr>
                <w:rFonts w:ascii="Arial Narrow" w:hAnsi="Arial Narrow" w:cs="Arial Narrow"/>
                <w:sz w:val="16"/>
                <w:szCs w:val="16"/>
              </w:rPr>
            </w:pPr>
            <w:r>
              <w:rPr>
                <w:rFonts w:ascii="Arial Narrow" w:hAnsi="Arial Narrow" w:cs="Arial Narrow"/>
                <w:sz w:val="16"/>
                <w:szCs w:val="16"/>
              </w:rPr>
              <w:t>iné zdroje</w:t>
            </w:r>
          </w:p>
        </w:tc>
        <w:tc>
          <w:tcPr>
            <w:tcW w:w="955"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2 631</w:t>
            </w:r>
          </w:p>
        </w:tc>
        <w:tc>
          <w:tcPr>
            <w:tcW w:w="956" w:type="dxa"/>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2 418</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5"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c>
          <w:tcPr>
            <w:tcW w:w="956" w:type="dxa"/>
            <w:tcBorders>
              <w:top w:val="nil"/>
              <w:left w:val="nil"/>
              <w:bottom w:val="single" w:sz="4" w:space="0" w:color="auto"/>
              <w:right w:val="single" w:sz="4" w:space="0" w:color="auto"/>
            </w:tcBorders>
            <w:noWrap/>
            <w:textDirection w:val="lrTb"/>
            <w:vAlign w:val="bottom"/>
          </w:tcPr>
          <w:p w:rsidR="001E5B24" w:rsidRPr="006235F7" w:rsidP="001E5B24">
            <w:pPr>
              <w:bidi w:val="0"/>
              <w:jc w:val="right"/>
              <w:rPr>
                <w:rFonts w:ascii="Arial Narrow" w:hAnsi="Arial Narrow" w:cs="Arial Narrow"/>
                <w:sz w:val="16"/>
                <w:szCs w:val="16"/>
              </w:rPr>
            </w:pPr>
            <w:r w:rsidRPr="006235F7">
              <w:rPr>
                <w:rFonts w:ascii="Arial Narrow" w:hAnsi="Arial Narrow" w:cs="Arial Narrow"/>
                <w:sz w:val="16"/>
                <w:szCs w:val="16"/>
              </w:rPr>
              <w:t>0</w:t>
            </w:r>
          </w:p>
        </w:tc>
      </w:tr>
    </w:tbl>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Výdavky kapitoly M</w:t>
      </w:r>
      <w:r>
        <w:rPr>
          <w:rFonts w:ascii="Arial Narrow" w:hAnsi="Arial Narrow" w:cs="Arial Narrow"/>
          <w:sz w:val="22"/>
          <w:szCs w:val="22"/>
        </w:rPr>
        <w:t>inisterstva školstva, vedy, výskumu a športu</w:t>
      </w:r>
      <w:r w:rsidRPr="00856CE6">
        <w:rPr>
          <w:rFonts w:ascii="Arial Narrow" w:hAnsi="Arial Narrow" w:cs="Arial Narrow"/>
          <w:sz w:val="22"/>
          <w:szCs w:val="22"/>
        </w:rPr>
        <w:t xml:space="preserve"> SR</w:t>
      </w:r>
      <w:r>
        <w:rPr>
          <w:rFonts w:ascii="Arial Narrow" w:hAnsi="Arial Narrow" w:cs="Arial Narrow"/>
          <w:sz w:val="22"/>
          <w:szCs w:val="22"/>
        </w:rPr>
        <w:t xml:space="preserve"> (ďalej len MŠVVŠ SR)</w:t>
      </w:r>
      <w:r w:rsidRPr="00856CE6">
        <w:rPr>
          <w:rFonts w:ascii="Arial Narrow" w:hAnsi="Arial Narrow" w:cs="Arial Narrow"/>
          <w:sz w:val="22"/>
          <w:szCs w:val="22"/>
        </w:rPr>
        <w:t xml:space="preserve"> pre rok 2011 klesajú o</w:t>
      </w:r>
      <w:r>
        <w:rPr>
          <w:rFonts w:ascii="Arial Narrow" w:hAnsi="Arial Narrow" w:cs="Arial Narrow"/>
          <w:sz w:val="22"/>
          <w:szCs w:val="22"/>
        </w:rPr>
        <w:t xml:space="preserve"> 10,9 mil. eur, </w:t>
      </w:r>
      <w:r w:rsidR="007C7DA8">
        <w:rPr>
          <w:rFonts w:ascii="Arial Narrow" w:hAnsi="Arial Narrow" w:cs="Arial Narrow"/>
          <w:sz w:val="22"/>
          <w:szCs w:val="22"/>
        </w:rPr>
        <w:t>t. j.</w:t>
      </w:r>
      <w:r>
        <w:rPr>
          <w:rFonts w:ascii="Arial Narrow" w:hAnsi="Arial Narrow" w:cs="Arial Narrow"/>
          <w:sz w:val="22"/>
          <w:szCs w:val="22"/>
        </w:rPr>
        <w:t xml:space="preserve"> o </w:t>
      </w:r>
      <w:r w:rsidRPr="00856CE6">
        <w:rPr>
          <w:rFonts w:ascii="Arial Narrow" w:hAnsi="Arial Narrow" w:cs="Arial Narrow"/>
          <w:sz w:val="22"/>
          <w:szCs w:val="22"/>
        </w:rPr>
        <w:t xml:space="preserve">0,47 %  oproti úrovni </w:t>
      </w:r>
      <w:r>
        <w:rPr>
          <w:rFonts w:ascii="Arial Narrow" w:hAnsi="Arial Narrow" w:cs="Arial Narrow"/>
          <w:sz w:val="22"/>
          <w:szCs w:val="22"/>
        </w:rPr>
        <w:t xml:space="preserve">schváleného rozpočtu </w:t>
      </w:r>
      <w:r w:rsidRPr="00856CE6">
        <w:rPr>
          <w:rFonts w:ascii="Arial Narrow" w:hAnsi="Arial Narrow" w:cs="Arial Narrow"/>
          <w:sz w:val="22"/>
          <w:szCs w:val="22"/>
        </w:rPr>
        <w:t xml:space="preserve">roku 2010.  Výdavky zo štátneho rozpočtu v roku 2011 klesajú oproti roku 2010 o 3,30 %.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Osobné</w:t>
      </w:r>
      <w:r w:rsidRPr="00BD02A4">
        <w:rPr>
          <w:rFonts w:ascii="Arial Narrow" w:hAnsi="Arial Narrow" w:cs="Arial Narrow"/>
          <w:sz w:val="22"/>
          <w:szCs w:val="22"/>
        </w:rPr>
        <w:t xml:space="preserve"> výdavk</w:t>
      </w:r>
      <w:r>
        <w:rPr>
          <w:rFonts w:ascii="Arial Narrow" w:hAnsi="Arial Narrow" w:cs="Arial Narrow"/>
          <w:sz w:val="22"/>
          <w:szCs w:val="22"/>
        </w:rPr>
        <w:t>y</w:t>
      </w:r>
      <w:r w:rsidRPr="00BD02A4">
        <w:rPr>
          <w:rFonts w:ascii="Arial Narrow" w:hAnsi="Arial Narrow" w:cs="Arial Narrow"/>
          <w:sz w:val="22"/>
          <w:szCs w:val="22"/>
        </w:rPr>
        <w:t xml:space="preserve"> </w:t>
      </w:r>
      <w:r>
        <w:rPr>
          <w:rFonts w:ascii="Arial Narrow" w:hAnsi="Arial Narrow" w:cs="Arial Narrow"/>
          <w:sz w:val="22"/>
          <w:szCs w:val="22"/>
        </w:rPr>
        <w:t xml:space="preserve">rozpočtových organizácií kapitoly </w:t>
      </w:r>
      <w:r w:rsidRPr="00BD02A4">
        <w:rPr>
          <w:rFonts w:ascii="Arial Narrow" w:hAnsi="Arial Narrow" w:cs="Arial Narrow"/>
          <w:sz w:val="22"/>
          <w:szCs w:val="22"/>
        </w:rPr>
        <w:t>sa pre rok 2011 rozpočtuj</w:t>
      </w:r>
      <w:r>
        <w:rPr>
          <w:rFonts w:ascii="Arial Narrow" w:hAnsi="Arial Narrow" w:cs="Arial Narrow"/>
          <w:sz w:val="22"/>
          <w:szCs w:val="22"/>
        </w:rPr>
        <w:t>ú</w:t>
      </w:r>
      <w:r w:rsidRPr="00BD02A4">
        <w:rPr>
          <w:rFonts w:ascii="Arial Narrow" w:hAnsi="Arial Narrow" w:cs="Arial Narrow"/>
          <w:sz w:val="22"/>
          <w:szCs w:val="22"/>
        </w:rPr>
        <w:t xml:space="preserve"> na úrovni </w:t>
      </w:r>
      <w:r>
        <w:rPr>
          <w:rFonts w:ascii="Arial Narrow" w:hAnsi="Arial Narrow" w:cs="Arial Narrow"/>
          <w:sz w:val="22"/>
          <w:szCs w:val="22"/>
        </w:rPr>
        <w:t>132</w:t>
      </w:r>
      <w:r w:rsidRPr="00BD02A4">
        <w:rPr>
          <w:rFonts w:ascii="Arial Narrow" w:hAnsi="Arial Narrow" w:cs="Arial Narrow"/>
          <w:sz w:val="22"/>
          <w:szCs w:val="22"/>
        </w:rPr>
        <w:t xml:space="preserve"> mil. </w:t>
      </w:r>
      <w:r>
        <w:rPr>
          <w:rFonts w:ascii="Arial Narrow" w:hAnsi="Arial Narrow" w:cs="Arial Narrow"/>
          <w:sz w:val="22"/>
          <w:szCs w:val="22"/>
        </w:rPr>
        <w:t>eur</w:t>
      </w:r>
      <w:r w:rsidRPr="00BD02A4">
        <w:rPr>
          <w:rFonts w:ascii="Arial Narrow" w:hAnsi="Arial Narrow" w:cs="Arial Narrow"/>
          <w:sz w:val="22"/>
          <w:szCs w:val="22"/>
        </w:rPr>
        <w:t>,</w:t>
      </w:r>
      <w:r>
        <w:rPr>
          <w:rFonts w:ascii="Arial Narrow" w:hAnsi="Arial Narrow" w:cs="Arial Narrow"/>
          <w:sz w:val="22"/>
          <w:szCs w:val="22"/>
        </w:rPr>
        <w:br/>
      </w:r>
      <w:r w:rsidRPr="00BD02A4">
        <w:rPr>
          <w:rFonts w:ascii="Arial Narrow" w:hAnsi="Arial Narrow" w:cs="Arial Narrow"/>
          <w:sz w:val="22"/>
          <w:szCs w:val="22"/>
        </w:rPr>
        <w:t xml:space="preserve">čo v porovnaní s rokom 2010 predstavuje </w:t>
      </w:r>
      <w:r>
        <w:rPr>
          <w:rFonts w:ascii="Arial Narrow" w:hAnsi="Arial Narrow" w:cs="Arial Narrow"/>
          <w:sz w:val="22"/>
          <w:szCs w:val="22"/>
        </w:rPr>
        <w:t>pokles</w:t>
      </w:r>
      <w:r w:rsidRPr="00BD02A4">
        <w:rPr>
          <w:rFonts w:ascii="Arial Narrow" w:hAnsi="Arial Narrow" w:cs="Arial Narrow"/>
          <w:sz w:val="22"/>
          <w:szCs w:val="22"/>
        </w:rPr>
        <w:t xml:space="preserve"> </w:t>
      </w:r>
      <w:r>
        <w:rPr>
          <w:rFonts w:ascii="Arial Narrow" w:hAnsi="Arial Narrow" w:cs="Arial Narrow"/>
          <w:sz w:val="22"/>
          <w:szCs w:val="22"/>
        </w:rPr>
        <w:t>o 2</w:t>
      </w:r>
      <w:r w:rsidRPr="00BD02A4">
        <w:rPr>
          <w:rFonts w:ascii="Arial Narrow" w:hAnsi="Arial Narrow" w:cs="Arial Narrow"/>
          <w:sz w:val="22"/>
          <w:szCs w:val="22"/>
        </w:rPr>
        <w:t>,</w:t>
      </w:r>
      <w:r>
        <w:rPr>
          <w:rFonts w:ascii="Arial Narrow" w:hAnsi="Arial Narrow" w:cs="Arial Narrow"/>
          <w:sz w:val="22"/>
          <w:szCs w:val="22"/>
        </w:rPr>
        <w:t>67</w:t>
      </w:r>
      <w:r w:rsidRPr="00BD02A4">
        <w:rPr>
          <w:rFonts w:ascii="Arial Narrow" w:hAnsi="Arial Narrow" w:cs="Arial Narrow"/>
          <w:sz w:val="22"/>
          <w:szCs w:val="22"/>
        </w:rPr>
        <w:t xml:space="preserve"> % (</w:t>
      </w:r>
      <w:r>
        <w:rPr>
          <w:rFonts w:ascii="Arial Narrow" w:hAnsi="Arial Narrow" w:cs="Arial Narrow"/>
          <w:sz w:val="22"/>
          <w:szCs w:val="22"/>
        </w:rPr>
        <w:t>3</w:t>
      </w:r>
      <w:r w:rsidRPr="00BD02A4">
        <w:rPr>
          <w:rFonts w:ascii="Arial Narrow" w:hAnsi="Arial Narrow" w:cs="Arial Narrow"/>
          <w:sz w:val="22"/>
          <w:szCs w:val="22"/>
        </w:rPr>
        <w:t>,</w:t>
      </w:r>
      <w:r>
        <w:rPr>
          <w:rFonts w:ascii="Arial Narrow" w:hAnsi="Arial Narrow" w:cs="Arial Narrow"/>
          <w:sz w:val="22"/>
          <w:szCs w:val="22"/>
        </w:rPr>
        <w:t>62</w:t>
      </w:r>
      <w:r w:rsidRPr="00BD02A4">
        <w:rPr>
          <w:rFonts w:ascii="Arial Narrow" w:hAnsi="Arial Narrow" w:cs="Arial Narrow"/>
          <w:sz w:val="22"/>
          <w:szCs w:val="22"/>
        </w:rPr>
        <w:t xml:space="preserve"> mil. </w:t>
      </w:r>
      <w:r>
        <w:rPr>
          <w:rFonts w:ascii="Arial Narrow" w:hAnsi="Arial Narrow" w:cs="Arial Narrow"/>
          <w:sz w:val="22"/>
          <w:szCs w:val="22"/>
        </w:rPr>
        <w:t>eur</w:t>
      </w:r>
      <w:r w:rsidRPr="00BD02A4">
        <w:rPr>
          <w:rFonts w:ascii="Arial Narrow" w:hAnsi="Arial Narrow" w:cs="Arial Narrow"/>
          <w:sz w:val="22"/>
          <w:szCs w:val="22"/>
        </w:rPr>
        <w:t>)</w:t>
      </w:r>
      <w:r>
        <w:rPr>
          <w:rFonts w:ascii="Arial Narrow" w:hAnsi="Arial Narrow" w:cs="Arial Narrow"/>
          <w:sz w:val="22"/>
          <w:szCs w:val="22"/>
        </w:rPr>
        <w:t xml:space="preserve">. </w:t>
      </w:r>
      <w:r w:rsidRPr="00BD02A4">
        <w:rPr>
          <w:rFonts w:ascii="Arial Narrow" w:hAnsi="Arial Narrow" w:cs="Arial Narrow"/>
          <w:sz w:val="22"/>
          <w:szCs w:val="22"/>
        </w:rPr>
        <w:t xml:space="preserve">Medziročný pokles </w:t>
      </w:r>
      <w:r>
        <w:rPr>
          <w:rFonts w:ascii="Arial Narrow" w:hAnsi="Arial Narrow" w:cs="Arial Narrow"/>
          <w:sz w:val="22"/>
          <w:szCs w:val="22"/>
        </w:rPr>
        <w:t>osobných výdavkov</w:t>
        <w:br/>
      </w:r>
      <w:r w:rsidRPr="00BD02A4">
        <w:rPr>
          <w:rFonts w:ascii="Arial Narrow" w:hAnsi="Arial Narrow" w:cs="Arial Narrow"/>
          <w:sz w:val="22"/>
          <w:szCs w:val="22"/>
        </w:rPr>
        <w:t xml:space="preserve">je ovplyvnený </w:t>
      </w:r>
      <w:r>
        <w:rPr>
          <w:rFonts w:ascii="Arial Narrow" w:hAnsi="Arial Narrow" w:cs="Arial Narrow"/>
          <w:sz w:val="22"/>
          <w:szCs w:val="22"/>
        </w:rPr>
        <w:t xml:space="preserve">10% </w:t>
      </w:r>
      <w:r w:rsidRPr="00BD02A4">
        <w:rPr>
          <w:rFonts w:ascii="Arial Narrow" w:hAnsi="Arial Narrow" w:cs="Arial Narrow"/>
          <w:sz w:val="22"/>
          <w:szCs w:val="22"/>
        </w:rPr>
        <w:t>viazaním osobných výdavkov štátnych zamestnancov a zamestnancov pri výkone práce</w:t>
      </w:r>
      <w:r>
        <w:rPr>
          <w:rFonts w:ascii="Arial Narrow" w:hAnsi="Arial Narrow" w:cs="Arial Narrow"/>
          <w:sz w:val="22"/>
          <w:szCs w:val="22"/>
        </w:rPr>
        <w:br/>
      </w:r>
      <w:r w:rsidRPr="00BD02A4">
        <w:rPr>
          <w:rFonts w:ascii="Arial Narrow" w:hAnsi="Arial Narrow" w:cs="Arial Narrow"/>
          <w:sz w:val="22"/>
          <w:szCs w:val="22"/>
        </w:rPr>
        <w:t>vo verejnom záujme</w:t>
      </w:r>
      <w:r>
        <w:rPr>
          <w:rFonts w:ascii="Arial Narrow" w:hAnsi="Arial Narrow" w:cs="Arial Narrow"/>
          <w:sz w:val="22"/>
          <w:szCs w:val="22"/>
        </w:rPr>
        <w:t xml:space="preserve"> s výnimkou pedagogických zamestnancov regionálneho školstva v počte 6 315 osôb</w:t>
        <w:br/>
      </w:r>
      <w:r w:rsidRPr="00BD02A4">
        <w:rPr>
          <w:rFonts w:ascii="Arial Narrow" w:hAnsi="Arial Narrow" w:cs="Arial Narrow"/>
          <w:sz w:val="22"/>
          <w:szCs w:val="22"/>
        </w:rPr>
        <w:t xml:space="preserve">pri </w:t>
      </w:r>
      <w:r>
        <w:rPr>
          <w:rFonts w:ascii="Arial Narrow" w:hAnsi="Arial Narrow" w:cs="Arial Narrow"/>
          <w:sz w:val="22"/>
          <w:szCs w:val="22"/>
        </w:rPr>
        <w:t>z</w:t>
      </w:r>
      <w:r w:rsidRPr="00BD02A4">
        <w:rPr>
          <w:rFonts w:ascii="Arial Narrow" w:hAnsi="Arial Narrow" w:cs="Arial Narrow"/>
          <w:sz w:val="22"/>
          <w:szCs w:val="22"/>
        </w:rPr>
        <w:t>ohľadnení dopočtu 1% valorizácie z roku 2010</w:t>
      </w:r>
      <w:r>
        <w:rPr>
          <w:rFonts w:ascii="Arial Narrow" w:hAnsi="Arial Narrow" w:cs="Arial Narrow"/>
          <w:sz w:val="22"/>
          <w:szCs w:val="22"/>
        </w:rPr>
        <w:t>,</w:t>
      </w:r>
      <w:r w:rsidRPr="00BD02A4">
        <w:rPr>
          <w:rFonts w:ascii="Arial Narrow" w:hAnsi="Arial Narrow" w:cs="Arial Narrow"/>
          <w:sz w:val="22"/>
          <w:szCs w:val="22"/>
        </w:rPr>
        <w:t xml:space="preserve"> 10% viazaním osobných výdavkov </w:t>
      </w:r>
      <w:r>
        <w:rPr>
          <w:rFonts w:ascii="Arial Narrow" w:hAnsi="Arial Narrow" w:cs="Arial Narrow"/>
          <w:sz w:val="22"/>
          <w:szCs w:val="22"/>
        </w:rPr>
        <w:t>ministra</w:t>
      </w:r>
      <w:r w:rsidRPr="00BD02A4">
        <w:rPr>
          <w:rFonts w:ascii="Arial Narrow" w:hAnsi="Arial Narrow" w:cs="Arial Narrow"/>
          <w:sz w:val="22"/>
          <w:szCs w:val="22"/>
        </w:rPr>
        <w:t xml:space="preserve"> </w:t>
      </w:r>
      <w:r>
        <w:rPr>
          <w:rFonts w:ascii="Arial Narrow" w:hAnsi="Arial Narrow" w:cs="Arial Narrow"/>
          <w:sz w:val="22"/>
          <w:szCs w:val="22"/>
        </w:rPr>
        <w:t xml:space="preserve">a zamestnancov vo verejnej funkcii </w:t>
      </w:r>
      <w:r w:rsidRPr="00BD02A4">
        <w:rPr>
          <w:rFonts w:ascii="Arial Narrow" w:hAnsi="Arial Narrow" w:cs="Arial Narrow"/>
          <w:sz w:val="22"/>
          <w:szCs w:val="22"/>
        </w:rPr>
        <w:t>z úrovne roka 2010</w:t>
      </w:r>
      <w:r>
        <w:rPr>
          <w:rFonts w:ascii="Arial Narrow" w:hAnsi="Arial Narrow" w:cs="Arial Narrow"/>
          <w:sz w:val="22"/>
          <w:szCs w:val="22"/>
        </w:rPr>
        <w:t xml:space="preserve"> a zvýšením mzdových výdavkov na realizáciu kariérneho systému odmeňovania pedagogických zamestnancov. V limite počtu zamestnancov je premietnuté zníženie o 1 miesto štátneho tajomníka.  Z 10 % znižovania počtu zamestnancov boli vyňatí pedagogickí zamestnanci regionálneho školstva v počte 6 315 osôb. V návrhu rozpočtu kapitoly je v mzdových prostriedkoch zohľadnený kreditný systém odmeňovania pedagogických zamestnancov v sume 780,8 tis. eur  bez príspevkov na poistné. Zároveň z tovarov a služieb boli presunuté finančné prostriedky na osobné výdavky pre Metodicko-poradenské centrá v sume 95,2 tis. eur.  Pri neuplatnení vyššie uvedených titulov by osobné výdavky rozpočtových organizácií klesli o 9,1 %.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Pre celé regionálne školstvo financované z kapitoly MŠVVŠ SR sa pre rok 2011 rozpočtuje o</w:t>
      </w:r>
      <w:r w:rsidRPr="00BD02A4">
        <w:rPr>
          <w:rFonts w:ascii="Arial Narrow" w:hAnsi="Arial Narrow" w:cs="Arial Narrow"/>
          <w:sz w:val="22"/>
          <w:szCs w:val="22"/>
        </w:rPr>
        <w:t xml:space="preserve">bjem osobných výdavkov na úrovni </w:t>
      </w:r>
      <w:r>
        <w:rPr>
          <w:rFonts w:ascii="Arial Narrow" w:hAnsi="Arial Narrow" w:cs="Arial Narrow"/>
          <w:sz w:val="22"/>
          <w:szCs w:val="22"/>
        </w:rPr>
        <w:t>1,01</w:t>
      </w:r>
      <w:r w:rsidRPr="00BD02A4">
        <w:rPr>
          <w:rFonts w:ascii="Arial Narrow" w:hAnsi="Arial Narrow" w:cs="Arial Narrow"/>
          <w:sz w:val="22"/>
          <w:szCs w:val="22"/>
        </w:rPr>
        <w:t xml:space="preserve"> ml</w:t>
      </w:r>
      <w:r>
        <w:rPr>
          <w:rFonts w:ascii="Arial Narrow" w:hAnsi="Arial Narrow" w:cs="Arial Narrow"/>
          <w:sz w:val="22"/>
          <w:szCs w:val="22"/>
        </w:rPr>
        <w:t>d</w:t>
      </w:r>
      <w:r w:rsidRPr="00BD02A4">
        <w:rPr>
          <w:rFonts w:ascii="Arial Narrow" w:hAnsi="Arial Narrow" w:cs="Arial Narrow"/>
          <w:sz w:val="22"/>
          <w:szCs w:val="22"/>
        </w:rPr>
        <w:t xml:space="preserve">. </w:t>
      </w:r>
      <w:r>
        <w:rPr>
          <w:rFonts w:ascii="Arial Narrow" w:hAnsi="Arial Narrow" w:cs="Arial Narrow"/>
          <w:sz w:val="22"/>
          <w:szCs w:val="22"/>
        </w:rPr>
        <w:t>eur</w:t>
      </w:r>
      <w:r w:rsidRPr="00BD02A4">
        <w:rPr>
          <w:rFonts w:ascii="Arial Narrow" w:hAnsi="Arial Narrow" w:cs="Arial Narrow"/>
          <w:sz w:val="22"/>
          <w:szCs w:val="22"/>
        </w:rPr>
        <w:t xml:space="preserve">, čo v porovnaní s rokom 2010 predstavuje </w:t>
      </w:r>
      <w:r>
        <w:rPr>
          <w:rFonts w:ascii="Arial Narrow" w:hAnsi="Arial Narrow" w:cs="Arial Narrow"/>
          <w:sz w:val="22"/>
          <w:szCs w:val="22"/>
        </w:rPr>
        <w:t>nárast o 0</w:t>
      </w:r>
      <w:r w:rsidRPr="00BD02A4">
        <w:rPr>
          <w:rFonts w:ascii="Arial Narrow" w:hAnsi="Arial Narrow" w:cs="Arial Narrow"/>
          <w:sz w:val="22"/>
          <w:szCs w:val="22"/>
        </w:rPr>
        <w:t>,</w:t>
      </w:r>
      <w:r>
        <w:rPr>
          <w:rFonts w:ascii="Arial Narrow" w:hAnsi="Arial Narrow" w:cs="Arial Narrow"/>
          <w:sz w:val="22"/>
          <w:szCs w:val="22"/>
        </w:rPr>
        <w:t>085</w:t>
      </w:r>
      <w:r w:rsidRPr="00BD02A4">
        <w:rPr>
          <w:rFonts w:ascii="Arial Narrow" w:hAnsi="Arial Narrow" w:cs="Arial Narrow"/>
          <w:sz w:val="22"/>
          <w:szCs w:val="22"/>
        </w:rPr>
        <w:t xml:space="preserve"> % (</w:t>
      </w:r>
      <w:r>
        <w:rPr>
          <w:rFonts w:ascii="Arial Narrow" w:hAnsi="Arial Narrow" w:cs="Arial Narrow"/>
          <w:sz w:val="22"/>
          <w:szCs w:val="22"/>
        </w:rPr>
        <w:t>0</w:t>
      </w:r>
      <w:r w:rsidRPr="00BD02A4">
        <w:rPr>
          <w:rFonts w:ascii="Arial Narrow" w:hAnsi="Arial Narrow" w:cs="Arial Narrow"/>
          <w:sz w:val="22"/>
          <w:szCs w:val="22"/>
        </w:rPr>
        <w:t>,</w:t>
      </w:r>
      <w:r>
        <w:rPr>
          <w:rFonts w:ascii="Arial Narrow" w:hAnsi="Arial Narrow" w:cs="Arial Narrow"/>
          <w:sz w:val="22"/>
          <w:szCs w:val="22"/>
        </w:rPr>
        <w:t>86 mil. eur</w:t>
      </w:r>
      <w:r w:rsidRPr="00BD02A4">
        <w:rPr>
          <w:rFonts w:ascii="Arial Narrow" w:hAnsi="Arial Narrow" w:cs="Arial Narrow"/>
          <w:sz w:val="22"/>
          <w:szCs w:val="22"/>
        </w:rPr>
        <w:t>)</w:t>
      </w:r>
      <w:r>
        <w:rPr>
          <w:rFonts w:ascii="Arial Narrow" w:hAnsi="Arial Narrow" w:cs="Arial Narrow"/>
          <w:sz w:val="22"/>
          <w:szCs w:val="22"/>
        </w:rPr>
        <w:t>. Mierny m</w:t>
      </w:r>
      <w:r w:rsidRPr="00BD02A4">
        <w:rPr>
          <w:rFonts w:ascii="Arial Narrow" w:hAnsi="Arial Narrow" w:cs="Arial Narrow"/>
          <w:sz w:val="22"/>
          <w:szCs w:val="22"/>
        </w:rPr>
        <w:t xml:space="preserve">edziročný </w:t>
      </w:r>
      <w:r>
        <w:rPr>
          <w:rFonts w:ascii="Arial Narrow" w:hAnsi="Arial Narrow" w:cs="Arial Narrow"/>
          <w:sz w:val="22"/>
          <w:szCs w:val="22"/>
        </w:rPr>
        <w:t>nárast</w:t>
      </w:r>
      <w:r w:rsidRPr="00BD02A4">
        <w:rPr>
          <w:rFonts w:ascii="Arial Narrow" w:hAnsi="Arial Narrow" w:cs="Arial Narrow"/>
          <w:sz w:val="22"/>
          <w:szCs w:val="22"/>
        </w:rPr>
        <w:t xml:space="preserve"> </w:t>
      </w:r>
      <w:r>
        <w:rPr>
          <w:rFonts w:ascii="Arial Narrow" w:hAnsi="Arial Narrow" w:cs="Arial Narrow"/>
          <w:sz w:val="22"/>
          <w:szCs w:val="22"/>
        </w:rPr>
        <w:t>osobných výdavkov</w:t>
      </w:r>
      <w:r w:rsidRPr="00BD02A4">
        <w:rPr>
          <w:rFonts w:ascii="Arial Narrow" w:hAnsi="Arial Narrow" w:cs="Arial Narrow"/>
          <w:sz w:val="22"/>
          <w:szCs w:val="22"/>
        </w:rPr>
        <w:t xml:space="preserve"> je ovplyvnený</w:t>
      </w:r>
      <w:r>
        <w:rPr>
          <w:rFonts w:ascii="Arial Narrow" w:hAnsi="Arial Narrow" w:cs="Arial Narrow"/>
          <w:sz w:val="22"/>
          <w:szCs w:val="22"/>
        </w:rPr>
        <w:t xml:space="preserve"> zvýšením mzdových výdavkov o 6,81 mil. eur na zabezpečenie kariérneho systému odmeňovania pedagogických zamestnancov, dopočtom </w:t>
      </w:r>
      <w:r w:rsidRPr="00BD02A4">
        <w:rPr>
          <w:rFonts w:ascii="Arial Narrow" w:hAnsi="Arial Narrow" w:cs="Arial Narrow"/>
          <w:sz w:val="22"/>
          <w:szCs w:val="22"/>
        </w:rPr>
        <w:t>1% valorizácie z roku 2010</w:t>
      </w:r>
      <w:r>
        <w:rPr>
          <w:rFonts w:ascii="Arial Narrow" w:hAnsi="Arial Narrow" w:cs="Arial Narrow"/>
          <w:sz w:val="22"/>
          <w:szCs w:val="22"/>
        </w:rPr>
        <w:t xml:space="preserve"> a 10% </w:t>
      </w:r>
      <w:r w:rsidRPr="00BD02A4">
        <w:rPr>
          <w:rFonts w:ascii="Arial Narrow" w:hAnsi="Arial Narrow" w:cs="Arial Narrow"/>
          <w:sz w:val="22"/>
          <w:szCs w:val="22"/>
        </w:rPr>
        <w:t xml:space="preserve">viazaním osobných výdavkov </w:t>
      </w:r>
      <w:r>
        <w:rPr>
          <w:rFonts w:ascii="Arial Narrow" w:hAnsi="Arial Narrow" w:cs="Arial Narrow"/>
          <w:sz w:val="22"/>
          <w:szCs w:val="22"/>
        </w:rPr>
        <w:t>nepedagogických zamestnancov. Z 10% zníženia osobných výdavkov boli vyňatí pedagogickí zamestnanci v počte 65 000 osôb.</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 návrhu rozpočtu verejných vysokých škôl je pre rok 2011 zabezpečený dopočet osobných výdavkov</w:t>
        <w:br/>
        <w:t>o 1% valorizácie z roku 2010 a súčasne je zapracované 10% zníženie osobných výdavkov, z ktorého boli vyňatí vysokoškolskí pedagógovia v počte 10 928 osôb.</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Celkové výdavky na tovary a služby klesajú v roku 2011 oproti schválenému rozpočtu na rok 2010 o 1,12 mil. eur, </w:t>
      </w:r>
      <w:r w:rsidR="007C7DA8">
        <w:rPr>
          <w:rFonts w:ascii="Arial Narrow" w:hAnsi="Arial Narrow" w:cs="Arial Narrow"/>
          <w:sz w:val="22"/>
          <w:szCs w:val="22"/>
        </w:rPr>
        <w:t>t. j.</w:t>
      </w:r>
      <w:r>
        <w:rPr>
          <w:rFonts w:ascii="Arial Narrow" w:hAnsi="Arial Narrow" w:cs="Arial Narrow"/>
          <w:sz w:val="22"/>
          <w:szCs w:val="22"/>
        </w:rPr>
        <w:t xml:space="preserve"> o 1,10%. Do výdavkov sa premietlo zníženie výdavkov na vedu a techniku o 17,9 mil. eur a zvýšenie výdavkov na vysoké školstvo o 4,35 mil. eur, na regionálne školstvo o 9,4 mil. eur, na šport o 125 tis. eur, na tvorbu a implementáciu politík o 2,51 mil. eur a na podporu voľnočasových aktivít mládeže o 0,41 mil. eur.</w:t>
      </w:r>
      <w:r w:rsidRPr="007E0DBE">
        <w:rPr>
          <w:rFonts w:ascii="Arial Narrow" w:hAnsi="Arial Narrow" w:cs="Arial Narrow"/>
          <w:sz w:val="22"/>
          <w:szCs w:val="22"/>
        </w:rPr>
        <w:t xml:space="preserve"> </w:t>
      </w:r>
      <w:r>
        <w:rPr>
          <w:rFonts w:ascii="Arial Narrow" w:hAnsi="Arial Narrow" w:cs="Arial Narrow"/>
          <w:sz w:val="22"/>
          <w:szCs w:val="22"/>
        </w:rPr>
        <w:t>Keďže v oblasti regionálneho školstva nedošlo k zníženiu výdavkov, po vylúčení týchto výdavkov z porovnávacej základne, je medziročný pokles výdavkov na tovary a služby o 20,1%.</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Bežné transfery </w:t>
      </w:r>
      <w:r w:rsidR="007C7DA8">
        <w:rPr>
          <w:rFonts w:ascii="Arial Narrow" w:hAnsi="Arial Narrow" w:cs="Arial Narrow"/>
          <w:sz w:val="22"/>
          <w:szCs w:val="22"/>
        </w:rPr>
        <w:t xml:space="preserve">zo </w:t>
      </w:r>
      <w:r>
        <w:rPr>
          <w:rFonts w:ascii="Arial Narrow" w:hAnsi="Arial Narrow" w:cs="Arial Narrow"/>
          <w:sz w:val="22"/>
          <w:szCs w:val="22"/>
        </w:rPr>
        <w:t xml:space="preserve">štátneho rozpočtu v roku 2011 rastú oproti schválenému rozpočtu roku 2010 o 4,27 mil. eur, </w:t>
      </w:r>
      <w:r w:rsidR="007C7DA8">
        <w:rPr>
          <w:rFonts w:ascii="Arial Narrow" w:hAnsi="Arial Narrow" w:cs="Arial Narrow"/>
          <w:sz w:val="22"/>
          <w:szCs w:val="22"/>
        </w:rPr>
        <w:t>t. j.</w:t>
      </w:r>
      <w:r>
        <w:rPr>
          <w:rFonts w:ascii="Arial Narrow" w:hAnsi="Arial Narrow" w:cs="Arial Narrow"/>
          <w:sz w:val="22"/>
          <w:szCs w:val="22"/>
        </w:rPr>
        <w:t xml:space="preserve"> o 0,27 %. Po vylúčení bežných transferov rozpočtovaných pre regionálne školstvo s nárastom o 3,84 mil. eur a pre verejné vysoké školy s poklesom o 6,69 mil. eur z porovnávacej základne, rastú bežné transfery o 7,12 mil. eur, </w:t>
      </w:r>
      <w:r w:rsidR="007C7DA8">
        <w:rPr>
          <w:rFonts w:ascii="Arial Narrow" w:hAnsi="Arial Narrow" w:cs="Arial Narrow"/>
          <w:sz w:val="22"/>
          <w:szCs w:val="22"/>
        </w:rPr>
        <w:t>t. j.</w:t>
      </w:r>
      <w:r>
        <w:rPr>
          <w:rFonts w:ascii="Arial Narrow" w:hAnsi="Arial Narrow" w:cs="Arial Narrow"/>
          <w:sz w:val="22"/>
          <w:szCs w:val="22"/>
        </w:rPr>
        <w:t xml:space="preserve"> o 15,9%. Tento nárast bežných transferov sa prejavuje najmä v oblasti vedy a techniky s nárastom o 8,6 mil. eur a v príspevkoch do medzinárodných organizácií s nárastom o 2,56 mil. eur. </w:t>
      </w:r>
    </w:p>
    <w:p w:rsidR="001E5B24"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highlight w:val="yellow"/>
        </w:rPr>
      </w:pPr>
      <w:r w:rsidRPr="00856CE6">
        <w:rPr>
          <w:rFonts w:ascii="Arial Narrow" w:hAnsi="Arial Narrow" w:cs="Arial Narrow"/>
          <w:sz w:val="22"/>
          <w:szCs w:val="22"/>
        </w:rPr>
        <w:t xml:space="preserve">Kapitálové výdavky v roku 2011 klesajú o 65,9 % </w:t>
      </w:r>
      <w:r>
        <w:rPr>
          <w:rFonts w:ascii="Arial Narrow" w:hAnsi="Arial Narrow" w:cs="Arial Narrow"/>
          <w:sz w:val="22"/>
          <w:szCs w:val="22"/>
        </w:rPr>
        <w:t>o</w:t>
      </w:r>
      <w:r w:rsidRPr="00856CE6">
        <w:rPr>
          <w:rFonts w:ascii="Arial Narrow" w:hAnsi="Arial Narrow" w:cs="Arial Narrow"/>
          <w:sz w:val="22"/>
          <w:szCs w:val="22"/>
        </w:rPr>
        <w:t>proti</w:t>
      </w:r>
      <w:r>
        <w:rPr>
          <w:rFonts w:ascii="Arial Narrow" w:hAnsi="Arial Narrow" w:cs="Arial Narrow"/>
          <w:sz w:val="22"/>
          <w:szCs w:val="22"/>
        </w:rPr>
        <w:t xml:space="preserve"> schválenému rozpočtu</w:t>
      </w:r>
      <w:r w:rsidRPr="00856CE6">
        <w:rPr>
          <w:rFonts w:ascii="Arial Narrow" w:hAnsi="Arial Narrow" w:cs="Arial Narrow"/>
          <w:sz w:val="22"/>
          <w:szCs w:val="22"/>
        </w:rPr>
        <w:t xml:space="preserve"> roku 2010</w:t>
      </w:r>
      <w:r>
        <w:rPr>
          <w:rFonts w:ascii="Arial Narrow" w:hAnsi="Arial Narrow" w:cs="Arial Narrow"/>
          <w:sz w:val="22"/>
          <w:szCs w:val="22"/>
        </w:rPr>
        <w:t xml:space="preserve"> a oproti upravenému rozpočtu o 52,4 %. Napriek celkovému poklesu kapitálových výdavkov  v kapitole MŠVVŠ SR pre rok 2011 rastú kapitálové výdavky oproti schválenému rozpočtu</w:t>
      </w:r>
      <w:r w:rsidRPr="00856CE6">
        <w:rPr>
          <w:rFonts w:ascii="Arial Narrow" w:hAnsi="Arial Narrow" w:cs="Arial Narrow"/>
          <w:sz w:val="22"/>
          <w:szCs w:val="22"/>
        </w:rPr>
        <w:t xml:space="preserve"> </w:t>
      </w:r>
      <w:r>
        <w:rPr>
          <w:rFonts w:ascii="Arial Narrow" w:hAnsi="Arial Narrow" w:cs="Arial Narrow"/>
          <w:sz w:val="22"/>
          <w:szCs w:val="22"/>
        </w:rPr>
        <w:t xml:space="preserve">roku 2010 </w:t>
      </w:r>
      <w:r w:rsidRPr="00856CE6">
        <w:rPr>
          <w:rFonts w:ascii="Arial Narrow" w:hAnsi="Arial Narrow" w:cs="Arial Narrow"/>
          <w:sz w:val="22"/>
          <w:szCs w:val="22"/>
        </w:rPr>
        <w:t xml:space="preserve">pre </w:t>
      </w:r>
      <w:r>
        <w:rPr>
          <w:rFonts w:ascii="Arial Narrow" w:hAnsi="Arial Narrow" w:cs="Arial Narrow"/>
          <w:sz w:val="22"/>
          <w:szCs w:val="22"/>
        </w:rPr>
        <w:t xml:space="preserve">regionálne školstvo o 38,4 %.  Výrazné zníženie kapitálových výdavkov je zaznamenané najmä vo verejných vysokých školách, športe a vede a technike. Kapitálové výdavky určené pre verejné vysoké školy klesajú oproti schválenému rozpočtu roku 2010 o 67,8 % a upravenému rozpočtu o 64 %. </w:t>
      </w:r>
    </w:p>
    <w:p w:rsidR="001E5B24" w:rsidRPr="00856CE6" w:rsidP="001E5B24">
      <w:pPr>
        <w:bidi w:val="0"/>
        <w:jc w:val="both"/>
        <w:rPr>
          <w:rFonts w:ascii="Arial Narrow" w:hAnsi="Arial Narrow" w:cs="Arial Narrow"/>
          <w:b/>
          <w:bCs/>
          <w:sz w:val="22"/>
          <w:szCs w:val="22"/>
          <w:u w:val="single"/>
        </w:rPr>
      </w:pPr>
    </w:p>
    <w:p w:rsidR="001E5B24" w:rsidRPr="00252954" w:rsidP="001E5B24">
      <w:pPr>
        <w:bidi w:val="0"/>
        <w:spacing w:after="200"/>
        <w:jc w:val="both"/>
        <w:rPr>
          <w:rFonts w:ascii="Arial" w:hAnsi="Arial" w:cs="Arial"/>
          <w:sz w:val="22"/>
          <w:szCs w:val="22"/>
        </w:rPr>
      </w:pPr>
      <w:r w:rsidRPr="00252954">
        <w:rPr>
          <w:rFonts w:ascii="Arial Narrow" w:hAnsi="Arial Narrow" w:cs="Arial Narrow"/>
          <w:sz w:val="22"/>
          <w:szCs w:val="22"/>
        </w:rPr>
        <w:t>Regionálne školstvo</w:t>
      </w:r>
      <w:r w:rsidRPr="00252954">
        <w:rPr>
          <w:rFonts w:ascii="Arial" w:hAnsi="Arial" w:cs="Arial"/>
          <w:sz w:val="22"/>
          <w:szCs w:val="22"/>
        </w:rPr>
        <w:t xml:space="preserve"> </w:t>
      </w:r>
    </w:p>
    <w:tbl>
      <w:tblPr>
        <w:tblStyle w:val="TableNormal"/>
        <w:tblW w:w="4962" w:type="pct"/>
        <w:tblInd w:w="70" w:type="dxa"/>
        <w:tblCellMar>
          <w:left w:w="70" w:type="dxa"/>
          <w:right w:w="70" w:type="dxa"/>
        </w:tblCellMar>
        <w:tblLook w:val="00A0"/>
      </w:tblPr>
      <w:tblGrid>
        <w:gridCol w:w="3714"/>
        <w:gridCol w:w="905"/>
        <w:gridCol w:w="905"/>
        <w:gridCol w:w="905"/>
        <w:gridCol w:w="905"/>
        <w:gridCol w:w="905"/>
        <w:gridCol w:w="903"/>
      </w:tblGrid>
      <w:tr>
        <w:tblPrEx>
          <w:tblW w:w="4962" w:type="pct"/>
          <w:tblInd w:w="70" w:type="dxa"/>
          <w:tblCellMar>
            <w:left w:w="70" w:type="dxa"/>
            <w:right w:w="70" w:type="dxa"/>
          </w:tblCellMar>
          <w:tblLook w:val="00A0"/>
        </w:tblPrEx>
        <w:trPr>
          <w:trHeight w:val="255"/>
        </w:trPr>
        <w:tc>
          <w:tcPr>
            <w:tcW w:w="203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5"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95"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95"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95"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95"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94" w:type="pct"/>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81760C" w:rsidP="001E5B24">
            <w:pPr>
              <w:bidi w:val="0"/>
              <w:rPr>
                <w:rFonts w:ascii="Arial Narrow" w:hAnsi="Arial Narrow" w:cs="Arial Narrow"/>
                <w:b/>
                <w:bCs/>
                <w:sz w:val="16"/>
                <w:szCs w:val="16"/>
              </w:rPr>
            </w:pPr>
            <w:r w:rsidRPr="0081760C">
              <w:rPr>
                <w:rFonts w:ascii="Arial Narrow" w:hAnsi="Arial Narrow" w:cs="Arial Narrow"/>
                <w:b/>
                <w:bCs/>
                <w:sz w:val="16"/>
                <w:szCs w:val="16"/>
              </w:rPr>
              <w:t>Výdavky kapitoly MŠVVŠ SR</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1 206 826</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1 313 048</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1 299 447</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1 311 874</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1 318 311</w:t>
            </w:r>
          </w:p>
        </w:tc>
        <w:tc>
          <w:tcPr>
            <w:tcW w:w="494"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1 321 30</w:t>
            </w:r>
            <w:r>
              <w:rPr>
                <w:rFonts w:ascii="Arial Narrow" w:hAnsi="Arial Narrow" w:cs="Arial Narrow"/>
                <w:b/>
                <w:bCs/>
                <w:sz w:val="16"/>
                <w:szCs w:val="16"/>
              </w:rPr>
              <w:t>8</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Normatívne výdavky cez MŠVVŠ SR</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1 100 351</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1 195 904</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1 204 783</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1 205 000</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1 197 502</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1 197 502</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 xml:space="preserve">Nenormatívne  výdavky cez MŠVVŠ SR </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74 567</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82 934</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68 070</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77 066</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93 085</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96 074</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Administratívne výdavky MŠVVŠ SR</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28 652</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31 333</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23 005</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26 219</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24 135</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24 1</w:t>
            </w:r>
            <w:r>
              <w:rPr>
                <w:rFonts w:ascii="Arial Narrow" w:hAnsi="Arial Narrow" w:cs="Arial Narrow"/>
                <w:sz w:val="16"/>
                <w:szCs w:val="16"/>
              </w:rPr>
              <w:t>43</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Výdavky na štipendiá cez MŠVVŠ SR</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3 256</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2 878</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3 589</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3 589</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3 589</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3 589</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 xml:space="preserve">Ostatné kapitoly (MV SR) </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11 767</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14 337</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15 445</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11 102</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10 359</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10 359</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Výdavky štrukturálnych fondov na regionálny rozvoj</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2 687</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109 098</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62 896</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80 688</w:t>
            </w:r>
          </w:p>
        </w:tc>
        <w:tc>
          <w:tcPr>
            <w:tcW w:w="495"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190 209</w:t>
            </w:r>
          </w:p>
        </w:tc>
        <w:tc>
          <w:tcPr>
            <w:tcW w:w="494" w:type="pct"/>
            <w:tcBorders>
              <w:top w:val="nil"/>
              <w:left w:val="nil"/>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139 899</w:t>
            </w:r>
          </w:p>
        </w:tc>
      </w:tr>
      <w:tr>
        <w:tblPrEx>
          <w:tblW w:w="4962" w:type="pct"/>
          <w:tblInd w:w="70" w:type="dxa"/>
          <w:tblCellMar>
            <w:left w:w="70" w:type="dxa"/>
            <w:right w:w="70" w:type="dxa"/>
          </w:tblCellMar>
          <w:tblLook w:val="00A0"/>
        </w:tblPrEx>
        <w:trPr>
          <w:trHeight w:val="270"/>
        </w:trPr>
        <w:tc>
          <w:tcPr>
            <w:tcW w:w="2031"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81760C" w:rsidP="001E5B24">
            <w:pPr>
              <w:bidi w:val="0"/>
              <w:rPr>
                <w:rFonts w:ascii="Arial Narrow" w:hAnsi="Arial Narrow" w:cs="Arial Narrow"/>
                <w:b/>
                <w:bCs/>
                <w:sz w:val="16"/>
                <w:szCs w:val="16"/>
              </w:rPr>
            </w:pPr>
            <w:r w:rsidRPr="0081760C">
              <w:rPr>
                <w:rFonts w:ascii="Arial Narrow" w:hAnsi="Arial Narrow" w:cs="Arial Narrow"/>
                <w:b/>
                <w:bCs/>
                <w:sz w:val="16"/>
                <w:szCs w:val="16"/>
              </w:rPr>
              <w:t xml:space="preserve">Verejné výdavky spolu </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1 221 279</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1 436 483</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1 377 788</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1 403 663</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1 518 879</w:t>
            </w:r>
          </w:p>
        </w:tc>
        <w:tc>
          <w:tcPr>
            <w:tcW w:w="494"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jc w:val="right"/>
              <w:rPr>
                <w:rFonts w:ascii="Arial Narrow" w:hAnsi="Arial Narrow" w:cs="Arial Narrow"/>
                <w:b/>
                <w:bCs/>
                <w:sz w:val="16"/>
                <w:szCs w:val="16"/>
              </w:rPr>
            </w:pPr>
            <w:r w:rsidRPr="0081760C">
              <w:rPr>
                <w:rFonts w:ascii="Arial Narrow" w:hAnsi="Arial Narrow" w:cs="Arial Narrow"/>
                <w:b/>
                <w:bCs/>
                <w:sz w:val="16"/>
                <w:szCs w:val="16"/>
              </w:rPr>
              <w:t>1 471 5</w:t>
            </w:r>
            <w:r>
              <w:rPr>
                <w:rFonts w:ascii="Arial Narrow" w:hAnsi="Arial Narrow" w:cs="Arial Narrow"/>
                <w:b/>
                <w:bCs/>
                <w:sz w:val="16"/>
                <w:szCs w:val="16"/>
              </w:rPr>
              <w:t>67</w:t>
            </w:r>
          </w:p>
        </w:tc>
      </w:tr>
      <w:tr>
        <w:tblPrEx>
          <w:tblW w:w="4962" w:type="pct"/>
          <w:tblInd w:w="70" w:type="dxa"/>
          <w:tblCellMar>
            <w:left w:w="70" w:type="dxa"/>
            <w:right w:w="70" w:type="dxa"/>
          </w:tblCellMar>
          <w:tblLook w:val="00A0"/>
        </w:tblPrEx>
        <w:trPr>
          <w:trHeight w:val="255"/>
        </w:trPr>
        <w:tc>
          <w:tcPr>
            <w:tcW w:w="2031" w:type="pct"/>
            <w:tcBorders>
              <w:top w:val="nil"/>
              <w:left w:val="single" w:sz="4" w:space="0" w:color="auto"/>
              <w:bottom w:val="single" w:sz="4" w:space="0" w:color="auto"/>
              <w:right w:val="single" w:sz="4" w:space="0" w:color="auto"/>
            </w:tcBorders>
            <w:shd w:val="clear" w:color="000000" w:fill="BFBFBF"/>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Medziročná zmena  v %</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 </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 </w:t>
            </w:r>
          </w:p>
        </w:tc>
        <w:tc>
          <w:tcPr>
            <w:tcW w:w="495" w:type="pct"/>
            <w:tcBorders>
              <w:top w:val="nil"/>
              <w:left w:val="nil"/>
              <w:bottom w:val="single" w:sz="4" w:space="0" w:color="auto"/>
              <w:right w:val="single" w:sz="4" w:space="0" w:color="auto"/>
            </w:tcBorders>
            <w:shd w:val="clear" w:color="000000" w:fill="BFBFBF"/>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 </w:t>
            </w:r>
          </w:p>
        </w:tc>
        <w:tc>
          <w:tcPr>
            <w:tcW w:w="495" w:type="pct"/>
            <w:tcBorders>
              <w:top w:val="nil"/>
              <w:left w:val="nil"/>
              <w:bottom w:val="single" w:sz="4" w:space="0" w:color="auto"/>
              <w:right w:val="single" w:sz="4" w:space="0" w:color="auto"/>
            </w:tcBorders>
            <w:shd w:val="clear" w:color="000000" w:fill="C0C0C0"/>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1,88</w:t>
            </w:r>
          </w:p>
        </w:tc>
        <w:tc>
          <w:tcPr>
            <w:tcW w:w="495" w:type="pct"/>
            <w:tcBorders>
              <w:top w:val="nil"/>
              <w:left w:val="nil"/>
              <w:bottom w:val="single" w:sz="4" w:space="0" w:color="auto"/>
              <w:right w:val="single" w:sz="4" w:space="0" w:color="auto"/>
            </w:tcBorders>
            <w:shd w:val="clear" w:color="000000" w:fill="C0C0C0"/>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0,08</w:t>
            </w:r>
          </w:p>
        </w:tc>
        <w:tc>
          <w:tcPr>
            <w:tcW w:w="494" w:type="pct"/>
            <w:tcBorders>
              <w:top w:val="nil"/>
              <w:left w:val="nil"/>
              <w:bottom w:val="single" w:sz="4" w:space="0" w:color="auto"/>
              <w:right w:val="single" w:sz="4" w:space="0" w:color="auto"/>
            </w:tcBorders>
            <w:shd w:val="clear" w:color="000000" w:fill="C0C0C0"/>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-3,12</w:t>
            </w:r>
          </w:p>
        </w:tc>
      </w:tr>
    </w:tbl>
    <w:p w:rsidR="001E5B24" w:rsidP="001E5B24">
      <w:pPr>
        <w:bidi w:val="0"/>
        <w:ind w:firstLine="708"/>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Verejné </w:t>
      </w:r>
      <w:r w:rsidRPr="00BD3310">
        <w:rPr>
          <w:rFonts w:ascii="Arial Narrow" w:hAnsi="Arial Narrow" w:cs="Arial Narrow"/>
          <w:sz w:val="22"/>
          <w:szCs w:val="22"/>
        </w:rPr>
        <w:t xml:space="preserve">výdavky na </w:t>
      </w:r>
      <w:r>
        <w:rPr>
          <w:rFonts w:ascii="Arial Narrow" w:hAnsi="Arial Narrow" w:cs="Arial Narrow"/>
          <w:sz w:val="22"/>
          <w:szCs w:val="22"/>
        </w:rPr>
        <w:t>regionálne školstvo</w:t>
      </w:r>
      <w:r w:rsidRPr="00856CE6">
        <w:rPr>
          <w:rFonts w:ascii="Arial Narrow" w:hAnsi="Arial Narrow" w:cs="Arial Narrow"/>
          <w:sz w:val="22"/>
          <w:szCs w:val="22"/>
        </w:rPr>
        <w:t xml:space="preserve"> v roku 2011 </w:t>
      </w:r>
      <w:r w:rsidRPr="00BD3310">
        <w:rPr>
          <w:rFonts w:ascii="Arial Narrow" w:hAnsi="Arial Narrow" w:cs="Arial Narrow"/>
          <w:sz w:val="22"/>
          <w:szCs w:val="22"/>
        </w:rPr>
        <w:t>rastú</w:t>
      </w:r>
      <w:r w:rsidRPr="00856CE6">
        <w:rPr>
          <w:rFonts w:ascii="Arial Narrow" w:hAnsi="Arial Narrow" w:cs="Arial Narrow"/>
          <w:sz w:val="22"/>
          <w:szCs w:val="22"/>
        </w:rPr>
        <w:t xml:space="preserve"> oproti </w:t>
      </w:r>
      <w:r>
        <w:rPr>
          <w:rFonts w:ascii="Arial Narrow" w:hAnsi="Arial Narrow" w:cs="Arial Narrow"/>
          <w:sz w:val="22"/>
          <w:szCs w:val="22"/>
        </w:rPr>
        <w:t xml:space="preserve">schválenému rozpočtu </w:t>
      </w:r>
      <w:r w:rsidRPr="00856CE6">
        <w:rPr>
          <w:rFonts w:ascii="Arial Narrow" w:hAnsi="Arial Narrow" w:cs="Arial Narrow"/>
          <w:sz w:val="22"/>
          <w:szCs w:val="22"/>
        </w:rPr>
        <w:t xml:space="preserve">roku 2010 </w:t>
      </w:r>
      <w:r w:rsidRPr="00BD3310">
        <w:rPr>
          <w:rFonts w:ascii="Arial Narrow" w:hAnsi="Arial Narrow" w:cs="Arial Narrow"/>
          <w:sz w:val="22"/>
          <w:szCs w:val="22"/>
        </w:rPr>
        <w:t>o</w:t>
      </w:r>
      <w:r>
        <w:rPr>
          <w:rFonts w:ascii="Arial Narrow" w:hAnsi="Arial Narrow" w:cs="Arial Narrow"/>
          <w:sz w:val="22"/>
          <w:szCs w:val="22"/>
        </w:rPr>
        <w:t> 1,88</w:t>
      </w:r>
      <w:r w:rsidRPr="00BD3310">
        <w:rPr>
          <w:rFonts w:ascii="Arial Narrow" w:hAnsi="Arial Narrow" w:cs="Arial Narrow"/>
          <w:sz w:val="22"/>
          <w:szCs w:val="22"/>
        </w:rPr>
        <w:t>%</w:t>
      </w:r>
      <w:r w:rsidRPr="00856CE6">
        <w:rPr>
          <w:rFonts w:ascii="Arial Narrow" w:hAnsi="Arial Narrow" w:cs="Arial Narrow"/>
          <w:b/>
          <w:bCs/>
          <w:sz w:val="22"/>
          <w:szCs w:val="22"/>
        </w:rPr>
        <w:t xml:space="preserve">. </w:t>
      </w:r>
    </w:p>
    <w:p w:rsidR="001E5B24" w:rsidRPr="00856CE6"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Rozpočtované výdavky  </w:t>
      </w:r>
      <w:r w:rsidRPr="00856CE6">
        <w:rPr>
          <w:rFonts w:ascii="Arial Narrow" w:hAnsi="Arial Narrow" w:cs="Arial Narrow"/>
          <w:sz w:val="22"/>
          <w:szCs w:val="22"/>
        </w:rPr>
        <w:t xml:space="preserve">štátneho rozpočtu </w:t>
      </w:r>
      <w:r>
        <w:rPr>
          <w:rFonts w:ascii="Arial Narrow" w:hAnsi="Arial Narrow" w:cs="Arial Narrow"/>
          <w:sz w:val="22"/>
          <w:szCs w:val="22"/>
        </w:rPr>
        <w:t>na rok 2011 rastú oproti schválenému rozpočtu roku 2010</w:t>
      </w:r>
      <w:r w:rsidRPr="00856CE6">
        <w:rPr>
          <w:rFonts w:ascii="Arial Narrow" w:hAnsi="Arial Narrow" w:cs="Arial Narrow"/>
          <w:sz w:val="22"/>
          <w:szCs w:val="22"/>
        </w:rPr>
        <w:t xml:space="preserve">  </w:t>
      </w:r>
      <w:r>
        <w:rPr>
          <w:rFonts w:ascii="Arial Narrow" w:hAnsi="Arial Narrow" w:cs="Arial Narrow"/>
          <w:sz w:val="22"/>
          <w:szCs w:val="22"/>
        </w:rPr>
        <w:t xml:space="preserve">o </w:t>
      </w:r>
      <w:r w:rsidRPr="00856CE6">
        <w:rPr>
          <w:rFonts w:ascii="Arial Narrow" w:hAnsi="Arial Narrow" w:cs="Arial Narrow"/>
          <w:sz w:val="22"/>
          <w:szCs w:val="22"/>
        </w:rPr>
        <w:t>0,96</w:t>
      </w:r>
      <w:r w:rsidRPr="00DB4442">
        <w:rPr>
          <w:rFonts w:ascii="Arial Narrow" w:hAnsi="Arial Narrow" w:cs="Arial Narrow"/>
          <w:bCs/>
          <w:sz w:val="22"/>
          <w:szCs w:val="22"/>
        </w:rPr>
        <w:t>%</w:t>
      </w:r>
      <w:r w:rsidRPr="00DB4442">
        <w:rPr>
          <w:rFonts w:ascii="Arial Narrow" w:hAnsi="Arial Narrow" w:cs="Arial Narrow"/>
          <w:sz w:val="22"/>
          <w:szCs w:val="22"/>
        </w:rPr>
        <w:t>.</w:t>
      </w:r>
      <w:r w:rsidRPr="00856CE6">
        <w:rPr>
          <w:rFonts w:ascii="Arial Narrow" w:hAnsi="Arial Narrow" w:cs="Arial Narrow"/>
          <w:sz w:val="22"/>
          <w:szCs w:val="22"/>
        </w:rPr>
        <w:t xml:space="preserve"> </w:t>
      </w:r>
      <w:r>
        <w:rPr>
          <w:rFonts w:ascii="Arial Narrow" w:hAnsi="Arial Narrow" w:cs="Arial Narrow"/>
          <w:sz w:val="22"/>
          <w:szCs w:val="22"/>
        </w:rPr>
        <w:t>Na z</w:t>
      </w:r>
      <w:r w:rsidRPr="00856CE6">
        <w:rPr>
          <w:rFonts w:ascii="Arial Narrow" w:hAnsi="Arial Narrow" w:cs="Arial Narrow"/>
          <w:sz w:val="22"/>
          <w:szCs w:val="22"/>
        </w:rPr>
        <w:t>výšen</w:t>
      </w:r>
      <w:r>
        <w:rPr>
          <w:rFonts w:ascii="Arial Narrow" w:hAnsi="Arial Narrow" w:cs="Arial Narrow"/>
          <w:sz w:val="22"/>
          <w:szCs w:val="22"/>
        </w:rPr>
        <w:t>í</w:t>
      </w:r>
      <w:r w:rsidRPr="00856CE6">
        <w:rPr>
          <w:rFonts w:ascii="Arial Narrow" w:hAnsi="Arial Narrow" w:cs="Arial Narrow"/>
          <w:sz w:val="22"/>
          <w:szCs w:val="22"/>
        </w:rPr>
        <w:t xml:space="preserve"> výdavkov sa</w:t>
      </w:r>
      <w:r>
        <w:rPr>
          <w:rFonts w:ascii="Arial Narrow" w:hAnsi="Arial Narrow" w:cs="Arial Narrow"/>
          <w:sz w:val="22"/>
          <w:szCs w:val="22"/>
        </w:rPr>
        <w:t xml:space="preserve"> podieľajú</w:t>
      </w:r>
      <w:r w:rsidRPr="00856CE6">
        <w:rPr>
          <w:rFonts w:ascii="Arial Narrow" w:hAnsi="Arial Narrow" w:cs="Arial Narrow"/>
          <w:sz w:val="22"/>
          <w:szCs w:val="22"/>
        </w:rPr>
        <w:t xml:space="preserve"> najmä </w:t>
      </w:r>
      <w:r>
        <w:rPr>
          <w:rFonts w:ascii="Arial Narrow" w:hAnsi="Arial Narrow" w:cs="Arial Narrow"/>
          <w:sz w:val="22"/>
          <w:szCs w:val="22"/>
        </w:rPr>
        <w:t>nenormatívne</w:t>
      </w:r>
      <w:r w:rsidRPr="00856CE6">
        <w:rPr>
          <w:rFonts w:ascii="Arial Narrow" w:hAnsi="Arial Narrow" w:cs="Arial Narrow"/>
          <w:sz w:val="22"/>
          <w:szCs w:val="22"/>
        </w:rPr>
        <w:t xml:space="preserve"> výdavk</w:t>
      </w:r>
      <w:r>
        <w:rPr>
          <w:rFonts w:ascii="Arial Narrow" w:hAnsi="Arial Narrow" w:cs="Arial Narrow"/>
          <w:sz w:val="22"/>
          <w:szCs w:val="22"/>
        </w:rPr>
        <w:t>y</w:t>
      </w:r>
      <w:r w:rsidRPr="00856CE6">
        <w:rPr>
          <w:rFonts w:ascii="Arial Narrow" w:hAnsi="Arial Narrow" w:cs="Arial Narrow"/>
          <w:sz w:val="22"/>
          <w:szCs w:val="22"/>
        </w:rPr>
        <w:t>.</w:t>
      </w:r>
      <w:r>
        <w:rPr>
          <w:rFonts w:ascii="Arial Narrow" w:hAnsi="Arial Narrow" w:cs="Arial Narrow"/>
          <w:sz w:val="22"/>
          <w:szCs w:val="22"/>
        </w:rPr>
        <w:t xml:space="preserve"> </w:t>
      </w:r>
      <w:r w:rsidRPr="00856CE6">
        <w:rPr>
          <w:rFonts w:ascii="Arial Narrow" w:hAnsi="Arial Narrow" w:cs="Arial Narrow"/>
          <w:sz w:val="22"/>
          <w:szCs w:val="22"/>
        </w:rPr>
        <w:t xml:space="preserve">V limite výdavkov sú zabezpečené normatívne výdavky, nenormatívne výdavky, administratívne výdavky na organizácie rezortu, ktoré vykonávajú činnosť súvisiacu s regionálnym školstvom a výdavky na štipendiá. </w:t>
      </w:r>
    </w:p>
    <w:p w:rsidR="001E5B24" w:rsidP="001E5B24">
      <w:pPr>
        <w:bidi w:val="0"/>
        <w:jc w:val="both"/>
        <w:rPr>
          <w:rFonts w:ascii="Arial Narrow" w:hAnsi="Arial Narrow" w:cs="Arial Narrow"/>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904"/>
        <w:gridCol w:w="1040"/>
        <w:gridCol w:w="1040"/>
        <w:gridCol w:w="1040"/>
        <w:gridCol w:w="1039"/>
        <w:gridCol w:w="1039"/>
        <w:gridCol w:w="1040"/>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rPr>
                <w:rFonts w:ascii="Arial Narrow" w:hAnsi="Arial Narrow" w:cs="Arial Narrow"/>
                <w:sz w:val="16"/>
                <w:szCs w:val="16"/>
              </w:rPr>
            </w:pPr>
            <w:r w:rsidRPr="00DD0872">
              <w:rPr>
                <w:rFonts w:ascii="Arial Narrow" w:hAnsi="Arial Narrow" w:cs="Arial Narrow"/>
                <w:sz w:val="16"/>
                <w:szCs w:val="16"/>
              </w:rPr>
              <w:t> </w:t>
            </w:r>
          </w:p>
        </w:tc>
        <w:tc>
          <w:tcPr>
            <w:tcW w:w="57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2008 S</w:t>
            </w:r>
          </w:p>
        </w:tc>
        <w:tc>
          <w:tcPr>
            <w:tcW w:w="57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2009 S</w:t>
            </w:r>
          </w:p>
        </w:tc>
        <w:tc>
          <w:tcPr>
            <w:tcW w:w="57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2010</w:t>
            </w:r>
            <w:r>
              <w:rPr>
                <w:rFonts w:ascii="Arial Narrow" w:hAnsi="Arial Narrow" w:cs="Arial Narrow"/>
                <w:b/>
                <w:bCs/>
                <w:sz w:val="16"/>
                <w:szCs w:val="16"/>
              </w:rPr>
              <w:t xml:space="preserve"> R</w:t>
            </w:r>
          </w:p>
        </w:tc>
        <w:tc>
          <w:tcPr>
            <w:tcW w:w="57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2011</w:t>
            </w:r>
            <w:r>
              <w:rPr>
                <w:rFonts w:ascii="Arial Narrow" w:hAnsi="Arial Narrow" w:cs="Arial Narrow"/>
                <w:b/>
                <w:bCs/>
                <w:sz w:val="16"/>
                <w:szCs w:val="16"/>
              </w:rPr>
              <w:t xml:space="preserve"> N</w:t>
            </w:r>
          </w:p>
        </w:tc>
        <w:tc>
          <w:tcPr>
            <w:tcW w:w="57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2012</w:t>
            </w:r>
            <w:r>
              <w:rPr>
                <w:rFonts w:ascii="Arial Narrow" w:hAnsi="Arial Narrow" w:cs="Arial Narrow"/>
                <w:b/>
                <w:bCs/>
                <w:sz w:val="16"/>
                <w:szCs w:val="16"/>
              </w:rPr>
              <w:t xml:space="preserve"> N</w:t>
            </w:r>
          </w:p>
        </w:tc>
        <w:tc>
          <w:tcPr>
            <w:tcW w:w="57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DD0872" w:rsidP="001E5B24">
            <w:pPr>
              <w:bidi w:val="0"/>
              <w:jc w:val="center"/>
              <w:rPr>
                <w:rFonts w:ascii="Arial Narrow" w:hAnsi="Arial Narrow" w:cs="Arial Narrow"/>
                <w:b/>
                <w:bCs/>
                <w:sz w:val="16"/>
                <w:szCs w:val="16"/>
              </w:rPr>
            </w:pPr>
            <w:r w:rsidRPr="00DD0872">
              <w:rPr>
                <w:rFonts w:ascii="Arial Narrow" w:hAnsi="Arial Narrow" w:cs="Arial Narrow"/>
                <w:b/>
                <w:bCs/>
                <w:sz w:val="16"/>
                <w:szCs w:val="16"/>
              </w:rPr>
              <w:t>2013</w:t>
            </w:r>
            <w:r>
              <w:rPr>
                <w:rFonts w:ascii="Arial Narrow" w:hAnsi="Arial Narrow" w:cs="Arial Narrow"/>
                <w:b/>
                <w:bCs/>
                <w:sz w:val="16"/>
                <w:szCs w:val="16"/>
              </w:rPr>
              <w:t xml:space="preserve"> N</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Počet žiakov v školách</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822 413</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796 578</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783 531</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color w:val="000000"/>
                <w:sz w:val="16"/>
                <w:szCs w:val="16"/>
              </w:rPr>
            </w:pPr>
            <w:r w:rsidRPr="009164A4">
              <w:rPr>
                <w:rFonts w:ascii="Arial Narrow" w:hAnsi="Arial Narrow" w:cs="Arial Narrow"/>
                <w:color w:val="000000"/>
                <w:sz w:val="16"/>
                <w:szCs w:val="16"/>
              </w:rPr>
              <w:t>760 338</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color w:val="000000"/>
                <w:sz w:val="16"/>
                <w:szCs w:val="16"/>
              </w:rPr>
            </w:pPr>
            <w:r w:rsidRPr="009164A4">
              <w:rPr>
                <w:rFonts w:ascii="Arial Narrow" w:hAnsi="Arial Narrow" w:cs="Arial Narrow"/>
                <w:color w:val="000000"/>
                <w:sz w:val="16"/>
                <w:szCs w:val="16"/>
              </w:rPr>
              <w:t>744 856</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color w:val="000000"/>
                <w:sz w:val="16"/>
                <w:szCs w:val="16"/>
              </w:rPr>
            </w:pPr>
            <w:r w:rsidRPr="009164A4">
              <w:rPr>
                <w:rFonts w:ascii="Arial Narrow" w:hAnsi="Arial Narrow" w:cs="Arial Narrow"/>
                <w:color w:val="000000"/>
                <w:sz w:val="16"/>
                <w:szCs w:val="16"/>
              </w:rPr>
              <w:t>729 644</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medziročná zmena v %</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-4,17%</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-3,14%</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-1,64%</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-2,96%</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-2,04%</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-2,04%</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rPr>
                <w:rFonts w:ascii="Arial Narrow" w:hAnsi="Arial Narrow" w:cs="Arial Narrow"/>
                <w:sz w:val="16"/>
                <w:szCs w:val="16"/>
              </w:rPr>
            </w:pPr>
            <w:r w:rsidRPr="0081760C">
              <w:rPr>
                <w:rFonts w:ascii="Arial Narrow" w:hAnsi="Arial Narrow" w:cs="Arial Narrow"/>
                <w:sz w:val="16"/>
                <w:szCs w:val="16"/>
              </w:rPr>
              <w:t>Normatívne výdavky cez MŠVVŠ SR</w:t>
            </w:r>
            <w:r>
              <w:rPr>
                <w:rFonts w:ascii="Arial Narrow" w:hAnsi="Arial Narrow" w:cs="Arial Narrow"/>
                <w:sz w:val="16"/>
                <w:szCs w:val="16"/>
              </w:rPr>
              <w:t xml:space="preserve"> (v tis. eur)</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1 100 351</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1 195 904</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1 204 783</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1 205 000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1 197 502</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81760C" w:rsidP="001E5B24">
            <w:pPr>
              <w:bidi w:val="0"/>
              <w:jc w:val="right"/>
              <w:rPr>
                <w:rFonts w:ascii="Arial Narrow" w:hAnsi="Arial Narrow" w:cs="Arial Narrow"/>
                <w:sz w:val="16"/>
                <w:szCs w:val="16"/>
              </w:rPr>
            </w:pPr>
            <w:r w:rsidRPr="0081760C">
              <w:rPr>
                <w:rFonts w:ascii="Arial Narrow" w:hAnsi="Arial Narrow" w:cs="Arial Narrow"/>
                <w:sz w:val="16"/>
                <w:szCs w:val="16"/>
              </w:rPr>
              <w:t>1 197 502</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Normatív</w:t>
            </w:r>
            <w:r>
              <w:rPr>
                <w:rFonts w:ascii="Arial Narrow" w:hAnsi="Arial Narrow" w:cs="Arial Narrow"/>
                <w:sz w:val="16"/>
                <w:szCs w:val="16"/>
              </w:rPr>
              <w:t xml:space="preserve">ne výdavky </w:t>
            </w:r>
            <w:r w:rsidRPr="009164A4">
              <w:rPr>
                <w:rFonts w:ascii="Arial Narrow" w:hAnsi="Arial Narrow" w:cs="Arial Narrow"/>
                <w:sz w:val="16"/>
                <w:szCs w:val="16"/>
              </w:rPr>
              <w:t xml:space="preserve"> na žiaka</w:t>
            </w:r>
            <w:r>
              <w:rPr>
                <w:rFonts w:ascii="Arial Narrow" w:hAnsi="Arial Narrow" w:cs="Arial Narrow"/>
                <w:sz w:val="16"/>
                <w:szCs w:val="16"/>
              </w:rPr>
              <w:t xml:space="preserve"> v eurách</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1 338,0</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1 501,3</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1 537,6</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1 584,8</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1 607,7</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1 641,2</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medziročná zmena v %</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10,89%</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12,21%</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2,42%</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3,07%</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1,44%</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2,08%</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Počet pedagogických zamestnancov</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66 783</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66 783</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65 000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65 000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65 000</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65 000</w:t>
            </w:r>
          </w:p>
        </w:tc>
      </w:tr>
      <w:tr>
        <w:tblPrEx>
          <w:tblW w:w="4962" w:type="pct"/>
          <w:tblInd w:w="70" w:type="dxa"/>
          <w:tblCellMar>
            <w:left w:w="70" w:type="dxa"/>
            <w:right w:w="70" w:type="dxa"/>
          </w:tblCellMar>
          <w:tblLook w:val="00A0"/>
        </w:tblPrEx>
        <w:trPr>
          <w:trHeight w:val="255"/>
        </w:trPr>
        <w:tc>
          <w:tcPr>
            <w:tcW w:w="1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medziročná zmena v %</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-2,36%</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0,00%</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-2,67%</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0,00%</w:t>
            </w:r>
          </w:p>
        </w:tc>
        <w:tc>
          <w:tcPr>
            <w:tcW w:w="57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0,00%</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0,00%</w:t>
            </w:r>
          </w:p>
        </w:tc>
      </w:tr>
      <w:tr>
        <w:tblPrEx>
          <w:tblW w:w="4962" w:type="pct"/>
          <w:tblInd w:w="70" w:type="dxa"/>
          <w:tblCellMar>
            <w:left w:w="70" w:type="dxa"/>
            <w:right w:w="70" w:type="dxa"/>
          </w:tblCellMar>
          <w:tblLook w:val="00A0"/>
        </w:tblPrEx>
        <w:trPr>
          <w:trHeight w:val="270"/>
        </w:trPr>
        <w:tc>
          <w:tcPr>
            <w:tcW w:w="155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rPr>
                <w:rFonts w:ascii="Arial Narrow" w:hAnsi="Arial Narrow" w:cs="Arial Narrow"/>
                <w:sz w:val="16"/>
                <w:szCs w:val="16"/>
              </w:rPr>
            </w:pPr>
            <w:r w:rsidRPr="009164A4">
              <w:rPr>
                <w:rFonts w:ascii="Arial Narrow" w:hAnsi="Arial Narrow" w:cs="Arial Narrow"/>
                <w:sz w:val="16"/>
                <w:szCs w:val="16"/>
              </w:rPr>
              <w:t>Počet žiakov na 1 učiteľa</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12,31</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11,93</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12,05</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11,70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11,46</w:t>
            </w:r>
          </w:p>
        </w:tc>
        <w:tc>
          <w:tcPr>
            <w:tcW w:w="57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164A4" w:rsidP="001E5B24">
            <w:pPr>
              <w:bidi w:val="0"/>
              <w:jc w:val="right"/>
              <w:rPr>
                <w:rFonts w:ascii="Arial Narrow" w:hAnsi="Arial Narrow" w:cs="Arial Narrow"/>
                <w:sz w:val="16"/>
                <w:szCs w:val="16"/>
              </w:rPr>
            </w:pPr>
            <w:r w:rsidRPr="009164A4">
              <w:rPr>
                <w:rFonts w:ascii="Arial Narrow" w:hAnsi="Arial Narrow" w:cs="Arial Narrow"/>
                <w:sz w:val="16"/>
                <w:szCs w:val="16"/>
              </w:rPr>
              <w:t>11,23</w:t>
            </w:r>
          </w:p>
        </w:tc>
      </w:tr>
    </w:tbl>
    <w:p w:rsidR="001E5B24" w:rsidRPr="00856CE6" w:rsidP="001E5B24">
      <w:pPr>
        <w:bidi w:val="0"/>
        <w:jc w:val="both"/>
        <w:rPr>
          <w:rFonts w:ascii="Arial Narrow" w:hAnsi="Arial Narrow" w:cs="Arial Narrow"/>
          <w:color w:val="000000"/>
          <w:sz w:val="16"/>
          <w:szCs w:val="16"/>
        </w:rPr>
      </w:pPr>
    </w:p>
    <w:p w:rsidR="001E5B24" w:rsidRPr="00856CE6"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Z časového radu uvede</w:t>
      </w:r>
      <w:r>
        <w:rPr>
          <w:rFonts w:ascii="Arial Narrow" w:hAnsi="Arial Narrow" w:cs="Arial Narrow"/>
          <w:sz w:val="22"/>
          <w:szCs w:val="22"/>
        </w:rPr>
        <w:t xml:space="preserve">ného v tabuľke vyplýva, že počet žiakov pripadajúcich na jedného učiteľa </w:t>
      </w:r>
      <w:r w:rsidRPr="00856CE6">
        <w:rPr>
          <w:rFonts w:ascii="Arial Narrow" w:hAnsi="Arial Narrow" w:cs="Arial Narrow"/>
          <w:sz w:val="22"/>
          <w:szCs w:val="22"/>
        </w:rPr>
        <w:t>medzi</w:t>
      </w:r>
      <w:r>
        <w:rPr>
          <w:rFonts w:ascii="Arial Narrow" w:hAnsi="Arial Narrow" w:cs="Arial Narrow"/>
          <w:sz w:val="22"/>
          <w:szCs w:val="22"/>
        </w:rPr>
        <w:t>ročne klesá.</w:t>
      </w:r>
    </w:p>
    <w:p w:rsidR="001E5B24" w:rsidRPr="00856CE6"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 xml:space="preserve">Do výdavkov na </w:t>
      </w:r>
      <w:r>
        <w:rPr>
          <w:rFonts w:ascii="Arial Narrow" w:hAnsi="Arial Narrow" w:cs="Arial Narrow"/>
          <w:sz w:val="22"/>
          <w:szCs w:val="22"/>
        </w:rPr>
        <w:t xml:space="preserve">regionálne školstvo </w:t>
      </w:r>
      <w:r w:rsidRPr="00856CE6">
        <w:rPr>
          <w:rFonts w:ascii="Arial Narrow" w:hAnsi="Arial Narrow" w:cs="Arial Narrow"/>
          <w:sz w:val="22"/>
          <w:szCs w:val="22"/>
        </w:rPr>
        <w:t>okrem výdavkov zo štátneho rozpočtu poskytovaných prostredníctvom MŠ</w:t>
      </w:r>
      <w:r>
        <w:rPr>
          <w:rFonts w:ascii="Arial Narrow" w:hAnsi="Arial Narrow" w:cs="Arial Narrow"/>
          <w:sz w:val="22"/>
          <w:szCs w:val="22"/>
        </w:rPr>
        <w:t>VVŠ</w:t>
      </w:r>
      <w:r w:rsidRPr="00856CE6">
        <w:rPr>
          <w:rFonts w:ascii="Arial Narrow" w:hAnsi="Arial Narrow" w:cs="Arial Narrow"/>
          <w:sz w:val="22"/>
          <w:szCs w:val="22"/>
        </w:rPr>
        <w:t xml:space="preserve"> SR sú zahrnuté tiež výdavky MV SR, ktoré financuje stredné odborné školy v</w:t>
      </w:r>
      <w:r>
        <w:rPr>
          <w:rFonts w:ascii="Arial Narrow" w:hAnsi="Arial Narrow" w:cs="Arial Narrow"/>
          <w:sz w:val="22"/>
          <w:szCs w:val="22"/>
        </w:rPr>
        <w:t>o</w:t>
      </w:r>
      <w:r w:rsidRPr="00856CE6">
        <w:rPr>
          <w:rFonts w:ascii="Arial Narrow" w:hAnsi="Arial Narrow" w:cs="Arial Narrow"/>
          <w:sz w:val="22"/>
          <w:szCs w:val="22"/>
        </w:rPr>
        <w:t> svojej zriaďovateľskej pôsobnosti v sume 9,38 mil. eur a prostriedky štrukturálnych fondov na financovanie infraštruktúry vzdelávania v sume 80,7 mil. eur</w:t>
      </w:r>
    </w:p>
    <w:p w:rsidR="001E5B24" w:rsidP="001E5B24">
      <w:pPr>
        <w:bidi w:val="0"/>
        <w:jc w:val="both"/>
        <w:rPr>
          <w:rFonts w:ascii="Arial" w:hAnsi="Arial" w:cs="Arial"/>
          <w:color w:val="000000"/>
          <w:sz w:val="22"/>
          <w:szCs w:val="22"/>
        </w:rPr>
      </w:pPr>
    </w:p>
    <w:p w:rsidR="001E5B24" w:rsidRPr="00252954" w:rsidP="001E5B24">
      <w:pPr>
        <w:bidi w:val="0"/>
        <w:spacing w:after="200"/>
        <w:jc w:val="both"/>
        <w:rPr>
          <w:rFonts w:ascii="Arial Narrow" w:hAnsi="Arial Narrow" w:cs="Arial Narrow"/>
          <w:sz w:val="22"/>
          <w:szCs w:val="22"/>
        </w:rPr>
      </w:pPr>
      <w:r w:rsidR="00DB4442">
        <w:rPr>
          <w:rFonts w:ascii="Arial Narrow" w:hAnsi="Arial Narrow" w:cs="Arial Narrow"/>
          <w:sz w:val="22"/>
          <w:szCs w:val="22"/>
        </w:rPr>
        <w:br w:type="page"/>
      </w:r>
      <w:r w:rsidRPr="00252954">
        <w:rPr>
          <w:rFonts w:ascii="Arial Narrow" w:hAnsi="Arial Narrow" w:cs="Arial Narrow"/>
          <w:sz w:val="22"/>
          <w:szCs w:val="22"/>
        </w:rPr>
        <w:t>Vysoké školstvo</w:t>
      </w:r>
    </w:p>
    <w:tbl>
      <w:tblPr>
        <w:tblStyle w:val="TableNormal"/>
        <w:tblW w:w="4962" w:type="pct"/>
        <w:tblInd w:w="70" w:type="dxa"/>
        <w:tblCellMar>
          <w:left w:w="70" w:type="dxa"/>
          <w:right w:w="70" w:type="dxa"/>
        </w:tblCellMar>
        <w:tblLook w:val="00A0"/>
      </w:tblPr>
      <w:tblGrid>
        <w:gridCol w:w="3391"/>
        <w:gridCol w:w="958"/>
        <w:gridCol w:w="958"/>
        <w:gridCol w:w="1015"/>
        <w:gridCol w:w="940"/>
        <w:gridCol w:w="940"/>
        <w:gridCol w:w="940"/>
      </w:tblGrid>
      <w:tr>
        <w:tblPrEx>
          <w:tblW w:w="4962" w:type="pct"/>
          <w:tblInd w:w="70" w:type="dxa"/>
          <w:tblCellMar>
            <w:left w:w="70" w:type="dxa"/>
            <w:right w:w="70" w:type="dxa"/>
          </w:tblCellMar>
          <w:tblLook w:val="00A0"/>
        </w:tblPrEx>
        <w:trPr>
          <w:trHeight w:val="255"/>
        </w:trPr>
        <w:tc>
          <w:tcPr>
            <w:tcW w:w="1855"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55"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1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1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1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 xml:space="preserve">Verejné vysoké školy </w:t>
            </w:r>
            <w:r>
              <w:rPr>
                <w:rFonts w:ascii="Arial Narrow" w:hAnsi="Arial Narrow" w:cs="Arial Narrow"/>
                <w:sz w:val="16"/>
                <w:szCs w:val="16"/>
              </w:rPr>
              <w:t>cez MŠVVŠ SR</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431 126</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458 771</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456 176</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432 743</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428 381</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438 054</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 xml:space="preserve">Štipendiá pre zahraničných študentov </w:t>
            </w:r>
            <w:r>
              <w:rPr>
                <w:rFonts w:ascii="Arial Narrow" w:hAnsi="Arial Narrow" w:cs="Arial Narrow"/>
                <w:sz w:val="16"/>
                <w:szCs w:val="16"/>
              </w:rPr>
              <w:t>cez MŠVVŠ SR</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395</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368</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0</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1 265</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1 265</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1 265</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 xml:space="preserve">Prostriedky z APVV a štátne programy </w:t>
            </w:r>
            <w:r>
              <w:rPr>
                <w:rFonts w:ascii="Arial Narrow" w:hAnsi="Arial Narrow" w:cs="Arial Narrow"/>
                <w:sz w:val="16"/>
                <w:szCs w:val="16"/>
              </w:rPr>
              <w:t>cez MŠVVŠ SR</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18 485</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14 924</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0</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0</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0</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Oficiálna rozvojová pomoc</w:t>
            </w:r>
            <w:r>
              <w:rPr>
                <w:rFonts w:ascii="Arial Narrow" w:hAnsi="Arial Narrow" w:cs="Arial Narrow"/>
                <w:sz w:val="16"/>
                <w:szCs w:val="16"/>
              </w:rPr>
              <w:t xml:space="preserve"> cez MŠVVŠ SR</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1 615</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1 912</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1 976</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1 779</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1 779</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1 779</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Vlastné zdroje VVŠ</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100 447</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112 821</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70 338</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110 508</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105 877</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104 797</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Rezortné vysokoškolské vzdelávanie*</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19 314</w:t>
            </w:r>
          </w:p>
        </w:tc>
        <w:tc>
          <w:tcPr>
            <w:tcW w:w="52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24 844</w:t>
            </w:r>
          </w:p>
        </w:tc>
        <w:tc>
          <w:tcPr>
            <w:tcW w:w="555"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27 399</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20 424</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19 707</w:t>
            </w:r>
          </w:p>
        </w:tc>
        <w:tc>
          <w:tcPr>
            <w:tcW w:w="514" w:type="pct"/>
            <w:tcBorders>
              <w:top w:val="nil"/>
              <w:left w:val="nil"/>
              <w:bottom w:val="single" w:sz="4" w:space="0" w:color="auto"/>
              <w:right w:val="single" w:sz="4" w:space="0" w:color="auto"/>
            </w:tcBorders>
            <w:noWrap/>
            <w:textDirection w:val="lrTb"/>
            <w:vAlign w:val="bottom"/>
          </w:tcPr>
          <w:p w:rsidR="001E5B24" w:rsidRPr="00891454" w:rsidP="001E5B24">
            <w:pPr>
              <w:bidi w:val="0"/>
              <w:jc w:val="right"/>
              <w:rPr>
                <w:rFonts w:ascii="Arial Narrow" w:hAnsi="Arial Narrow" w:cs="Arial Narrow"/>
                <w:sz w:val="16"/>
                <w:szCs w:val="16"/>
              </w:rPr>
            </w:pPr>
            <w:r w:rsidRPr="00891454">
              <w:rPr>
                <w:rFonts w:ascii="Arial Narrow" w:hAnsi="Arial Narrow" w:cs="Arial Narrow"/>
                <w:sz w:val="16"/>
                <w:szCs w:val="16"/>
              </w:rPr>
              <w:t>21 582</w:t>
            </w:r>
          </w:p>
        </w:tc>
      </w:tr>
      <w:tr>
        <w:tblPrEx>
          <w:tblW w:w="4962" w:type="pct"/>
          <w:tblInd w:w="70" w:type="dxa"/>
          <w:tblCellMar>
            <w:left w:w="70" w:type="dxa"/>
            <w:right w:w="70" w:type="dxa"/>
          </w:tblCellMar>
          <w:tblLook w:val="00A0"/>
        </w:tblPrEx>
        <w:trPr>
          <w:trHeight w:val="255"/>
        </w:trPr>
        <w:tc>
          <w:tcPr>
            <w:tcW w:w="1855"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891454" w:rsidP="001E5B24">
            <w:pPr>
              <w:bidi w:val="0"/>
              <w:rPr>
                <w:rFonts w:ascii="Arial Narrow" w:hAnsi="Arial Narrow" w:cs="Arial Narrow"/>
                <w:b/>
                <w:bCs/>
                <w:sz w:val="16"/>
                <w:szCs w:val="16"/>
              </w:rPr>
            </w:pPr>
            <w:r w:rsidRPr="00891454">
              <w:rPr>
                <w:rFonts w:ascii="Arial Narrow" w:hAnsi="Arial Narrow" w:cs="Arial Narrow"/>
                <w:b/>
                <w:bCs/>
                <w:sz w:val="16"/>
                <w:szCs w:val="16"/>
              </w:rPr>
              <w:t>Výdavky z verejných zdrojov</w:t>
            </w:r>
          </w:p>
        </w:tc>
        <w:tc>
          <w:tcPr>
            <w:tcW w:w="524"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571 382</w:t>
            </w:r>
          </w:p>
        </w:tc>
        <w:tc>
          <w:tcPr>
            <w:tcW w:w="524"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613 640</w:t>
            </w:r>
          </w:p>
        </w:tc>
        <w:tc>
          <w:tcPr>
            <w:tcW w:w="555"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555 889</w:t>
            </w:r>
          </w:p>
        </w:tc>
        <w:tc>
          <w:tcPr>
            <w:tcW w:w="514"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566 719</w:t>
            </w:r>
          </w:p>
        </w:tc>
        <w:tc>
          <w:tcPr>
            <w:tcW w:w="514"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557 009</w:t>
            </w:r>
          </w:p>
        </w:tc>
        <w:tc>
          <w:tcPr>
            <w:tcW w:w="514"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567 477</w:t>
            </w:r>
          </w:p>
        </w:tc>
      </w:tr>
      <w:tr>
        <w:tblPrEx>
          <w:tblW w:w="4962" w:type="pct"/>
          <w:tblInd w:w="70" w:type="dxa"/>
          <w:tblCellMar>
            <w:left w:w="70" w:type="dxa"/>
            <w:right w:w="70" w:type="dxa"/>
          </w:tblCellMar>
          <w:tblLook w:val="00A0"/>
        </w:tblPrEx>
        <w:trPr>
          <w:trHeight w:val="255"/>
        </w:trPr>
        <w:tc>
          <w:tcPr>
            <w:tcW w:w="185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891454" w:rsidP="001E5B24">
            <w:pPr>
              <w:bidi w:val="0"/>
              <w:rPr>
                <w:rFonts w:ascii="Arial Narrow" w:hAnsi="Arial Narrow" w:cs="Arial Narrow"/>
                <w:sz w:val="16"/>
                <w:szCs w:val="16"/>
              </w:rPr>
            </w:pPr>
            <w:r w:rsidRPr="00891454">
              <w:rPr>
                <w:rFonts w:ascii="Arial Narrow" w:hAnsi="Arial Narrow" w:cs="Arial Narrow"/>
                <w:sz w:val="16"/>
                <w:szCs w:val="16"/>
              </w:rPr>
              <w:t>medziročná zmena v %</w:t>
            </w:r>
          </w:p>
        </w:tc>
        <w:tc>
          <w:tcPr>
            <w:tcW w:w="524"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 </w:t>
            </w:r>
          </w:p>
        </w:tc>
        <w:tc>
          <w:tcPr>
            <w:tcW w:w="524"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 </w:t>
            </w:r>
          </w:p>
        </w:tc>
        <w:tc>
          <w:tcPr>
            <w:tcW w:w="555"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 </w:t>
            </w:r>
          </w:p>
        </w:tc>
        <w:tc>
          <w:tcPr>
            <w:tcW w:w="514"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1,95</w:t>
            </w:r>
          </w:p>
        </w:tc>
        <w:tc>
          <w:tcPr>
            <w:tcW w:w="514"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-1,71</w:t>
            </w:r>
          </w:p>
        </w:tc>
        <w:tc>
          <w:tcPr>
            <w:tcW w:w="514" w:type="pct"/>
            <w:tcBorders>
              <w:top w:val="single" w:sz="4" w:space="0" w:color="auto"/>
              <w:left w:val="nil"/>
              <w:bottom w:val="single" w:sz="4" w:space="0" w:color="auto"/>
              <w:right w:val="single" w:sz="4" w:space="0" w:color="auto"/>
            </w:tcBorders>
            <w:shd w:val="clear" w:color="auto" w:fill="BFBFBF"/>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1,88</w:t>
            </w:r>
          </w:p>
        </w:tc>
      </w:tr>
    </w:tbl>
    <w:p w:rsidR="001E5B24" w:rsidRPr="00856CE6" w:rsidP="001E5B24">
      <w:pPr>
        <w:bidi w:val="0"/>
        <w:rPr>
          <w:rFonts w:ascii="Arial Narrow" w:hAnsi="Arial Narrow" w:cs="Arial Narrow"/>
          <w:sz w:val="16"/>
          <w:szCs w:val="16"/>
        </w:rPr>
      </w:pPr>
      <w:r w:rsidRPr="00856CE6">
        <w:rPr>
          <w:rFonts w:ascii="Arial Narrow" w:hAnsi="Arial Narrow" w:cs="Arial Narrow"/>
          <w:sz w:val="16"/>
          <w:szCs w:val="16"/>
        </w:rPr>
        <w:t>*rezortné vysoké školy: MO SR, MV SR, MZ SR</w:t>
      </w:r>
    </w:p>
    <w:p w:rsidR="001E5B24" w:rsidP="001E5B24">
      <w:pPr>
        <w:bidi w:val="0"/>
        <w:jc w:val="both"/>
        <w:rPr>
          <w:rFonts w:ascii="Arial Narrow" w:hAnsi="Arial Narrow" w:cs="Arial Narrow"/>
          <w:b/>
          <w:bCs/>
          <w:sz w:val="22"/>
          <w:szCs w:val="22"/>
        </w:rPr>
      </w:pPr>
    </w:p>
    <w:p w:rsidR="001E5B24" w:rsidRPr="00856CE6" w:rsidP="001E5B24">
      <w:pPr>
        <w:bidi w:val="0"/>
        <w:ind w:firstLine="708"/>
        <w:jc w:val="both"/>
        <w:rPr>
          <w:rFonts w:ascii="Arial Narrow" w:hAnsi="Arial Narrow" w:cs="Arial Narrow"/>
          <w:sz w:val="22"/>
          <w:szCs w:val="22"/>
        </w:rPr>
      </w:pPr>
      <w:r w:rsidRPr="00386A8C">
        <w:rPr>
          <w:rFonts w:ascii="Arial Narrow" w:hAnsi="Arial Narrow" w:cs="Arial Narrow"/>
          <w:sz w:val="22"/>
          <w:szCs w:val="22"/>
        </w:rPr>
        <w:t>Výdavky vysokých škôl z verejných zdrojov v roku 2011 rastú oproti roku 2010 o 1,95%. Výdavky štátneho rozpočtu poskytované prostredníctvom kapitoly MŠVVŠ SR verejným vysokým školám klesajú o 4,9%.</w:t>
      </w:r>
      <w:r w:rsidRPr="00386A8C">
        <w:rPr>
          <w:rFonts w:ascii="Arial Narrow" w:hAnsi="Arial Narrow" w:cs="Arial Narrow"/>
          <w:b/>
          <w:bCs/>
          <w:sz w:val="22"/>
          <w:szCs w:val="22"/>
        </w:rPr>
        <w:t xml:space="preserve"> </w:t>
      </w:r>
      <w:r w:rsidRPr="00386A8C">
        <w:rPr>
          <w:rFonts w:ascii="Arial Narrow" w:hAnsi="Arial Narrow" w:cs="Arial Narrow"/>
          <w:sz w:val="22"/>
          <w:szCs w:val="22"/>
        </w:rPr>
        <w:t>Verejným vysokým školám bol zvýšený limit pre rok 2010 z priorít o 46,2 mil. eur, z toho 26,9 mil. eur bolo určených na prevádzku verejných vysokých škôl a 19,3 mil. eur na kapitálové transfery, čo nie je premietnuté v ďalších rokoch. V dôsledku premietnutia celoplošného zníženia výdavkov klesajú aj výdavky na rezortné vysoké školstvo o 25,5 %.</w:t>
      </w:r>
      <w:r w:rsidRPr="00856CE6">
        <w:rPr>
          <w:rFonts w:ascii="Arial Narrow" w:hAnsi="Arial Narrow" w:cs="Arial Narrow"/>
          <w:sz w:val="22"/>
          <w:szCs w:val="22"/>
        </w:rPr>
        <w:t xml:space="preserve">  </w:t>
      </w:r>
    </w:p>
    <w:p w:rsidR="001E5B24" w:rsidRPr="00856CE6"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Prostriedky štátneho rozpočtu MŠ</w:t>
      </w:r>
      <w:r>
        <w:rPr>
          <w:rFonts w:ascii="Arial Narrow" w:hAnsi="Arial Narrow" w:cs="Arial Narrow"/>
          <w:sz w:val="22"/>
          <w:szCs w:val="22"/>
        </w:rPr>
        <w:t>VVŠ</w:t>
      </w:r>
      <w:r w:rsidRPr="00856CE6">
        <w:rPr>
          <w:rFonts w:ascii="Arial Narrow" w:hAnsi="Arial Narrow" w:cs="Arial Narrow"/>
          <w:sz w:val="22"/>
          <w:szCs w:val="22"/>
        </w:rPr>
        <w:t xml:space="preserve"> SR rozpočtované </w:t>
      </w:r>
      <w:r>
        <w:rPr>
          <w:rFonts w:ascii="Arial Narrow" w:hAnsi="Arial Narrow" w:cs="Arial Narrow"/>
          <w:sz w:val="22"/>
          <w:szCs w:val="22"/>
        </w:rPr>
        <w:t xml:space="preserve">v programe Vysokoškolské vzdelávanie a veda, sociálna podpora študentov vysokých škôl sú určené </w:t>
      </w:r>
      <w:r w:rsidRPr="00856CE6">
        <w:rPr>
          <w:rFonts w:ascii="Arial Narrow" w:hAnsi="Arial Narrow" w:cs="Arial Narrow"/>
          <w:sz w:val="22"/>
          <w:szCs w:val="22"/>
        </w:rPr>
        <w:t>pre verejné vysoké školy na prevádzku dvadsiatich VVŠ, vysokoškolskú vedu, rozvojové projekty VVŠ</w:t>
      </w:r>
      <w:r w:rsidRPr="00856CE6">
        <w:rPr>
          <w:rFonts w:ascii="Arial Narrow" w:hAnsi="Arial Narrow" w:cs="Arial Narrow"/>
          <w:b/>
          <w:bCs/>
          <w:sz w:val="22"/>
          <w:szCs w:val="22"/>
        </w:rPr>
        <w:t xml:space="preserve"> </w:t>
      </w:r>
      <w:r>
        <w:rPr>
          <w:rFonts w:ascii="Arial Narrow" w:hAnsi="Arial Narrow" w:cs="Arial Narrow"/>
          <w:sz w:val="22"/>
          <w:szCs w:val="22"/>
        </w:rPr>
        <w:t xml:space="preserve">a sociálnu oblasť. </w:t>
      </w:r>
      <w:r w:rsidRPr="00856CE6">
        <w:rPr>
          <w:rFonts w:ascii="Arial Narrow" w:hAnsi="Arial Narrow" w:cs="Arial Narrow"/>
          <w:sz w:val="22"/>
          <w:szCs w:val="22"/>
        </w:rPr>
        <w:t>Slovenská republika sa zaviazala poskytovať oficiálnu rozvojovú pomoc a jednou z foriem je aj podpora štúdia zahraničných študentov na slovenských vysokých školách, ktorá je financovaná</w:t>
      </w:r>
      <w:r>
        <w:rPr>
          <w:rFonts w:ascii="Arial Narrow" w:hAnsi="Arial Narrow" w:cs="Arial Narrow"/>
          <w:sz w:val="22"/>
          <w:szCs w:val="22"/>
        </w:rPr>
        <w:t xml:space="preserve"> formou transferu</w:t>
      </w:r>
      <w:r w:rsidRPr="00856CE6">
        <w:rPr>
          <w:rFonts w:ascii="Arial Narrow" w:hAnsi="Arial Narrow" w:cs="Arial Narrow"/>
          <w:sz w:val="22"/>
          <w:szCs w:val="22"/>
        </w:rPr>
        <w:t xml:space="preserve"> z medzirezortného podprogramu O</w:t>
      </w:r>
      <w:r>
        <w:rPr>
          <w:rFonts w:ascii="Arial Narrow" w:hAnsi="Arial Narrow" w:cs="Arial Narrow"/>
          <w:sz w:val="22"/>
          <w:szCs w:val="22"/>
        </w:rPr>
        <w:t>ficiálna rozvojová pomoc</w:t>
      </w:r>
      <w:r w:rsidRPr="00856CE6">
        <w:rPr>
          <w:rFonts w:ascii="Arial Narrow" w:hAnsi="Arial Narrow" w:cs="Arial Narrow"/>
          <w:sz w:val="22"/>
          <w:szCs w:val="22"/>
        </w:rPr>
        <w:t xml:space="preserve"> v sume 1,78 mil. eur</w:t>
      </w:r>
      <w:r>
        <w:rPr>
          <w:rFonts w:ascii="Arial Narrow" w:hAnsi="Arial Narrow" w:cs="Arial Narrow"/>
          <w:sz w:val="22"/>
          <w:szCs w:val="22"/>
        </w:rPr>
        <w:t>. Zároveň verejné vysoké školy disponujú</w:t>
      </w:r>
      <w:r w:rsidRPr="00856CE6">
        <w:rPr>
          <w:rFonts w:ascii="Arial Narrow" w:hAnsi="Arial Narrow" w:cs="Arial Narrow"/>
          <w:sz w:val="22"/>
          <w:szCs w:val="22"/>
        </w:rPr>
        <w:t xml:space="preserve"> aj vlastn</w:t>
      </w:r>
      <w:r>
        <w:rPr>
          <w:rFonts w:ascii="Arial Narrow" w:hAnsi="Arial Narrow" w:cs="Arial Narrow"/>
          <w:sz w:val="22"/>
          <w:szCs w:val="22"/>
        </w:rPr>
        <w:t>ými</w:t>
      </w:r>
      <w:r w:rsidRPr="00856CE6">
        <w:rPr>
          <w:rFonts w:ascii="Arial Narrow" w:hAnsi="Arial Narrow" w:cs="Arial Narrow"/>
          <w:sz w:val="22"/>
          <w:szCs w:val="22"/>
        </w:rPr>
        <w:t xml:space="preserve"> zdroj</w:t>
      </w:r>
      <w:r>
        <w:rPr>
          <w:rFonts w:ascii="Arial Narrow" w:hAnsi="Arial Narrow" w:cs="Arial Narrow"/>
          <w:sz w:val="22"/>
          <w:szCs w:val="22"/>
        </w:rPr>
        <w:t xml:space="preserve">mi. Rozpočtovaná úroveň vlastných príjmov na rok 2011 </w:t>
      </w:r>
      <w:r w:rsidRPr="00856CE6">
        <w:rPr>
          <w:rFonts w:ascii="Arial Narrow" w:hAnsi="Arial Narrow" w:cs="Arial Narrow"/>
          <w:sz w:val="22"/>
          <w:szCs w:val="22"/>
        </w:rPr>
        <w:t>v</w:t>
      </w:r>
      <w:r>
        <w:rPr>
          <w:rFonts w:ascii="Arial Narrow" w:hAnsi="Arial Narrow" w:cs="Arial Narrow"/>
          <w:sz w:val="22"/>
          <w:szCs w:val="22"/>
        </w:rPr>
        <w:t xml:space="preserve"> sume</w:t>
      </w:r>
      <w:r w:rsidRPr="00856CE6">
        <w:rPr>
          <w:rFonts w:ascii="Arial Narrow" w:hAnsi="Arial Narrow" w:cs="Arial Narrow"/>
          <w:sz w:val="22"/>
          <w:szCs w:val="22"/>
        </w:rPr>
        <w:t xml:space="preserve"> 110 mil. eur</w:t>
      </w:r>
      <w:r>
        <w:rPr>
          <w:rFonts w:ascii="Arial Narrow" w:hAnsi="Arial Narrow" w:cs="Arial Narrow"/>
          <w:sz w:val="22"/>
          <w:szCs w:val="22"/>
        </w:rPr>
        <w:t xml:space="preserve"> je </w:t>
      </w:r>
      <w:r w:rsidRPr="00856CE6">
        <w:rPr>
          <w:rFonts w:ascii="Arial Narrow" w:hAnsi="Arial Narrow" w:cs="Arial Narrow"/>
          <w:sz w:val="22"/>
          <w:szCs w:val="22"/>
        </w:rPr>
        <w:t>zvýšen</w:t>
      </w:r>
      <w:r>
        <w:rPr>
          <w:rFonts w:ascii="Arial Narrow" w:hAnsi="Arial Narrow" w:cs="Arial Narrow"/>
          <w:sz w:val="22"/>
          <w:szCs w:val="22"/>
        </w:rPr>
        <w:t>á</w:t>
      </w:r>
      <w:r w:rsidRPr="00856CE6">
        <w:rPr>
          <w:rFonts w:ascii="Arial Narrow" w:hAnsi="Arial Narrow" w:cs="Arial Narrow"/>
          <w:sz w:val="22"/>
          <w:szCs w:val="22"/>
        </w:rPr>
        <w:t xml:space="preserve"> oproti schválenému rozpočtu </w:t>
      </w:r>
      <w:r>
        <w:rPr>
          <w:rFonts w:ascii="Arial Narrow" w:hAnsi="Arial Narrow" w:cs="Arial Narrow"/>
          <w:sz w:val="22"/>
          <w:szCs w:val="22"/>
        </w:rPr>
        <w:t>na</w:t>
      </w:r>
      <w:r w:rsidRPr="00856CE6">
        <w:rPr>
          <w:rFonts w:ascii="Arial Narrow" w:hAnsi="Arial Narrow" w:cs="Arial Narrow"/>
          <w:sz w:val="22"/>
          <w:szCs w:val="22"/>
        </w:rPr>
        <w:t xml:space="preserve"> rok 2010 o 40,2 mil. eur</w:t>
      </w:r>
      <w:r>
        <w:rPr>
          <w:rFonts w:ascii="Arial Narrow" w:hAnsi="Arial Narrow" w:cs="Arial Narrow"/>
          <w:sz w:val="22"/>
          <w:szCs w:val="22"/>
        </w:rPr>
        <w:t>, čo je približne na úrovni skutočnosti roka 2009</w:t>
      </w:r>
      <w:r w:rsidRPr="00856CE6">
        <w:rPr>
          <w:rFonts w:ascii="Arial Narrow" w:hAnsi="Arial Narrow" w:cs="Arial Narrow"/>
          <w:sz w:val="22"/>
          <w:szCs w:val="22"/>
        </w:rPr>
        <w:t>. Do financovania vysokoškolského vzdelávania sú zahrnuté aj prostriedky štátneho rozpočtu rozpočtované pre tri štátne vysoké školy v zriaďovateľskej pôsobnosti rezortov MO SR, MV SR a MZ SR vykazované v rezortnom vysokoškolskom vzdelávaní</w:t>
      </w:r>
      <w:r>
        <w:rPr>
          <w:rFonts w:ascii="Arial Narrow" w:hAnsi="Arial Narrow" w:cs="Arial Narrow"/>
          <w:sz w:val="22"/>
          <w:szCs w:val="22"/>
        </w:rPr>
        <w:t xml:space="preserve"> v celkovej sume 20,4 mil. eur.</w:t>
      </w:r>
    </w:p>
    <w:p w:rsidR="001E5B24" w:rsidRPr="00856CE6" w:rsidP="001E5B24">
      <w:pPr>
        <w:bidi w:val="0"/>
        <w:jc w:val="both"/>
        <w:rPr>
          <w:rFonts w:ascii="Arial Narrow" w:hAnsi="Arial Narrow" w:cs="Arial Narrow"/>
          <w:sz w:val="22"/>
          <w:szCs w:val="22"/>
        </w:rPr>
      </w:pPr>
    </w:p>
    <w:p w:rsidR="001E5B24" w:rsidRPr="00252954" w:rsidP="001E5B24">
      <w:pPr>
        <w:bidi w:val="0"/>
        <w:spacing w:after="200"/>
        <w:jc w:val="both"/>
        <w:rPr>
          <w:rFonts w:ascii="Arial Narrow" w:hAnsi="Arial Narrow" w:cs="Arial Narrow"/>
          <w:sz w:val="22"/>
          <w:szCs w:val="22"/>
        </w:rPr>
      </w:pPr>
      <w:r w:rsidRPr="00252954">
        <w:rPr>
          <w:rFonts w:ascii="Arial Narrow" w:hAnsi="Arial Narrow" w:cs="Arial Narrow"/>
          <w:sz w:val="22"/>
          <w:szCs w:val="22"/>
        </w:rPr>
        <w:t>Veda a technika</w:t>
      </w: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Verejné </w:t>
      </w:r>
      <w:r w:rsidRPr="00BD3310">
        <w:rPr>
          <w:rFonts w:ascii="Arial Narrow" w:hAnsi="Arial Narrow" w:cs="Arial Narrow"/>
          <w:sz w:val="22"/>
          <w:szCs w:val="22"/>
        </w:rPr>
        <w:t xml:space="preserve"> výdavky na vedu a techniku</w:t>
      </w:r>
      <w:r w:rsidRPr="00856CE6">
        <w:rPr>
          <w:rFonts w:ascii="Arial Narrow" w:hAnsi="Arial Narrow" w:cs="Arial Narrow"/>
          <w:sz w:val="22"/>
          <w:szCs w:val="22"/>
        </w:rPr>
        <w:t xml:space="preserve"> v roku 2011 z verejných zdrojov sa predpokladajú vo výške 4</w:t>
      </w:r>
      <w:r>
        <w:rPr>
          <w:rFonts w:ascii="Arial Narrow" w:hAnsi="Arial Narrow" w:cs="Arial Narrow"/>
          <w:sz w:val="22"/>
          <w:szCs w:val="22"/>
        </w:rPr>
        <w:t>95</w:t>
      </w:r>
      <w:r w:rsidRPr="00856CE6">
        <w:rPr>
          <w:rFonts w:ascii="Arial Narrow" w:hAnsi="Arial Narrow" w:cs="Arial Narrow"/>
          <w:sz w:val="22"/>
          <w:szCs w:val="22"/>
        </w:rPr>
        <w:t xml:space="preserve"> mil. </w:t>
      </w:r>
      <w:r>
        <w:rPr>
          <w:rFonts w:ascii="Arial Narrow" w:hAnsi="Arial Narrow" w:cs="Arial Narrow"/>
          <w:sz w:val="22"/>
          <w:szCs w:val="22"/>
        </w:rPr>
        <w:t>eur</w:t>
      </w:r>
      <w:r w:rsidRPr="00856CE6">
        <w:rPr>
          <w:rFonts w:ascii="Arial Narrow" w:hAnsi="Arial Narrow" w:cs="Arial Narrow"/>
          <w:sz w:val="22"/>
          <w:szCs w:val="22"/>
        </w:rPr>
        <w:t xml:space="preserve">, čo predstavuje </w:t>
      </w:r>
      <w:r w:rsidRPr="00BD3310">
        <w:rPr>
          <w:rFonts w:ascii="Arial Narrow" w:hAnsi="Arial Narrow" w:cs="Arial Narrow"/>
          <w:sz w:val="22"/>
          <w:szCs w:val="22"/>
        </w:rPr>
        <w:t>nárast</w:t>
      </w:r>
      <w:r w:rsidRPr="00856CE6">
        <w:rPr>
          <w:rFonts w:ascii="Arial Narrow" w:hAnsi="Arial Narrow" w:cs="Arial Narrow"/>
          <w:b/>
          <w:bCs/>
          <w:sz w:val="22"/>
          <w:szCs w:val="22"/>
        </w:rPr>
        <w:t xml:space="preserve"> </w:t>
      </w:r>
      <w:r w:rsidRPr="00856CE6">
        <w:rPr>
          <w:rFonts w:ascii="Arial Narrow" w:hAnsi="Arial Narrow" w:cs="Arial Narrow"/>
          <w:sz w:val="22"/>
          <w:szCs w:val="22"/>
        </w:rPr>
        <w:t xml:space="preserve">oproti </w:t>
      </w:r>
      <w:r>
        <w:rPr>
          <w:rFonts w:ascii="Arial Narrow" w:hAnsi="Arial Narrow" w:cs="Arial Narrow"/>
          <w:sz w:val="22"/>
          <w:szCs w:val="22"/>
        </w:rPr>
        <w:t xml:space="preserve">schválenému rozpočtu </w:t>
      </w:r>
      <w:r w:rsidRPr="00856CE6">
        <w:rPr>
          <w:rFonts w:ascii="Arial Narrow" w:hAnsi="Arial Narrow" w:cs="Arial Narrow"/>
          <w:sz w:val="22"/>
          <w:szCs w:val="22"/>
        </w:rPr>
        <w:t xml:space="preserve">roku 2010 </w:t>
      </w:r>
      <w:r w:rsidRPr="00BD3310">
        <w:rPr>
          <w:rFonts w:ascii="Arial Narrow" w:hAnsi="Arial Narrow" w:cs="Arial Narrow"/>
          <w:sz w:val="22"/>
          <w:szCs w:val="22"/>
        </w:rPr>
        <w:t>o</w:t>
      </w:r>
      <w:r>
        <w:rPr>
          <w:rFonts w:ascii="Arial Narrow" w:hAnsi="Arial Narrow" w:cs="Arial Narrow"/>
          <w:sz w:val="22"/>
          <w:szCs w:val="22"/>
        </w:rPr>
        <w:t> 9,</w:t>
      </w:r>
      <w:r w:rsidRPr="00314343">
        <w:rPr>
          <w:rFonts w:ascii="Arial Narrow" w:hAnsi="Arial Narrow" w:cs="Arial Narrow"/>
          <w:sz w:val="22"/>
          <w:szCs w:val="22"/>
        </w:rPr>
        <w:t>14</w:t>
      </w:r>
      <w:r w:rsidRPr="00314343">
        <w:rPr>
          <w:rFonts w:ascii="Arial Narrow" w:hAnsi="Arial Narrow" w:cs="Arial Narrow"/>
          <w:bCs/>
          <w:sz w:val="22"/>
          <w:szCs w:val="22"/>
        </w:rPr>
        <w:t>%</w:t>
      </w:r>
      <w:r w:rsidRPr="00314343">
        <w:rPr>
          <w:rFonts w:ascii="Arial Narrow" w:hAnsi="Arial Narrow" w:cs="Arial Narrow"/>
          <w:sz w:val="22"/>
          <w:szCs w:val="22"/>
        </w:rPr>
        <w:t>.</w:t>
      </w:r>
      <w:r w:rsidRPr="00856CE6">
        <w:rPr>
          <w:rFonts w:ascii="Arial Narrow" w:hAnsi="Arial Narrow" w:cs="Arial Narrow"/>
          <w:sz w:val="22"/>
          <w:szCs w:val="22"/>
        </w:rPr>
        <w:t xml:space="preserve"> Financovanie vedy a techniky v roku 2011 sa v podmienkach Slovenskej republiky realizuje z viacerých verejných zdrojov.</w:t>
      </w:r>
    </w:p>
    <w:p w:rsidR="001E5B24" w:rsidP="001E5B24">
      <w:pPr>
        <w:bidi w:val="0"/>
        <w:ind w:firstLine="708"/>
        <w:jc w:val="both"/>
        <w:rPr>
          <w:rFonts w:ascii="Arial Narrow" w:hAnsi="Arial Narrow" w:cs="Arial Narrow"/>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495"/>
        <w:gridCol w:w="776"/>
        <w:gridCol w:w="776"/>
        <w:gridCol w:w="775"/>
        <w:gridCol w:w="775"/>
        <w:gridCol w:w="775"/>
        <w:gridCol w:w="770"/>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2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both"/>
              <w:rPr>
                <w:rFonts w:ascii="Arial Narrow" w:hAnsi="Arial Narrow" w:cs="Arial Narrow"/>
                <w:sz w:val="16"/>
                <w:szCs w:val="16"/>
              </w:rPr>
            </w:pPr>
            <w:r w:rsidRPr="001A24BB">
              <w:rPr>
                <w:rFonts w:ascii="Arial Narrow" w:hAnsi="Arial Narrow" w:cs="Arial Narrow"/>
                <w:sz w:val="16"/>
                <w:szCs w:val="16"/>
              </w:rPr>
              <w:t>Veda a technika v MŠVVŠ SR</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Pr>
                <w:rFonts w:ascii="Arial Narrow" w:hAnsi="Arial Narrow" w:cs="Arial Narrow"/>
                <w:b/>
                <w:bCs/>
                <w:sz w:val="16"/>
                <w:szCs w:val="16"/>
              </w:rPr>
              <w:t>80</w:t>
            </w:r>
            <w:r w:rsidRPr="001A24BB">
              <w:rPr>
                <w:rFonts w:ascii="Arial Narrow" w:hAnsi="Arial Narrow" w:cs="Arial Narrow"/>
                <w:b/>
                <w:bCs/>
                <w:sz w:val="16"/>
                <w:szCs w:val="16"/>
              </w:rPr>
              <w:t xml:space="preserve"> </w:t>
            </w:r>
            <w:r>
              <w:rPr>
                <w:rFonts w:ascii="Arial Narrow" w:hAnsi="Arial Narrow" w:cs="Arial Narrow"/>
                <w:b/>
                <w:bCs/>
                <w:sz w:val="16"/>
                <w:szCs w:val="16"/>
              </w:rPr>
              <w:t>092</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Pr>
                <w:rFonts w:ascii="Arial Narrow" w:hAnsi="Arial Narrow" w:cs="Arial Narrow"/>
                <w:b/>
                <w:bCs/>
                <w:sz w:val="16"/>
                <w:szCs w:val="16"/>
              </w:rPr>
              <w:t>91</w:t>
            </w:r>
            <w:r w:rsidRPr="001A24BB">
              <w:rPr>
                <w:rFonts w:ascii="Arial Narrow" w:hAnsi="Arial Narrow" w:cs="Arial Narrow"/>
                <w:b/>
                <w:bCs/>
                <w:sz w:val="16"/>
                <w:szCs w:val="16"/>
              </w:rPr>
              <w:t xml:space="preserve"> </w:t>
            </w:r>
            <w:r>
              <w:rPr>
                <w:rFonts w:ascii="Arial Narrow" w:hAnsi="Arial Narrow" w:cs="Arial Narrow"/>
                <w:b/>
                <w:bCs/>
                <w:sz w:val="16"/>
                <w:szCs w:val="16"/>
              </w:rPr>
              <w:t>507</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8</w:t>
            </w:r>
            <w:r>
              <w:rPr>
                <w:rFonts w:ascii="Arial Narrow" w:hAnsi="Arial Narrow" w:cs="Arial Narrow"/>
                <w:b/>
                <w:bCs/>
                <w:sz w:val="16"/>
                <w:szCs w:val="16"/>
              </w:rPr>
              <w:t>7</w:t>
            </w:r>
            <w:r w:rsidRPr="001A24BB">
              <w:rPr>
                <w:rFonts w:ascii="Arial Narrow" w:hAnsi="Arial Narrow" w:cs="Arial Narrow"/>
                <w:b/>
                <w:bCs/>
                <w:sz w:val="16"/>
                <w:szCs w:val="16"/>
              </w:rPr>
              <w:t xml:space="preserve"> </w:t>
            </w:r>
            <w:r>
              <w:rPr>
                <w:rFonts w:ascii="Arial Narrow" w:hAnsi="Arial Narrow" w:cs="Arial Narrow"/>
                <w:b/>
                <w:bCs/>
                <w:sz w:val="16"/>
                <w:szCs w:val="16"/>
              </w:rPr>
              <w:t>119</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76 031</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73 501</w:t>
            </w:r>
          </w:p>
        </w:tc>
        <w:tc>
          <w:tcPr>
            <w:tcW w:w="42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73 501</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rPr>
                <w:rFonts w:ascii="Arial Narrow" w:hAnsi="Arial Narrow" w:cs="Arial Narrow"/>
                <w:sz w:val="16"/>
                <w:szCs w:val="16"/>
              </w:rPr>
            </w:pPr>
            <w:r w:rsidRPr="001A24BB">
              <w:rPr>
                <w:rFonts w:ascii="Arial Narrow" w:hAnsi="Arial Narrow" w:cs="Arial Narrow"/>
                <w:sz w:val="16"/>
                <w:szCs w:val="16"/>
              </w:rPr>
              <w:t>Prostriedky  EÚ a spolufinancovanie  zo ŠR v MŠVVŠ SR</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809</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52 691</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239 828</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299 881</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202 675</w:t>
            </w:r>
          </w:p>
        </w:tc>
        <w:tc>
          <w:tcPr>
            <w:tcW w:w="42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209 792</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rPr>
                <w:rFonts w:ascii="Arial Narrow" w:hAnsi="Arial Narrow" w:cs="Arial Narrow"/>
                <w:sz w:val="16"/>
                <w:szCs w:val="16"/>
              </w:rPr>
            </w:pPr>
            <w:r w:rsidRPr="001A24BB">
              <w:rPr>
                <w:rFonts w:ascii="Arial Narrow" w:hAnsi="Arial Narrow" w:cs="Arial Narrow"/>
                <w:sz w:val="16"/>
                <w:szCs w:val="16"/>
              </w:rPr>
              <w:t>Časť miezd pedagogických pracovníkov VŠ</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c>
          <w:tcPr>
            <w:tcW w:w="42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33 194</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rPr>
                <w:rFonts w:ascii="Arial Narrow" w:hAnsi="Arial Narrow" w:cs="Arial Narrow"/>
                <w:sz w:val="16"/>
                <w:szCs w:val="16"/>
              </w:rPr>
            </w:pPr>
            <w:r>
              <w:rPr>
                <w:rFonts w:ascii="Arial Narrow" w:hAnsi="Arial Narrow" w:cs="Arial Narrow"/>
                <w:sz w:val="16"/>
                <w:szCs w:val="16"/>
              </w:rPr>
              <w:t>Členské príspevky medzinárodným</w:t>
            </w:r>
            <w:r w:rsidRPr="001A24BB">
              <w:rPr>
                <w:rFonts w:ascii="Arial Narrow" w:hAnsi="Arial Narrow" w:cs="Arial Narrow"/>
                <w:sz w:val="16"/>
                <w:szCs w:val="16"/>
              </w:rPr>
              <w:t xml:space="preserve"> organizác</w:t>
            </w:r>
            <w:r>
              <w:rPr>
                <w:rFonts w:ascii="Arial Narrow" w:hAnsi="Arial Narrow" w:cs="Arial Narrow"/>
                <w:sz w:val="16"/>
                <w:szCs w:val="16"/>
              </w:rPr>
              <w:t>iám</w:t>
            </w:r>
            <w:r w:rsidRPr="001A24BB">
              <w:rPr>
                <w:rFonts w:ascii="Arial Narrow" w:hAnsi="Arial Narrow" w:cs="Arial Narrow"/>
                <w:sz w:val="16"/>
                <w:szCs w:val="16"/>
              </w:rPr>
              <w:t xml:space="preserve"> v MŠVVŠ SR</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6 532</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7 035</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7 657</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10 223</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10 223</w:t>
            </w:r>
          </w:p>
        </w:tc>
        <w:tc>
          <w:tcPr>
            <w:tcW w:w="42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10 223</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rPr>
                <w:rFonts w:ascii="Arial Narrow" w:hAnsi="Arial Narrow" w:cs="Arial Narrow"/>
                <w:sz w:val="16"/>
                <w:szCs w:val="16"/>
              </w:rPr>
            </w:pPr>
            <w:r w:rsidRPr="001A24BB">
              <w:rPr>
                <w:rFonts w:ascii="Arial Narrow" w:hAnsi="Arial Narrow" w:cs="Arial Narrow"/>
                <w:sz w:val="16"/>
                <w:szCs w:val="16"/>
              </w:rPr>
              <w:t>Slovenská akadémia vied</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59 798</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67 995</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62 672</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56 363</w:t>
            </w:r>
          </w:p>
        </w:tc>
        <w:tc>
          <w:tcPr>
            <w:tcW w:w="42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55 428</w:t>
            </w:r>
          </w:p>
        </w:tc>
        <w:tc>
          <w:tcPr>
            <w:tcW w:w="42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55 260</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rPr>
                <w:rFonts w:ascii="Arial Narrow" w:hAnsi="Arial Narrow" w:cs="Arial Narrow"/>
                <w:sz w:val="16"/>
                <w:szCs w:val="16"/>
              </w:rPr>
            </w:pPr>
            <w:r w:rsidRPr="001A24BB">
              <w:rPr>
                <w:rFonts w:ascii="Arial Narrow" w:hAnsi="Arial Narrow" w:cs="Arial Narrow"/>
                <w:sz w:val="16"/>
                <w:szCs w:val="16"/>
              </w:rPr>
              <w:t xml:space="preserve">Rezortná veda </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32 185</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29 850</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22 820</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19 022</w:t>
            </w:r>
          </w:p>
        </w:tc>
        <w:tc>
          <w:tcPr>
            <w:tcW w:w="42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19 001</w:t>
            </w:r>
          </w:p>
        </w:tc>
        <w:tc>
          <w:tcPr>
            <w:tcW w:w="42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A24BB" w:rsidP="001E5B24">
            <w:pPr>
              <w:bidi w:val="0"/>
              <w:jc w:val="right"/>
              <w:rPr>
                <w:rFonts w:ascii="Arial Narrow" w:hAnsi="Arial Narrow" w:cs="Arial Narrow"/>
                <w:sz w:val="16"/>
                <w:szCs w:val="16"/>
              </w:rPr>
            </w:pPr>
            <w:r w:rsidRPr="001A24BB">
              <w:rPr>
                <w:rFonts w:ascii="Arial Narrow" w:hAnsi="Arial Narrow" w:cs="Arial Narrow"/>
                <w:sz w:val="16"/>
                <w:szCs w:val="16"/>
              </w:rPr>
              <w:t>19 081</w:t>
            </w:r>
          </w:p>
        </w:tc>
      </w:tr>
      <w:tr>
        <w:tblPrEx>
          <w:tblW w:w="4962" w:type="pct"/>
          <w:tblInd w:w="70" w:type="dxa"/>
          <w:tblCellMar>
            <w:left w:w="70" w:type="dxa"/>
            <w:right w:w="70" w:type="dxa"/>
          </w:tblCellMar>
          <w:tblLook w:val="00A0"/>
        </w:tblPrEx>
        <w:trPr>
          <w:trHeight w:val="255"/>
        </w:trPr>
        <w:tc>
          <w:tcPr>
            <w:tcW w:w="245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rPr>
                <w:rFonts w:ascii="Arial Narrow" w:hAnsi="Arial Narrow" w:cs="Arial Narrow"/>
                <w:b/>
                <w:bCs/>
                <w:sz w:val="16"/>
                <w:szCs w:val="16"/>
              </w:rPr>
            </w:pPr>
            <w:r w:rsidRPr="001A24BB">
              <w:rPr>
                <w:rFonts w:ascii="Arial Narrow" w:hAnsi="Arial Narrow" w:cs="Arial Narrow"/>
                <w:b/>
                <w:bCs/>
                <w:sz w:val="16"/>
                <w:szCs w:val="16"/>
              </w:rPr>
              <w:t>Výdavky na vedy a techniku celkom</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210 742</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280 647</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451 764</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494 713</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394 021</w:t>
            </w:r>
          </w:p>
        </w:tc>
        <w:tc>
          <w:tcPr>
            <w:tcW w:w="4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401 051</w:t>
            </w:r>
          </w:p>
        </w:tc>
      </w:tr>
      <w:tr>
        <w:tblPrEx>
          <w:tblW w:w="4962" w:type="pct"/>
          <w:tblInd w:w="70" w:type="dxa"/>
          <w:tblCellMar>
            <w:left w:w="70" w:type="dxa"/>
            <w:right w:w="70" w:type="dxa"/>
          </w:tblCellMar>
          <w:tblLook w:val="00A0"/>
        </w:tblPrEx>
        <w:trPr>
          <w:trHeight w:val="270"/>
        </w:trPr>
        <w:tc>
          <w:tcPr>
            <w:tcW w:w="245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rPr>
                <w:rFonts w:ascii="Arial Narrow" w:hAnsi="Arial Narrow" w:cs="Arial Narrow"/>
                <w:b/>
                <w:bCs/>
                <w:sz w:val="16"/>
                <w:szCs w:val="16"/>
              </w:rPr>
            </w:pPr>
            <w:r w:rsidRPr="001A24BB">
              <w:rPr>
                <w:rFonts w:ascii="Arial Narrow" w:hAnsi="Arial Narrow" w:cs="Arial Narrow"/>
                <w:b/>
                <w:bCs/>
                <w:sz w:val="16"/>
                <w:szCs w:val="16"/>
              </w:rPr>
              <w:t>Podiel na HDP</w:t>
            </w:r>
          </w:p>
        </w:tc>
        <w:tc>
          <w:tcPr>
            <w:tcW w:w="42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0,42%</w:t>
            </w:r>
          </w:p>
        </w:tc>
        <w:tc>
          <w:tcPr>
            <w:tcW w:w="42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0,58%</w:t>
            </w:r>
          </w:p>
        </w:tc>
        <w:tc>
          <w:tcPr>
            <w:tcW w:w="42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0,90%</w:t>
            </w:r>
          </w:p>
        </w:tc>
        <w:tc>
          <w:tcPr>
            <w:tcW w:w="42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0,96%</w:t>
            </w:r>
          </w:p>
        </w:tc>
        <w:tc>
          <w:tcPr>
            <w:tcW w:w="42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0,73%</w:t>
            </w:r>
          </w:p>
        </w:tc>
        <w:tc>
          <w:tcPr>
            <w:tcW w:w="42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1A24BB" w:rsidP="001E5B24">
            <w:pPr>
              <w:bidi w:val="0"/>
              <w:jc w:val="right"/>
              <w:rPr>
                <w:rFonts w:ascii="Arial Narrow" w:hAnsi="Arial Narrow" w:cs="Arial Narrow"/>
                <w:b/>
                <w:bCs/>
                <w:sz w:val="16"/>
                <w:szCs w:val="16"/>
              </w:rPr>
            </w:pPr>
            <w:r w:rsidRPr="001A24BB">
              <w:rPr>
                <w:rFonts w:ascii="Arial Narrow" w:hAnsi="Arial Narrow" w:cs="Arial Narrow"/>
                <w:b/>
                <w:bCs/>
                <w:sz w:val="16"/>
                <w:szCs w:val="16"/>
              </w:rPr>
              <w:t>0,71%</w:t>
            </w:r>
          </w:p>
        </w:tc>
      </w:tr>
    </w:tbl>
    <w:p w:rsidR="001E5B24" w:rsidP="001E5B24">
      <w:pPr>
        <w:bidi w:val="0"/>
        <w:jc w:val="both"/>
        <w:rPr>
          <w:rFonts w:ascii="Arial Narrow" w:hAnsi="Arial Narrow" w:cs="Arial Narrow"/>
          <w:sz w:val="22"/>
          <w:szCs w:val="22"/>
        </w:rPr>
      </w:pPr>
    </w:p>
    <w:p w:rsidR="001E5B24" w:rsidRPr="00856CE6" w:rsidP="001E5B24">
      <w:pPr>
        <w:bidi w:val="0"/>
        <w:jc w:val="both"/>
        <w:rPr>
          <w:rFonts w:ascii="Arial Narrow" w:hAnsi="Arial Narrow" w:cs="Arial Narrow"/>
          <w:sz w:val="16"/>
          <w:szCs w:val="16"/>
        </w:rPr>
      </w:pPr>
    </w:p>
    <w:p w:rsidR="001E5B24" w:rsidRPr="00BD3310"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Výdavky M</w:t>
      </w:r>
      <w:r>
        <w:rPr>
          <w:rFonts w:ascii="Arial Narrow" w:hAnsi="Arial Narrow" w:cs="Arial Narrow"/>
          <w:sz w:val="22"/>
          <w:szCs w:val="22"/>
        </w:rPr>
        <w:t>ŠVVŠ</w:t>
      </w:r>
      <w:r w:rsidRPr="00856CE6">
        <w:rPr>
          <w:rFonts w:ascii="Arial Narrow" w:hAnsi="Arial Narrow" w:cs="Arial Narrow"/>
          <w:sz w:val="22"/>
          <w:szCs w:val="22"/>
        </w:rPr>
        <w:t xml:space="preserve"> SR na vedu a techniku tvoria najvýznamnejšiu položku výdavkov na vedu a techniku. Tieto výdavky sú tvorené hlavne výdavkami na podporu </w:t>
      </w:r>
      <w:r w:rsidRPr="00BD3310">
        <w:rPr>
          <w:rFonts w:ascii="Arial Narrow" w:hAnsi="Arial Narrow" w:cs="Arial Narrow"/>
          <w:sz w:val="22"/>
          <w:szCs w:val="22"/>
        </w:rPr>
        <w:t>vysokoškolskej vedy a techniky, výdavkami na projekty financované prostredníctvom A</w:t>
      </w:r>
      <w:r>
        <w:rPr>
          <w:rFonts w:ascii="Arial Narrow" w:hAnsi="Arial Narrow" w:cs="Arial Narrow"/>
          <w:sz w:val="22"/>
          <w:szCs w:val="22"/>
        </w:rPr>
        <w:t>gentúry na podporu vedy a výskumu</w:t>
      </w:r>
      <w:r w:rsidRPr="00BD3310">
        <w:rPr>
          <w:rFonts w:ascii="Arial Narrow" w:hAnsi="Arial Narrow" w:cs="Arial Narrow"/>
          <w:sz w:val="22"/>
          <w:szCs w:val="22"/>
        </w:rPr>
        <w:t>, mzdovými výdavkami na pedagogických pracovníkov vysokých škôl</w:t>
      </w:r>
      <w:r w:rsidRPr="00856CE6">
        <w:rPr>
          <w:rFonts w:ascii="Arial Narrow" w:hAnsi="Arial Narrow" w:cs="Arial Narrow"/>
          <w:sz w:val="22"/>
          <w:szCs w:val="22"/>
        </w:rPr>
        <w:t>, ktorých pracovnou náplňou je okrem pedagogickej činnosti aj vedecká činnosť (300 – 500 hodín vedeckej činnosti ročne). To znamená, že približne jedna pätina celkových mzdových nákladov pedagogických pracovníkov vysokých škôl smeruje taktiež do oblasti vedy a techniky. Úroveň týchto výdavkov pre rok 2011 je</w:t>
      </w:r>
      <w:r w:rsidRPr="00856CE6">
        <w:rPr>
          <w:rFonts w:ascii="Arial Narrow" w:hAnsi="Arial Narrow" w:cs="Arial Narrow"/>
          <w:b/>
          <w:bCs/>
          <w:sz w:val="22"/>
          <w:szCs w:val="22"/>
        </w:rPr>
        <w:t xml:space="preserve"> </w:t>
      </w:r>
      <w:r w:rsidRPr="00BD3310">
        <w:rPr>
          <w:rFonts w:ascii="Arial Narrow" w:hAnsi="Arial Narrow" w:cs="Arial Narrow"/>
          <w:sz w:val="22"/>
          <w:szCs w:val="22"/>
        </w:rPr>
        <w:t xml:space="preserve">približne rovnaká ako v roku 2010. </w:t>
      </w:r>
    </w:p>
    <w:p w:rsidR="001E5B24" w:rsidRPr="00856CE6"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7E6EF6">
        <w:rPr>
          <w:rFonts w:ascii="Arial Narrow" w:hAnsi="Arial Narrow" w:cs="Arial Narrow"/>
          <w:sz w:val="22"/>
          <w:szCs w:val="22"/>
        </w:rPr>
        <w:t xml:space="preserve">Agentúra na podporu výskumu a vývoja predstavuje druhú najvýznamnejšiu položku výdavkov na vedu a techniku z ministerstva školstva. Úlohou agentúry je podpora projektov výskumu a vývoja. Výdavky na </w:t>
      </w:r>
      <w:r>
        <w:rPr>
          <w:rFonts w:ascii="Arial Narrow" w:hAnsi="Arial Narrow" w:cs="Arial Narrow"/>
          <w:sz w:val="22"/>
          <w:szCs w:val="22"/>
        </w:rPr>
        <w:t>projekty agentúry</w:t>
      </w:r>
      <w:r w:rsidRPr="007E6EF6">
        <w:rPr>
          <w:rFonts w:ascii="Arial Narrow" w:hAnsi="Arial Narrow" w:cs="Arial Narrow"/>
          <w:sz w:val="22"/>
          <w:szCs w:val="22"/>
        </w:rPr>
        <w:t xml:space="preserve"> oproti </w:t>
      </w:r>
      <w:r>
        <w:rPr>
          <w:rFonts w:ascii="Arial Narrow" w:hAnsi="Arial Narrow" w:cs="Arial Narrow"/>
          <w:sz w:val="22"/>
          <w:szCs w:val="22"/>
        </w:rPr>
        <w:t>schválenému rozpočtu na rok</w:t>
      </w:r>
      <w:r w:rsidRPr="007E6EF6">
        <w:rPr>
          <w:rFonts w:ascii="Arial Narrow" w:hAnsi="Arial Narrow" w:cs="Arial Narrow"/>
          <w:sz w:val="22"/>
          <w:szCs w:val="22"/>
        </w:rPr>
        <w:t xml:space="preserve"> 2010 klesajú </w:t>
      </w:r>
      <w:r>
        <w:rPr>
          <w:rFonts w:ascii="Arial Narrow" w:hAnsi="Arial Narrow" w:cs="Arial Narrow"/>
          <w:sz w:val="22"/>
          <w:szCs w:val="22"/>
        </w:rPr>
        <w:t xml:space="preserve">o </w:t>
      </w:r>
      <w:r w:rsidRPr="007E6EF6">
        <w:rPr>
          <w:rFonts w:ascii="Arial Narrow" w:hAnsi="Arial Narrow" w:cs="Arial Narrow"/>
          <w:sz w:val="22"/>
          <w:szCs w:val="22"/>
        </w:rPr>
        <w:t>37,7%, čo predstavuje pokles výdavkov o 11,6 mil. eur. Na druhej strane sú v rozpočte kapitoly na rok 2011 zabezpečené výdavky na investičné stimuly v sume 9,4 mil. eur.</w:t>
      </w:r>
      <w:r>
        <w:rPr>
          <w:rFonts w:ascii="Arial Narrow" w:hAnsi="Arial Narrow" w:cs="Arial Narrow"/>
          <w:sz w:val="22"/>
          <w:szCs w:val="22"/>
        </w:rPr>
        <w:t xml:space="preserve"> </w:t>
      </w:r>
    </w:p>
    <w:p w:rsidR="001E5B24" w:rsidRPr="00856CE6" w:rsidP="001E5B24">
      <w:pPr>
        <w:bidi w:val="0"/>
        <w:jc w:val="both"/>
        <w:rPr>
          <w:rFonts w:ascii="Arial Narrow" w:hAnsi="Arial Narrow" w:cs="Arial Narrow"/>
          <w:sz w:val="22"/>
          <w:szCs w:val="22"/>
          <w:highlight w:val="yellow"/>
        </w:rPr>
      </w:pPr>
    </w:p>
    <w:p w:rsidR="001E5B24" w:rsidRPr="00EC4E10" w:rsidP="001E5B24">
      <w:pPr>
        <w:bidi w:val="0"/>
        <w:ind w:firstLine="708"/>
        <w:jc w:val="both"/>
        <w:rPr>
          <w:rFonts w:ascii="Arial Narrow" w:hAnsi="Arial Narrow" w:cs="Arial Narrow"/>
          <w:sz w:val="22"/>
          <w:szCs w:val="22"/>
        </w:rPr>
      </w:pPr>
      <w:r w:rsidRPr="00EC4E10">
        <w:rPr>
          <w:rFonts w:ascii="Arial Narrow" w:hAnsi="Arial Narrow" w:cs="Arial Narrow"/>
          <w:sz w:val="22"/>
          <w:szCs w:val="22"/>
        </w:rPr>
        <w:t>Neposledným významným zdrojom financovania vedy a techniky z verejných zdrojov v kapitole MŠVVŠ SR sú aj finančné zdroje zo štrukturálnych fondov EÚ z druhého programového obdobia, ktoré predstavujú sumu vo výške 300 mil. eur. Nárast týchto zdrojov oproti schválenému rozpočtu roku 2010 predstavuje 25 %, čo vyplýva z vyššej alokácie celkových zdrojov štrukturálnych fondov vrátane spolufinancovania.</w:t>
      </w:r>
      <w:r w:rsidRPr="00EC4E10">
        <w:rPr>
          <w:rFonts w:ascii="Arial Narrow" w:hAnsi="Arial Narrow"/>
          <w:sz w:val="22"/>
          <w:szCs w:val="22"/>
        </w:rPr>
        <w:t xml:space="preserve"> Tieto sú určené najmä na financovanie výskumu a vývoja realizovaného vysokými školami, výskumnými ústavmi (SAV)  a podnikateľským sektorom p</w:t>
      </w:r>
      <w:r>
        <w:rPr>
          <w:rFonts w:ascii="Arial Narrow" w:hAnsi="Arial Narrow"/>
          <w:sz w:val="22"/>
          <w:szCs w:val="22"/>
        </w:rPr>
        <w:t>ôsobiacim</w:t>
      </w:r>
      <w:r w:rsidRPr="00EC4E10">
        <w:rPr>
          <w:rFonts w:ascii="Arial Narrow" w:hAnsi="Arial Narrow"/>
          <w:sz w:val="22"/>
          <w:szCs w:val="22"/>
        </w:rPr>
        <w:t xml:space="preserve"> v tejto oblasti</w:t>
      </w:r>
      <w:r>
        <w:rPr>
          <w:rFonts w:ascii="Arial Narrow" w:hAnsi="Arial Narrow"/>
          <w:sz w:val="22"/>
          <w:szCs w:val="22"/>
        </w:rPr>
        <w:t>.</w:t>
      </w:r>
    </w:p>
    <w:p w:rsidR="001E5B24" w:rsidRPr="00856CE6" w:rsidP="001E5B24">
      <w:pPr>
        <w:bidi w:val="0"/>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BD3310">
        <w:rPr>
          <w:rFonts w:ascii="Arial Narrow" w:hAnsi="Arial Narrow" w:cs="Arial Narrow"/>
          <w:sz w:val="22"/>
          <w:szCs w:val="22"/>
        </w:rPr>
        <w:t>Slovenská akadémia vied</w:t>
      </w:r>
      <w:r w:rsidRPr="00856CE6">
        <w:rPr>
          <w:rFonts w:ascii="Arial Narrow" w:hAnsi="Arial Narrow" w:cs="Arial Narrow"/>
          <w:sz w:val="22"/>
          <w:szCs w:val="22"/>
        </w:rPr>
        <w:t xml:space="preserve"> ako najvýznamnejší predstaviteľ základného výskumu v Slovenskej republike predstavuje druhú najväčšiu položku na celkovej sume výdavkov na základný výskum a to 56,3 mil. eur. </w:t>
      </w:r>
      <w:r w:rsidRPr="00BD3310">
        <w:rPr>
          <w:rFonts w:ascii="Arial Narrow" w:hAnsi="Arial Narrow" w:cs="Arial Narrow"/>
          <w:sz w:val="22"/>
          <w:szCs w:val="22"/>
        </w:rPr>
        <w:t xml:space="preserve">Pokles </w:t>
      </w:r>
      <w:r w:rsidRPr="00856CE6">
        <w:rPr>
          <w:rFonts w:ascii="Arial Narrow" w:hAnsi="Arial Narrow" w:cs="Arial Narrow"/>
          <w:sz w:val="22"/>
          <w:szCs w:val="22"/>
        </w:rPr>
        <w:t xml:space="preserve">výdavkov SAV roku 2011 oproti roku 2010 je vo výške </w:t>
      </w:r>
      <w:r w:rsidRPr="00BD3310">
        <w:rPr>
          <w:rFonts w:ascii="Arial Narrow" w:hAnsi="Arial Narrow" w:cs="Arial Narrow"/>
          <w:sz w:val="22"/>
          <w:szCs w:val="22"/>
        </w:rPr>
        <w:t>10,1</w:t>
      </w:r>
      <w:r w:rsidRPr="00856CE6">
        <w:rPr>
          <w:rFonts w:ascii="Arial Narrow" w:hAnsi="Arial Narrow" w:cs="Arial Narrow"/>
          <w:b/>
          <w:bCs/>
          <w:sz w:val="22"/>
          <w:szCs w:val="22"/>
        </w:rPr>
        <w:t xml:space="preserve"> </w:t>
      </w:r>
      <w:r w:rsidRPr="00DB4442">
        <w:rPr>
          <w:rFonts w:ascii="Arial Narrow" w:hAnsi="Arial Narrow" w:cs="Arial Narrow"/>
          <w:bCs/>
          <w:sz w:val="22"/>
          <w:szCs w:val="22"/>
        </w:rPr>
        <w:t>%</w:t>
      </w:r>
      <w:r w:rsidRPr="00DB4442">
        <w:rPr>
          <w:rFonts w:ascii="Arial Narrow" w:hAnsi="Arial Narrow" w:cs="Arial Narrow"/>
          <w:sz w:val="22"/>
          <w:szCs w:val="22"/>
        </w:rPr>
        <w:t xml:space="preserve">. </w:t>
      </w:r>
    </w:p>
    <w:p w:rsidR="001E5B24" w:rsidRPr="00AA2E9B" w:rsidP="001E5B24">
      <w:pPr>
        <w:bidi w:val="0"/>
        <w:jc w:val="both"/>
        <w:rPr>
          <w:rFonts w:ascii="Arial" w:hAnsi="Arial" w:cs="Arial"/>
          <w:b/>
          <w:bCs/>
          <w:sz w:val="22"/>
          <w:szCs w:val="22"/>
        </w:rPr>
      </w:pPr>
      <w:r w:rsidRPr="00AA2E9B">
        <w:rPr>
          <w:rFonts w:ascii="Arial" w:hAnsi="Arial" w:cs="Arial"/>
          <w:b/>
          <w:bCs/>
          <w:sz w:val="22"/>
          <w:szCs w:val="22"/>
        </w:rPr>
        <w:t xml:space="preserve">  </w:t>
      </w:r>
    </w:p>
    <w:p w:rsidR="001E5B24" w:rsidRPr="00BD3310" w:rsidP="001E5B24">
      <w:pPr>
        <w:bidi w:val="0"/>
        <w:spacing w:after="200"/>
        <w:jc w:val="both"/>
        <w:rPr>
          <w:rFonts w:ascii="Arial Narrow" w:hAnsi="Arial Narrow" w:cs="Arial Narrow"/>
          <w:sz w:val="22"/>
          <w:szCs w:val="22"/>
        </w:rPr>
      </w:pPr>
      <w:r w:rsidRPr="00252954">
        <w:rPr>
          <w:rFonts w:ascii="Arial Narrow" w:hAnsi="Arial Narrow" w:cs="Arial Narrow"/>
          <w:sz w:val="22"/>
          <w:szCs w:val="22"/>
        </w:rPr>
        <w:t>Šport</w:t>
      </w: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Celkové </w:t>
      </w:r>
      <w:r w:rsidRPr="00BD3310">
        <w:rPr>
          <w:rFonts w:ascii="Arial Narrow" w:hAnsi="Arial Narrow" w:cs="Arial Narrow"/>
          <w:sz w:val="22"/>
          <w:szCs w:val="22"/>
        </w:rPr>
        <w:t xml:space="preserve">výdavky </w:t>
      </w:r>
      <w:r>
        <w:rPr>
          <w:rFonts w:ascii="Arial Narrow" w:hAnsi="Arial Narrow" w:cs="Arial Narrow"/>
          <w:sz w:val="22"/>
          <w:szCs w:val="22"/>
        </w:rPr>
        <w:t xml:space="preserve">kapitoly MŠVVŠ SR </w:t>
      </w:r>
      <w:r w:rsidRPr="00BD3310">
        <w:rPr>
          <w:rFonts w:ascii="Arial Narrow" w:hAnsi="Arial Narrow" w:cs="Arial Narrow"/>
          <w:sz w:val="22"/>
          <w:szCs w:val="22"/>
        </w:rPr>
        <w:t>na podporu športu</w:t>
      </w:r>
      <w:r w:rsidRPr="00856CE6">
        <w:rPr>
          <w:rFonts w:ascii="Arial Narrow" w:hAnsi="Arial Narrow" w:cs="Arial Narrow"/>
          <w:sz w:val="22"/>
          <w:szCs w:val="22"/>
        </w:rPr>
        <w:t xml:space="preserve"> v roku 2011 oproti</w:t>
      </w:r>
      <w:r>
        <w:rPr>
          <w:rFonts w:ascii="Arial Narrow" w:hAnsi="Arial Narrow" w:cs="Arial Narrow"/>
          <w:sz w:val="22"/>
          <w:szCs w:val="22"/>
        </w:rPr>
        <w:t xml:space="preserve"> schválenému rozpočtu </w:t>
      </w:r>
      <w:r w:rsidRPr="00856CE6">
        <w:rPr>
          <w:rFonts w:ascii="Arial Narrow" w:hAnsi="Arial Narrow" w:cs="Arial Narrow"/>
          <w:sz w:val="22"/>
          <w:szCs w:val="22"/>
        </w:rPr>
        <w:t xml:space="preserve"> roku 2010 </w:t>
      </w:r>
      <w:r>
        <w:rPr>
          <w:rFonts w:ascii="Arial Narrow" w:hAnsi="Arial Narrow" w:cs="Arial Narrow"/>
          <w:sz w:val="22"/>
          <w:szCs w:val="22"/>
        </w:rPr>
        <w:t xml:space="preserve">klesajú </w:t>
      </w:r>
      <w:r w:rsidRPr="00AD2521">
        <w:rPr>
          <w:rFonts w:ascii="Arial Narrow" w:hAnsi="Arial Narrow" w:cs="Arial Narrow"/>
          <w:sz w:val="22"/>
          <w:szCs w:val="22"/>
        </w:rPr>
        <w:t>o</w:t>
      </w:r>
      <w:r>
        <w:rPr>
          <w:rFonts w:ascii="Arial Narrow" w:hAnsi="Arial Narrow" w:cs="Arial Narrow"/>
          <w:sz w:val="22"/>
          <w:szCs w:val="22"/>
        </w:rPr>
        <w:t> </w:t>
      </w:r>
      <w:r w:rsidRPr="00AD2521">
        <w:rPr>
          <w:rFonts w:ascii="Arial Narrow" w:hAnsi="Arial Narrow" w:cs="Arial Narrow"/>
          <w:sz w:val="22"/>
          <w:szCs w:val="22"/>
        </w:rPr>
        <w:t>4</w:t>
      </w:r>
      <w:r>
        <w:rPr>
          <w:rFonts w:ascii="Arial Narrow" w:hAnsi="Arial Narrow" w:cs="Arial Narrow"/>
          <w:sz w:val="22"/>
          <w:szCs w:val="22"/>
        </w:rPr>
        <w:t>3,2</w:t>
      </w:r>
      <w:r w:rsidRPr="00AD2521">
        <w:rPr>
          <w:rFonts w:ascii="Arial Narrow" w:hAnsi="Arial Narrow" w:cs="Arial Narrow"/>
          <w:sz w:val="22"/>
          <w:szCs w:val="22"/>
        </w:rPr>
        <w:t xml:space="preserve"> mil. </w:t>
      </w:r>
      <w:r>
        <w:rPr>
          <w:rFonts w:ascii="Arial Narrow" w:hAnsi="Arial Narrow" w:cs="Arial Narrow"/>
          <w:sz w:val="22"/>
          <w:szCs w:val="22"/>
        </w:rPr>
        <w:t xml:space="preserve">eur </w:t>
      </w:r>
      <w:r w:rsidR="007C7DA8">
        <w:rPr>
          <w:rFonts w:ascii="Arial Narrow" w:hAnsi="Arial Narrow" w:cs="Arial Narrow"/>
          <w:sz w:val="22"/>
          <w:szCs w:val="22"/>
        </w:rPr>
        <w:t>t. j.</w:t>
      </w:r>
      <w:r w:rsidRPr="00AD2521">
        <w:rPr>
          <w:rFonts w:ascii="Arial Narrow" w:hAnsi="Arial Narrow" w:cs="Arial Narrow"/>
          <w:sz w:val="22"/>
          <w:szCs w:val="22"/>
        </w:rPr>
        <w:t xml:space="preserve"> </w:t>
      </w:r>
      <w:r>
        <w:rPr>
          <w:rFonts w:ascii="Arial Narrow" w:hAnsi="Arial Narrow" w:cs="Arial Narrow"/>
          <w:sz w:val="22"/>
          <w:szCs w:val="22"/>
        </w:rPr>
        <w:t xml:space="preserve">o </w:t>
      </w:r>
      <w:r w:rsidRPr="00AD2521">
        <w:rPr>
          <w:rFonts w:ascii="Arial Narrow" w:hAnsi="Arial Narrow" w:cs="Arial Narrow"/>
          <w:sz w:val="22"/>
          <w:szCs w:val="22"/>
        </w:rPr>
        <w:t>5</w:t>
      </w:r>
      <w:r>
        <w:rPr>
          <w:rFonts w:ascii="Arial Narrow" w:hAnsi="Arial Narrow" w:cs="Arial Narrow"/>
          <w:sz w:val="22"/>
          <w:szCs w:val="22"/>
        </w:rPr>
        <w:t>1</w:t>
      </w:r>
      <w:r w:rsidRPr="00AD2521">
        <w:rPr>
          <w:rFonts w:ascii="Arial Narrow" w:hAnsi="Arial Narrow" w:cs="Arial Narrow"/>
          <w:sz w:val="22"/>
          <w:szCs w:val="22"/>
        </w:rPr>
        <w:t>,</w:t>
      </w:r>
      <w:r>
        <w:rPr>
          <w:rFonts w:ascii="Arial Narrow" w:hAnsi="Arial Narrow" w:cs="Arial Narrow"/>
          <w:sz w:val="22"/>
          <w:szCs w:val="22"/>
        </w:rPr>
        <w:t>0</w:t>
      </w:r>
      <w:r w:rsidRPr="00AD2521">
        <w:rPr>
          <w:rFonts w:ascii="Arial Narrow" w:hAnsi="Arial Narrow" w:cs="Arial Narrow"/>
          <w:sz w:val="22"/>
          <w:szCs w:val="22"/>
        </w:rPr>
        <w:t xml:space="preserve"> %. Dôvodom medziročnej zmeny výdavkov na šport je najmä nerozpočtovanie výdavkov na</w:t>
      </w:r>
      <w:r w:rsidRPr="00856CE6">
        <w:rPr>
          <w:rFonts w:ascii="Arial Narrow" w:hAnsi="Arial Narrow" w:cs="Arial Narrow"/>
          <w:sz w:val="22"/>
          <w:szCs w:val="22"/>
        </w:rPr>
        <w:t xml:space="preserve"> financovanie výstavby futbalového štadióna pre potreby športovej reprezentácie SR </w:t>
      </w:r>
      <w:r>
        <w:rPr>
          <w:rFonts w:ascii="Arial Narrow" w:hAnsi="Arial Narrow" w:cs="Arial Narrow"/>
          <w:sz w:val="22"/>
          <w:szCs w:val="22"/>
        </w:rPr>
        <w:t xml:space="preserve">v roku </w:t>
      </w:r>
      <w:r w:rsidRPr="00856CE6">
        <w:rPr>
          <w:rFonts w:ascii="Arial Narrow" w:hAnsi="Arial Narrow" w:cs="Arial Narrow"/>
          <w:sz w:val="22"/>
          <w:szCs w:val="22"/>
        </w:rPr>
        <w:t xml:space="preserve">2011 v sume 27,6 mil. </w:t>
      </w:r>
      <w:r>
        <w:rPr>
          <w:rFonts w:ascii="Arial Narrow" w:hAnsi="Arial Narrow" w:cs="Arial Narrow"/>
          <w:sz w:val="22"/>
          <w:szCs w:val="22"/>
        </w:rPr>
        <w:t>eur</w:t>
      </w:r>
      <w:r w:rsidRPr="00856CE6">
        <w:rPr>
          <w:rFonts w:ascii="Arial Narrow" w:hAnsi="Arial Narrow" w:cs="Arial Narrow"/>
          <w:sz w:val="22"/>
          <w:szCs w:val="22"/>
        </w:rPr>
        <w:t xml:space="preserve">. Zároveň bude dofinancovaná rekonštrukcia Zimného štadióna Ondreja Nepelu v roku 2011 v sume 14,0 mil. eur, ktorý bude využitý pri organizovaní Majstrovstiev sveta v ľadovom hokeji v roku 2011 v Slovenskej republike. </w:t>
      </w:r>
      <w:r>
        <w:rPr>
          <w:rFonts w:ascii="Arial Narrow" w:hAnsi="Arial Narrow" w:cs="Arial Narrow"/>
          <w:sz w:val="22"/>
          <w:szCs w:val="22"/>
        </w:rPr>
        <w:t xml:space="preserve">Po odpočítaní výdavkov určených na infraštruktúru v športe v roku 2011 dochádza k poklesu oproti schválenému rozpočtu roku 2010 o 3,1 mil. eur, </w:t>
      </w:r>
      <w:r w:rsidR="007C7DA8">
        <w:rPr>
          <w:rFonts w:ascii="Arial Narrow" w:hAnsi="Arial Narrow" w:cs="Arial Narrow"/>
          <w:sz w:val="22"/>
          <w:szCs w:val="22"/>
        </w:rPr>
        <w:t>t. j.</w:t>
      </w:r>
      <w:r>
        <w:rPr>
          <w:rFonts w:ascii="Arial Narrow" w:hAnsi="Arial Narrow" w:cs="Arial Narrow"/>
          <w:sz w:val="22"/>
          <w:szCs w:val="22"/>
        </w:rPr>
        <w:t xml:space="preserve"> o 10 %.</w:t>
      </w:r>
    </w:p>
    <w:p w:rsidR="001E5B24" w:rsidP="001E5B24">
      <w:pPr>
        <w:bidi w:val="0"/>
        <w:ind w:firstLine="708"/>
        <w:jc w:val="both"/>
        <w:rPr>
          <w:rFonts w:ascii="Arial Narrow" w:hAnsi="Arial Narrow" w:cs="Arial Narrow"/>
          <w:sz w:val="22"/>
          <w:szCs w:val="22"/>
        </w:rPr>
      </w:pPr>
    </w:p>
    <w:tbl>
      <w:tblPr>
        <w:tblStyle w:val="TableNormal"/>
        <w:tblW w:w="9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000"/>
        <w:gridCol w:w="1020"/>
        <w:gridCol w:w="1020"/>
        <w:gridCol w:w="1020"/>
        <w:gridCol w:w="1020"/>
        <w:gridCol w:w="1020"/>
        <w:gridCol w:w="1020"/>
      </w:tblGrid>
      <w:tr>
        <w:tblPrEx>
          <w:tblW w:w="9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70"/>
        </w:trPr>
        <w:tc>
          <w:tcPr>
            <w:tcW w:w="30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20" w:type="dxa"/>
          <w:tblInd w:w="60" w:type="dxa"/>
          <w:tblLayout w:type="fixed"/>
          <w:tblCellMar>
            <w:left w:w="70" w:type="dxa"/>
            <w:right w:w="70" w:type="dxa"/>
          </w:tblCellMar>
          <w:tblLook w:val="00A0"/>
        </w:tblPrEx>
        <w:trPr>
          <w:trHeight w:val="270"/>
        </w:trPr>
        <w:tc>
          <w:tcPr>
            <w:tcW w:w="30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rPr>
                <w:rFonts w:ascii="Arial Narrow" w:hAnsi="Arial Narrow" w:cs="Arial Narrow"/>
                <w:b/>
                <w:bCs/>
                <w:color w:val="000000"/>
                <w:sz w:val="16"/>
                <w:szCs w:val="16"/>
              </w:rPr>
            </w:pPr>
            <w:r w:rsidRPr="00C73FEC">
              <w:rPr>
                <w:rFonts w:ascii="Arial Narrow" w:hAnsi="Arial Narrow" w:cs="Arial Narrow"/>
                <w:b/>
                <w:bCs/>
                <w:color w:val="000000"/>
                <w:sz w:val="16"/>
                <w:szCs w:val="16"/>
              </w:rPr>
              <w:t>Ministerstvo školstva SR</w:t>
            </w:r>
            <w:r>
              <w:rPr>
                <w:rFonts w:ascii="Arial Narrow" w:hAnsi="Arial Narrow" w:cs="Arial Narrow"/>
                <w:b/>
                <w:bCs/>
                <w:color w:val="000000"/>
                <w:sz w:val="16"/>
                <w:szCs w:val="16"/>
              </w:rPr>
              <w:t>, z toho:</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36 038</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39 606</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84 712</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41 479</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27 458</w:t>
            </w:r>
          </w:p>
        </w:tc>
        <w:tc>
          <w:tcPr>
            <w:tcW w:w="10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C73FEC" w:rsidP="001E5B24">
            <w:pPr>
              <w:bidi w:val="0"/>
              <w:jc w:val="right"/>
              <w:rPr>
                <w:rFonts w:ascii="Arial Narrow" w:hAnsi="Arial Narrow" w:cs="Arial Narrow"/>
                <w:b/>
                <w:bCs/>
                <w:color w:val="000000"/>
                <w:sz w:val="16"/>
                <w:szCs w:val="16"/>
              </w:rPr>
            </w:pPr>
            <w:r w:rsidRPr="00C73FEC">
              <w:rPr>
                <w:rFonts w:ascii="Arial Narrow" w:hAnsi="Arial Narrow" w:cs="Arial Narrow"/>
                <w:b/>
                <w:bCs/>
                <w:color w:val="000000"/>
                <w:sz w:val="16"/>
                <w:szCs w:val="16"/>
              </w:rPr>
              <w:t>27 458</w:t>
            </w:r>
          </w:p>
        </w:tc>
      </w:tr>
      <w:tr>
        <w:tblPrEx>
          <w:tblW w:w="9120" w:type="dxa"/>
          <w:tblInd w:w="60" w:type="dxa"/>
          <w:tblLayout w:type="fixed"/>
          <w:tblCellMar>
            <w:left w:w="70" w:type="dxa"/>
            <w:right w:w="70" w:type="dxa"/>
          </w:tblCellMar>
          <w:tblLook w:val="00A0"/>
        </w:tblPrEx>
        <w:trPr>
          <w:trHeight w:val="270"/>
        </w:trPr>
        <w:tc>
          <w:tcPr>
            <w:tcW w:w="30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C73FEC" w:rsidP="001E5B24">
            <w:pPr>
              <w:bidi w:val="0"/>
              <w:rPr>
                <w:rFonts w:ascii="Arial Narrow" w:hAnsi="Arial Narrow" w:cs="Arial Narrow"/>
                <w:color w:val="000000"/>
                <w:sz w:val="16"/>
                <w:szCs w:val="16"/>
              </w:rPr>
            </w:pPr>
            <w:r w:rsidRPr="00C73FEC">
              <w:rPr>
                <w:rFonts w:ascii="Arial Narrow" w:hAnsi="Arial Narrow" w:cs="Arial Narrow"/>
                <w:color w:val="000000"/>
                <w:sz w:val="16"/>
                <w:szCs w:val="16"/>
              </w:rPr>
              <w:t>futbalový štadión</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 </w:t>
            </w:r>
            <w:r>
              <w:rPr>
                <w:rFonts w:ascii="Arial Narrow" w:hAnsi="Arial Narrow" w:cs="Arial Narrow"/>
                <w:color w:val="000000"/>
                <w:sz w:val="16"/>
                <w:szCs w:val="16"/>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r w:rsidRPr="00C73FEC">
              <w:rPr>
                <w:rFonts w:ascii="Arial Narrow" w:hAnsi="Arial Narrow" w:cs="Arial Narrow"/>
                <w:color w:val="000000"/>
                <w:sz w:val="16"/>
                <w:szCs w:val="16"/>
              </w:rPr>
              <w:t> </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sz w:val="16"/>
                <w:szCs w:val="16"/>
              </w:rPr>
            </w:pPr>
            <w:r w:rsidRPr="00C73FEC">
              <w:rPr>
                <w:rFonts w:ascii="Arial Narrow" w:hAnsi="Arial Narrow" w:cs="Arial Narrow"/>
                <w:sz w:val="16"/>
                <w:szCs w:val="16"/>
              </w:rPr>
              <w:t>27 648</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0</w:t>
            </w:r>
          </w:p>
        </w:tc>
      </w:tr>
      <w:tr>
        <w:tblPrEx>
          <w:tblW w:w="9120" w:type="dxa"/>
          <w:tblInd w:w="60" w:type="dxa"/>
          <w:tblLayout w:type="fixed"/>
          <w:tblCellMar>
            <w:left w:w="70" w:type="dxa"/>
            <w:right w:w="70" w:type="dxa"/>
          </w:tblCellMar>
          <w:tblLook w:val="00A0"/>
        </w:tblPrEx>
        <w:trPr>
          <w:trHeight w:val="270"/>
        </w:trPr>
        <w:tc>
          <w:tcPr>
            <w:tcW w:w="30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C73FEC" w:rsidP="001E5B24">
            <w:pPr>
              <w:bidi w:val="0"/>
              <w:rPr>
                <w:rFonts w:ascii="Arial Narrow" w:hAnsi="Arial Narrow" w:cs="Arial Narrow"/>
                <w:color w:val="000000"/>
                <w:sz w:val="16"/>
                <w:szCs w:val="16"/>
              </w:rPr>
            </w:pPr>
            <w:r w:rsidRPr="00C73FEC">
              <w:rPr>
                <w:rFonts w:ascii="Arial Narrow" w:hAnsi="Arial Narrow" w:cs="Arial Narrow"/>
                <w:color w:val="000000"/>
                <w:sz w:val="16"/>
                <w:szCs w:val="16"/>
              </w:rPr>
              <w:t>hokejový štadión</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 </w:t>
            </w:r>
            <w:r>
              <w:rPr>
                <w:rFonts w:ascii="Arial Narrow" w:hAnsi="Arial Narrow" w:cs="Arial Narrow"/>
                <w:color w:val="000000"/>
                <w:sz w:val="16"/>
                <w:szCs w:val="16"/>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r w:rsidRPr="00C73FEC">
              <w:rPr>
                <w:rFonts w:ascii="Arial Narrow" w:hAnsi="Arial Narrow" w:cs="Arial Narrow"/>
                <w:color w:val="000000"/>
                <w:sz w:val="16"/>
                <w:szCs w:val="16"/>
              </w:rPr>
              <w:t> </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sz w:val="16"/>
                <w:szCs w:val="16"/>
              </w:rPr>
            </w:pPr>
            <w:r w:rsidRPr="00C73FEC">
              <w:rPr>
                <w:rFonts w:ascii="Arial Narrow" w:hAnsi="Arial Narrow" w:cs="Arial Narrow"/>
                <w:sz w:val="16"/>
                <w:szCs w:val="16"/>
              </w:rPr>
              <w:t>26 555</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sz w:val="16"/>
                <w:szCs w:val="16"/>
              </w:rPr>
            </w:pPr>
            <w:r w:rsidRPr="00C73FEC">
              <w:rPr>
                <w:rFonts w:ascii="Arial Narrow" w:hAnsi="Arial Narrow" w:cs="Arial Narrow"/>
                <w:sz w:val="16"/>
                <w:szCs w:val="16"/>
              </w:rPr>
              <w:t>14 021</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0</w:t>
            </w:r>
          </w:p>
        </w:tc>
        <w:tc>
          <w:tcPr>
            <w:tcW w:w="10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0</w:t>
            </w:r>
          </w:p>
        </w:tc>
      </w:tr>
      <w:tr>
        <w:tblPrEx>
          <w:tblW w:w="9120" w:type="dxa"/>
          <w:tblInd w:w="60" w:type="dxa"/>
          <w:tblLayout w:type="fixed"/>
          <w:tblCellMar>
            <w:left w:w="70" w:type="dxa"/>
            <w:right w:w="70" w:type="dxa"/>
          </w:tblCellMar>
          <w:tblLook w:val="00A0"/>
        </w:tblPrEx>
        <w:trPr>
          <w:trHeight w:val="270"/>
        </w:trPr>
        <w:tc>
          <w:tcPr>
            <w:tcW w:w="300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rPr>
                <w:rFonts w:ascii="Arial Narrow" w:hAnsi="Arial Narrow" w:cs="Arial Narrow"/>
                <w:color w:val="000000"/>
                <w:sz w:val="16"/>
                <w:szCs w:val="16"/>
              </w:rPr>
            </w:pPr>
            <w:r w:rsidRPr="00C73FEC">
              <w:rPr>
                <w:rFonts w:ascii="Arial Narrow" w:hAnsi="Arial Narrow" w:cs="Arial Narrow"/>
                <w:color w:val="000000"/>
                <w:sz w:val="16"/>
                <w:szCs w:val="16"/>
              </w:rPr>
              <w:t>výdavky na podporu športu</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36 038</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39 606</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30 509</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27 458</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27 458</w:t>
            </w:r>
          </w:p>
        </w:tc>
        <w:tc>
          <w:tcPr>
            <w:tcW w:w="102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C73FEC" w:rsidP="001E5B24">
            <w:pPr>
              <w:bidi w:val="0"/>
              <w:jc w:val="right"/>
              <w:rPr>
                <w:rFonts w:ascii="Arial Narrow" w:hAnsi="Arial Narrow" w:cs="Arial Narrow"/>
                <w:color w:val="000000"/>
                <w:sz w:val="16"/>
                <w:szCs w:val="16"/>
              </w:rPr>
            </w:pPr>
            <w:r w:rsidRPr="00C73FEC">
              <w:rPr>
                <w:rFonts w:ascii="Arial Narrow" w:hAnsi="Arial Narrow" w:cs="Arial Narrow"/>
                <w:color w:val="000000"/>
                <w:sz w:val="16"/>
                <w:szCs w:val="16"/>
              </w:rPr>
              <w:t>27 458</w:t>
            </w:r>
          </w:p>
        </w:tc>
      </w:tr>
    </w:tbl>
    <w:p w:rsidR="001E5B24" w:rsidRPr="00856CE6"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893237">
        <w:rPr>
          <w:rFonts w:ascii="Arial Narrow" w:hAnsi="Arial Narrow" w:cs="Arial Narrow"/>
          <w:sz w:val="22"/>
          <w:szCs w:val="22"/>
        </w:rPr>
        <w:t>Administratíva</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4256"/>
        <w:gridCol w:w="812"/>
        <w:gridCol w:w="826"/>
        <w:gridCol w:w="812"/>
        <w:gridCol w:w="814"/>
        <w:gridCol w:w="814"/>
        <w:gridCol w:w="808"/>
      </w:tblGrid>
      <w:tr>
        <w:tblPrEx>
          <w:tblW w:w="4962" w:type="pct"/>
          <w:tblInd w:w="70" w:type="dxa"/>
          <w:tblCellMar>
            <w:left w:w="70" w:type="dxa"/>
            <w:right w:w="70" w:type="dxa"/>
          </w:tblCellMar>
          <w:tblLook w:val="00A0"/>
        </w:tblPrEx>
        <w:trPr>
          <w:trHeight w:val="270"/>
        </w:trPr>
        <w:tc>
          <w:tcPr>
            <w:tcW w:w="2328"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44"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5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44"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45"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45"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44"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Tvorba a implementácia politík</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23 358</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28 263</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19 666</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19 555</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20 123</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20 123</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Hospodárska mobilizácia</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6</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8</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6</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6</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6</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Podpora detí a mládeže</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4 083</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3 879</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3 662</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2 804</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2 801</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2 801</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OP Vzdelávanie</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1 157</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33 341</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104 923</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143 835</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154 624</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131 914</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OP Výskum a vývoj</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4 193</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33 996</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37 797</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42 677</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 xml:space="preserve">Rezerva na Koordinácia prierezových aktivít </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4 900</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2 738</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2 738</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2 738</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 xml:space="preserve">Ľudské zdroje - aktívna politika trhu práce a zvýšenie zamestnateľnosti </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3 301</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2 770</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940CA7" w:rsidP="001E5B24">
            <w:pPr>
              <w:bidi w:val="0"/>
              <w:rPr>
                <w:rFonts w:ascii="Arial Narrow" w:hAnsi="Arial Narrow" w:cs="Arial Narrow"/>
                <w:b/>
                <w:bCs/>
                <w:sz w:val="16"/>
                <w:szCs w:val="16"/>
              </w:rPr>
            </w:pPr>
            <w:r w:rsidRPr="00940CA7">
              <w:rPr>
                <w:rFonts w:ascii="Arial Narrow" w:hAnsi="Arial Narrow" w:cs="Arial Narrow"/>
                <w:b/>
                <w:bCs/>
                <w:sz w:val="16"/>
                <w:szCs w:val="16"/>
              </w:rPr>
              <w:t>Inštitucionálne podpora spolu</w:t>
            </w:r>
          </w:p>
        </w:tc>
        <w:tc>
          <w:tcPr>
            <w:tcW w:w="444"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31 906</w:t>
            </w:r>
          </w:p>
        </w:tc>
        <w:tc>
          <w:tcPr>
            <w:tcW w:w="452"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68 256</w:t>
            </w:r>
          </w:p>
        </w:tc>
        <w:tc>
          <w:tcPr>
            <w:tcW w:w="444"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137 352</w:t>
            </w:r>
          </w:p>
        </w:tc>
        <w:tc>
          <w:tcPr>
            <w:tcW w:w="445"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202 934</w:t>
            </w:r>
          </w:p>
        </w:tc>
        <w:tc>
          <w:tcPr>
            <w:tcW w:w="445"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218 089</w:t>
            </w:r>
          </w:p>
        </w:tc>
        <w:tc>
          <w:tcPr>
            <w:tcW w:w="444" w:type="pct"/>
            <w:tcBorders>
              <w:top w:val="nil"/>
              <w:left w:val="nil"/>
              <w:bottom w:val="single" w:sz="4" w:space="0" w:color="auto"/>
              <w:right w:val="single" w:sz="4" w:space="0" w:color="auto"/>
            </w:tcBorders>
            <w:shd w:val="clear" w:color="000000" w:fill="BFBFBF"/>
            <w:noWrap/>
            <w:textDirection w:val="lrTb"/>
            <w:vAlign w:val="bottom"/>
          </w:tcPr>
          <w:p w:rsidR="001E5B24" w:rsidRPr="00940CA7" w:rsidP="001E5B24">
            <w:pPr>
              <w:bidi w:val="0"/>
              <w:jc w:val="right"/>
              <w:rPr>
                <w:rFonts w:ascii="Arial Narrow" w:hAnsi="Arial Narrow" w:cs="Arial Narrow"/>
                <w:b/>
                <w:bCs/>
                <w:sz w:val="16"/>
                <w:szCs w:val="16"/>
              </w:rPr>
            </w:pPr>
            <w:r w:rsidRPr="00940CA7">
              <w:rPr>
                <w:rFonts w:ascii="Arial Narrow" w:hAnsi="Arial Narrow" w:cs="Arial Narrow"/>
                <w:b/>
                <w:bCs/>
                <w:sz w:val="16"/>
                <w:szCs w:val="16"/>
              </w:rPr>
              <w:t>200 260</w:t>
            </w:r>
          </w:p>
        </w:tc>
      </w:tr>
      <w:tr>
        <w:tblPrEx>
          <w:tblW w:w="4962" w:type="pct"/>
          <w:tblInd w:w="70" w:type="dxa"/>
          <w:tblCellMar>
            <w:left w:w="70" w:type="dxa"/>
            <w:right w:w="70" w:type="dxa"/>
          </w:tblCellMar>
          <w:tblLook w:val="00A0"/>
        </w:tblPrEx>
        <w:trPr>
          <w:trHeight w:val="270"/>
        </w:trPr>
        <w:tc>
          <w:tcPr>
            <w:tcW w:w="2328" w:type="pct"/>
            <w:tcBorders>
              <w:top w:val="nil"/>
              <w:left w:val="single" w:sz="4" w:space="0" w:color="auto"/>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Medziročná zmena v %</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rPr>
                <w:rFonts w:ascii="Arial Narrow" w:hAnsi="Arial Narrow" w:cs="Arial Narrow"/>
                <w:sz w:val="16"/>
                <w:szCs w:val="16"/>
              </w:rPr>
            </w:pPr>
            <w:r w:rsidRPr="00940CA7">
              <w:rPr>
                <w:rFonts w:ascii="Arial Narrow" w:hAnsi="Arial Narrow" w:cs="Arial Narrow"/>
                <w:sz w:val="16"/>
                <w:szCs w:val="16"/>
              </w:rPr>
              <w:t> </w:t>
            </w:r>
          </w:p>
        </w:tc>
        <w:tc>
          <w:tcPr>
            <w:tcW w:w="452"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113,9%</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101,2%</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47,7%</w:t>
            </w:r>
          </w:p>
        </w:tc>
        <w:tc>
          <w:tcPr>
            <w:tcW w:w="445"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7,5%</w:t>
            </w:r>
          </w:p>
        </w:tc>
        <w:tc>
          <w:tcPr>
            <w:tcW w:w="444" w:type="pct"/>
            <w:tcBorders>
              <w:top w:val="nil"/>
              <w:left w:val="nil"/>
              <w:bottom w:val="single" w:sz="4" w:space="0" w:color="auto"/>
              <w:right w:val="single" w:sz="4" w:space="0" w:color="auto"/>
            </w:tcBorders>
            <w:noWrap/>
            <w:textDirection w:val="lrTb"/>
            <w:vAlign w:val="bottom"/>
          </w:tcPr>
          <w:p w:rsidR="001E5B24" w:rsidRPr="00940CA7" w:rsidP="001E5B24">
            <w:pPr>
              <w:bidi w:val="0"/>
              <w:jc w:val="right"/>
              <w:rPr>
                <w:rFonts w:ascii="Arial Narrow" w:hAnsi="Arial Narrow" w:cs="Arial Narrow"/>
                <w:sz w:val="16"/>
                <w:szCs w:val="16"/>
              </w:rPr>
            </w:pPr>
            <w:r w:rsidRPr="00940CA7">
              <w:rPr>
                <w:rFonts w:ascii="Arial Narrow" w:hAnsi="Arial Narrow" w:cs="Arial Narrow"/>
                <w:sz w:val="16"/>
                <w:szCs w:val="16"/>
              </w:rPr>
              <w:t>-8,2%</w:t>
            </w:r>
          </w:p>
        </w:tc>
      </w:tr>
    </w:tbl>
    <w:p w:rsidR="001E5B24" w:rsidRPr="00856CE6"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 xml:space="preserve">Pre rok 2011 </w:t>
      </w:r>
      <w:r>
        <w:rPr>
          <w:rFonts w:ascii="Arial Narrow" w:hAnsi="Arial Narrow" w:cs="Arial Narrow"/>
          <w:sz w:val="22"/>
          <w:szCs w:val="22"/>
        </w:rPr>
        <w:t xml:space="preserve">sú </w:t>
      </w:r>
      <w:r w:rsidRPr="00856CE6">
        <w:rPr>
          <w:rFonts w:ascii="Arial Narrow" w:hAnsi="Arial Narrow" w:cs="Arial Narrow"/>
          <w:sz w:val="22"/>
          <w:szCs w:val="22"/>
        </w:rPr>
        <w:t>na administratívu vyčlenené finančné prostriedky v</w:t>
      </w:r>
      <w:r>
        <w:rPr>
          <w:rFonts w:ascii="Arial Narrow" w:hAnsi="Arial Narrow" w:cs="Arial Narrow"/>
          <w:sz w:val="22"/>
          <w:szCs w:val="22"/>
        </w:rPr>
        <w:t> sume 202,9</w:t>
      </w:r>
      <w:r w:rsidRPr="00856CE6">
        <w:rPr>
          <w:rFonts w:ascii="Arial Narrow" w:hAnsi="Arial Narrow" w:cs="Arial Narrow"/>
          <w:sz w:val="22"/>
          <w:szCs w:val="22"/>
        </w:rPr>
        <w:t xml:space="preserve"> mil. </w:t>
      </w:r>
      <w:r>
        <w:rPr>
          <w:rFonts w:ascii="Arial Narrow" w:hAnsi="Arial Narrow" w:cs="Arial Narrow"/>
          <w:sz w:val="22"/>
          <w:szCs w:val="22"/>
        </w:rPr>
        <w:t>eur</w:t>
      </w:r>
      <w:r w:rsidRPr="00856CE6">
        <w:rPr>
          <w:rFonts w:ascii="Arial Narrow" w:hAnsi="Arial Narrow" w:cs="Arial Narrow"/>
          <w:sz w:val="22"/>
          <w:szCs w:val="22"/>
        </w:rPr>
        <w:t xml:space="preserve">, čo je oproti </w:t>
      </w:r>
      <w:r>
        <w:rPr>
          <w:rFonts w:ascii="Arial Narrow" w:hAnsi="Arial Narrow" w:cs="Arial Narrow"/>
          <w:sz w:val="22"/>
          <w:szCs w:val="22"/>
        </w:rPr>
        <w:t xml:space="preserve">schválenému rozpočtu </w:t>
      </w:r>
      <w:r w:rsidRPr="00856CE6">
        <w:rPr>
          <w:rFonts w:ascii="Arial Narrow" w:hAnsi="Arial Narrow" w:cs="Arial Narrow"/>
          <w:sz w:val="22"/>
          <w:szCs w:val="22"/>
        </w:rPr>
        <w:t>roku 2010</w:t>
      </w:r>
      <w:r w:rsidRPr="00856CE6">
        <w:rPr>
          <w:rFonts w:ascii="Arial Narrow" w:hAnsi="Arial Narrow" w:cs="Arial Narrow"/>
          <w:b/>
          <w:bCs/>
          <w:sz w:val="22"/>
          <w:szCs w:val="22"/>
        </w:rPr>
        <w:t xml:space="preserve"> </w:t>
      </w:r>
      <w:r w:rsidRPr="00940CA7">
        <w:rPr>
          <w:rFonts w:ascii="Arial Narrow" w:hAnsi="Arial Narrow" w:cs="Arial Narrow"/>
          <w:sz w:val="22"/>
          <w:szCs w:val="22"/>
        </w:rPr>
        <w:t>nárast</w:t>
      </w:r>
      <w:r>
        <w:rPr>
          <w:rFonts w:ascii="Arial Narrow" w:hAnsi="Arial Narrow" w:cs="Arial Narrow"/>
          <w:sz w:val="22"/>
          <w:szCs w:val="22"/>
        </w:rPr>
        <w:t xml:space="preserve"> o 65,5 mil. eur</w:t>
      </w:r>
      <w:r w:rsidRPr="00BD3310">
        <w:rPr>
          <w:rFonts w:ascii="Arial Narrow" w:hAnsi="Arial Narrow" w:cs="Arial Narrow"/>
          <w:sz w:val="22"/>
          <w:szCs w:val="22"/>
        </w:rPr>
        <w:t>,</w:t>
      </w:r>
      <w:r w:rsidRPr="00856CE6">
        <w:rPr>
          <w:rFonts w:ascii="Arial Narrow" w:hAnsi="Arial Narrow" w:cs="Arial Narrow"/>
          <w:sz w:val="22"/>
          <w:szCs w:val="22"/>
        </w:rPr>
        <w:t xml:space="preserve"> </w:t>
      </w:r>
      <w:r w:rsidR="007C7DA8">
        <w:rPr>
          <w:rFonts w:ascii="Arial Narrow" w:hAnsi="Arial Narrow" w:cs="Arial Narrow"/>
          <w:sz w:val="22"/>
          <w:szCs w:val="22"/>
        </w:rPr>
        <w:t>t. j.</w:t>
      </w:r>
      <w:r w:rsidRPr="00856CE6">
        <w:rPr>
          <w:rFonts w:ascii="Arial Narrow" w:hAnsi="Arial Narrow" w:cs="Arial Narrow"/>
          <w:sz w:val="22"/>
          <w:szCs w:val="22"/>
        </w:rPr>
        <w:t xml:space="preserve"> </w:t>
      </w:r>
      <w:r w:rsidRPr="00BD3310">
        <w:rPr>
          <w:rFonts w:ascii="Arial Narrow" w:hAnsi="Arial Narrow" w:cs="Arial Narrow"/>
          <w:sz w:val="22"/>
          <w:szCs w:val="22"/>
        </w:rPr>
        <w:t>o</w:t>
      </w:r>
      <w:r>
        <w:rPr>
          <w:rFonts w:ascii="Arial Narrow" w:hAnsi="Arial Narrow" w:cs="Arial Narrow"/>
          <w:sz w:val="22"/>
          <w:szCs w:val="22"/>
        </w:rPr>
        <w:t> 47,7</w:t>
      </w:r>
      <w:r w:rsidRPr="00BD3310">
        <w:rPr>
          <w:rFonts w:ascii="Arial Narrow" w:hAnsi="Arial Narrow" w:cs="Arial Narrow"/>
          <w:sz w:val="22"/>
          <w:szCs w:val="22"/>
        </w:rPr>
        <w:t xml:space="preserve"> %</w:t>
      </w:r>
      <w:r w:rsidRPr="00BD3310">
        <w:rPr>
          <w:rFonts w:ascii="Arial Narrow" w:hAnsi="Arial Narrow" w:cs="Arial Narrow"/>
          <w:sz w:val="22"/>
          <w:szCs w:val="22"/>
          <w:vertAlign w:val="subscript"/>
        </w:rPr>
        <w:t>.</w:t>
      </w:r>
      <w:r w:rsidRPr="00BD3310">
        <w:rPr>
          <w:rFonts w:ascii="Arial Narrow" w:hAnsi="Arial Narrow" w:cs="Arial Narrow"/>
          <w:sz w:val="22"/>
          <w:szCs w:val="22"/>
        </w:rPr>
        <w:t xml:space="preserve"> Najvýraznejší </w:t>
      </w:r>
      <w:r w:rsidRPr="00856CE6">
        <w:rPr>
          <w:rFonts w:ascii="Arial Narrow" w:hAnsi="Arial Narrow" w:cs="Arial Narrow"/>
          <w:sz w:val="22"/>
          <w:szCs w:val="22"/>
        </w:rPr>
        <w:t xml:space="preserve"> </w:t>
      </w:r>
      <w:r>
        <w:rPr>
          <w:rFonts w:ascii="Arial Narrow" w:hAnsi="Arial Narrow" w:cs="Arial Narrow"/>
          <w:sz w:val="22"/>
          <w:szCs w:val="22"/>
        </w:rPr>
        <w:t xml:space="preserve">nárast </w:t>
      </w:r>
      <w:r w:rsidRPr="00856CE6">
        <w:rPr>
          <w:rFonts w:ascii="Arial Narrow" w:hAnsi="Arial Narrow" w:cs="Arial Narrow"/>
          <w:sz w:val="22"/>
          <w:szCs w:val="22"/>
        </w:rPr>
        <w:t xml:space="preserve">sa premieta predovšetkým do programu </w:t>
      </w:r>
      <w:r w:rsidRPr="00BD3310">
        <w:rPr>
          <w:rFonts w:ascii="Arial Narrow" w:hAnsi="Arial Narrow" w:cs="Arial Narrow"/>
          <w:sz w:val="22"/>
          <w:szCs w:val="22"/>
        </w:rPr>
        <w:t>OP Vzdelávanie o</w:t>
      </w:r>
      <w:r>
        <w:rPr>
          <w:rFonts w:ascii="Arial Narrow" w:hAnsi="Arial Narrow" w:cs="Arial Narrow"/>
          <w:sz w:val="22"/>
          <w:szCs w:val="22"/>
        </w:rPr>
        <w:t> 38,9</w:t>
      </w:r>
      <w:r w:rsidRPr="00BD3310">
        <w:rPr>
          <w:rFonts w:ascii="Arial Narrow" w:hAnsi="Arial Narrow" w:cs="Arial Narrow"/>
          <w:sz w:val="22"/>
          <w:szCs w:val="22"/>
        </w:rPr>
        <w:t xml:space="preserve"> mil. </w:t>
      </w:r>
      <w:r>
        <w:rPr>
          <w:rFonts w:ascii="Arial Narrow" w:hAnsi="Arial Narrow" w:cs="Arial Narrow"/>
          <w:sz w:val="22"/>
          <w:szCs w:val="22"/>
        </w:rPr>
        <w:t>eur</w:t>
      </w:r>
      <w:r w:rsidRPr="00856CE6">
        <w:rPr>
          <w:rFonts w:ascii="Arial Narrow" w:hAnsi="Arial Narrow" w:cs="Arial Narrow"/>
          <w:sz w:val="22"/>
          <w:szCs w:val="22"/>
        </w:rPr>
        <w:t xml:space="preserve"> </w:t>
      </w:r>
      <w:r>
        <w:rPr>
          <w:rFonts w:ascii="Arial Narrow" w:hAnsi="Arial Narrow" w:cs="Arial Narrow"/>
          <w:sz w:val="22"/>
          <w:szCs w:val="22"/>
        </w:rPr>
        <w:t xml:space="preserve"> a OP Výskum a vývoj o 29,8 mil. eur  z dôvodu vyššej alokácie prostriedkov štrukturálnych fondov vrátane spolufinancovania.</w:t>
      </w:r>
      <w:r w:rsidRPr="00856CE6">
        <w:rPr>
          <w:rFonts w:ascii="Arial Narrow" w:hAnsi="Arial Narrow" w:cs="Arial Narrow"/>
          <w:sz w:val="22"/>
          <w:szCs w:val="22"/>
        </w:rPr>
        <w:t xml:space="preserve"> </w:t>
      </w:r>
    </w:p>
    <w:p w:rsidR="001E5B24" w:rsidRPr="00856CE6"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K zníženiu výdavkov </w:t>
      </w:r>
      <w:r w:rsidR="007C7DA8">
        <w:rPr>
          <w:rFonts w:ascii="Arial Narrow" w:hAnsi="Arial Narrow" w:cs="Arial Narrow"/>
          <w:sz w:val="22"/>
          <w:szCs w:val="22"/>
        </w:rPr>
        <w:t>na</w:t>
      </w:r>
      <w:r w:rsidRPr="00856CE6">
        <w:rPr>
          <w:rFonts w:ascii="Arial Narrow" w:hAnsi="Arial Narrow" w:cs="Arial Narrow"/>
          <w:sz w:val="22"/>
          <w:szCs w:val="22"/>
        </w:rPr>
        <w:t xml:space="preserve"> rok 2011 </w:t>
      </w:r>
      <w:r>
        <w:rPr>
          <w:rFonts w:ascii="Arial Narrow" w:hAnsi="Arial Narrow" w:cs="Arial Narrow"/>
          <w:sz w:val="22"/>
          <w:szCs w:val="22"/>
        </w:rPr>
        <w:t>dochádza na</w:t>
      </w:r>
      <w:r w:rsidRPr="00856CE6">
        <w:rPr>
          <w:rFonts w:ascii="Arial Narrow" w:hAnsi="Arial Narrow" w:cs="Arial Narrow"/>
          <w:sz w:val="22"/>
          <w:szCs w:val="22"/>
        </w:rPr>
        <w:t xml:space="preserve"> rezerv</w:t>
      </w:r>
      <w:r>
        <w:rPr>
          <w:rFonts w:ascii="Arial Narrow" w:hAnsi="Arial Narrow" w:cs="Arial Narrow"/>
          <w:sz w:val="22"/>
          <w:szCs w:val="22"/>
        </w:rPr>
        <w:t>e</w:t>
      </w:r>
      <w:r w:rsidRPr="00856CE6">
        <w:rPr>
          <w:rFonts w:ascii="Arial Narrow" w:hAnsi="Arial Narrow" w:cs="Arial Narrow"/>
          <w:sz w:val="22"/>
          <w:szCs w:val="22"/>
        </w:rPr>
        <w:t xml:space="preserve"> na Koordináciu prierezových aktivít, ktoré sa týkajú financovania vedy a výskumu, o 2,16 mil. </w:t>
      </w:r>
      <w:r>
        <w:rPr>
          <w:rFonts w:ascii="Arial Narrow" w:hAnsi="Arial Narrow" w:cs="Arial Narrow"/>
          <w:sz w:val="22"/>
          <w:szCs w:val="22"/>
        </w:rPr>
        <w:t>eur</w:t>
      </w:r>
      <w:r w:rsidRPr="00856CE6">
        <w:rPr>
          <w:rFonts w:ascii="Arial Narrow" w:hAnsi="Arial Narrow" w:cs="Arial Narrow"/>
          <w:sz w:val="22"/>
          <w:szCs w:val="22"/>
        </w:rPr>
        <w:t xml:space="preserve"> oproti </w:t>
      </w:r>
      <w:r>
        <w:rPr>
          <w:rFonts w:ascii="Arial Narrow" w:hAnsi="Arial Narrow" w:cs="Arial Narrow"/>
          <w:sz w:val="22"/>
          <w:szCs w:val="22"/>
        </w:rPr>
        <w:t>schválenému rozpočtu na rok</w:t>
      </w:r>
      <w:r w:rsidRPr="00856CE6">
        <w:rPr>
          <w:rFonts w:ascii="Arial Narrow" w:hAnsi="Arial Narrow" w:cs="Arial Narrow"/>
          <w:sz w:val="22"/>
          <w:szCs w:val="22"/>
        </w:rPr>
        <w:t xml:space="preserve"> 2010, </w:t>
      </w:r>
      <w:r w:rsidR="007C7DA8">
        <w:rPr>
          <w:rFonts w:ascii="Arial Narrow" w:hAnsi="Arial Narrow" w:cs="Arial Narrow"/>
          <w:sz w:val="22"/>
          <w:szCs w:val="22"/>
        </w:rPr>
        <w:t>t. j.</w:t>
      </w:r>
      <w:r w:rsidRPr="00856CE6">
        <w:rPr>
          <w:rFonts w:ascii="Arial Narrow" w:hAnsi="Arial Narrow" w:cs="Arial Narrow"/>
          <w:sz w:val="22"/>
          <w:szCs w:val="22"/>
        </w:rPr>
        <w:t xml:space="preserve"> o 44 % menej. Uvedené sa prejavuje aj v alokovaných výdavkoch na vedu a výskum zo zdrojov štátneho rozpočtu, viď oblasť </w:t>
      </w:r>
      <w:r>
        <w:rPr>
          <w:rFonts w:ascii="Arial Narrow" w:hAnsi="Arial Narrow" w:cs="Arial Narrow"/>
          <w:sz w:val="22"/>
          <w:szCs w:val="22"/>
        </w:rPr>
        <w:t>veda a technika</w:t>
      </w:r>
      <w:r w:rsidRPr="00856CE6">
        <w:rPr>
          <w:rFonts w:ascii="Arial Narrow" w:hAnsi="Arial Narrow" w:cs="Arial Narrow"/>
          <w:sz w:val="22"/>
          <w:szCs w:val="22"/>
        </w:rPr>
        <w:t>.</w:t>
      </w:r>
    </w:p>
    <w:p w:rsidR="001E5B24" w:rsidRPr="00856CE6" w:rsidP="001E5B24">
      <w:pPr>
        <w:bidi w:val="0"/>
        <w:ind w:firstLine="708"/>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 xml:space="preserve">K zníženiu výdavkov </w:t>
      </w:r>
      <w:r w:rsidR="007C7DA8">
        <w:rPr>
          <w:rFonts w:ascii="Arial Narrow" w:hAnsi="Arial Narrow" w:cs="Arial Narrow"/>
          <w:sz w:val="22"/>
          <w:szCs w:val="22"/>
        </w:rPr>
        <w:t>na</w:t>
      </w:r>
      <w:r w:rsidRPr="00856CE6">
        <w:rPr>
          <w:rFonts w:ascii="Arial Narrow" w:hAnsi="Arial Narrow" w:cs="Arial Narrow"/>
          <w:sz w:val="22"/>
          <w:szCs w:val="22"/>
        </w:rPr>
        <w:t xml:space="preserve"> rok 2011 dochádza </w:t>
      </w:r>
      <w:r>
        <w:rPr>
          <w:rFonts w:ascii="Arial Narrow" w:hAnsi="Arial Narrow" w:cs="Arial Narrow"/>
          <w:sz w:val="22"/>
          <w:szCs w:val="22"/>
        </w:rPr>
        <w:t>aj v oblasti</w:t>
      </w:r>
      <w:r w:rsidRPr="00856CE6">
        <w:rPr>
          <w:rFonts w:ascii="Arial Narrow" w:hAnsi="Arial Narrow" w:cs="Arial Narrow"/>
          <w:sz w:val="22"/>
          <w:szCs w:val="22"/>
        </w:rPr>
        <w:t xml:space="preserve"> </w:t>
      </w:r>
      <w:r>
        <w:rPr>
          <w:rFonts w:ascii="Arial Narrow" w:hAnsi="Arial Narrow" w:cs="Arial Narrow"/>
          <w:sz w:val="22"/>
          <w:szCs w:val="22"/>
        </w:rPr>
        <w:t>p</w:t>
      </w:r>
      <w:r w:rsidRPr="00856CE6">
        <w:rPr>
          <w:rFonts w:ascii="Arial Narrow" w:hAnsi="Arial Narrow" w:cs="Arial Narrow"/>
          <w:sz w:val="22"/>
          <w:szCs w:val="22"/>
        </w:rPr>
        <w:t>odpor</w:t>
      </w:r>
      <w:r>
        <w:rPr>
          <w:rFonts w:ascii="Arial Narrow" w:hAnsi="Arial Narrow" w:cs="Arial Narrow"/>
          <w:sz w:val="22"/>
          <w:szCs w:val="22"/>
        </w:rPr>
        <w:t>y</w:t>
      </w:r>
      <w:r w:rsidRPr="00856CE6">
        <w:rPr>
          <w:rFonts w:ascii="Arial Narrow" w:hAnsi="Arial Narrow" w:cs="Arial Narrow"/>
          <w:sz w:val="22"/>
          <w:szCs w:val="22"/>
        </w:rPr>
        <w:t xml:space="preserve"> detí a mládeže oproti </w:t>
      </w:r>
      <w:r>
        <w:rPr>
          <w:rFonts w:ascii="Arial Narrow" w:hAnsi="Arial Narrow" w:cs="Arial Narrow"/>
          <w:sz w:val="22"/>
          <w:szCs w:val="22"/>
        </w:rPr>
        <w:t>schválenému rozpočtu na rok</w:t>
      </w:r>
      <w:r w:rsidRPr="00856CE6">
        <w:rPr>
          <w:rFonts w:ascii="Arial Narrow" w:hAnsi="Arial Narrow" w:cs="Arial Narrow"/>
          <w:sz w:val="22"/>
          <w:szCs w:val="22"/>
        </w:rPr>
        <w:t xml:space="preserve"> 2010 o 858 tis. </w:t>
      </w:r>
      <w:r>
        <w:rPr>
          <w:rFonts w:ascii="Arial Narrow" w:hAnsi="Arial Narrow" w:cs="Arial Narrow"/>
          <w:sz w:val="22"/>
          <w:szCs w:val="22"/>
        </w:rPr>
        <w:t>eur</w:t>
      </w:r>
      <w:r w:rsidRPr="00856CE6">
        <w:rPr>
          <w:rFonts w:ascii="Arial Narrow" w:hAnsi="Arial Narrow" w:cs="Arial Narrow"/>
          <w:sz w:val="22"/>
          <w:szCs w:val="22"/>
        </w:rPr>
        <w:t xml:space="preserve">, </w:t>
      </w:r>
      <w:r w:rsidR="007C7DA8">
        <w:rPr>
          <w:rFonts w:ascii="Arial Narrow" w:hAnsi="Arial Narrow" w:cs="Arial Narrow"/>
          <w:sz w:val="22"/>
          <w:szCs w:val="22"/>
        </w:rPr>
        <w:t>t. j.</w:t>
      </w:r>
      <w:r w:rsidRPr="00856CE6">
        <w:rPr>
          <w:rFonts w:ascii="Arial Narrow" w:hAnsi="Arial Narrow" w:cs="Arial Narrow"/>
          <w:sz w:val="22"/>
          <w:szCs w:val="22"/>
        </w:rPr>
        <w:t xml:space="preserve"> o 23 % z dôvodu realokácie výdavkov v rámci </w:t>
      </w:r>
      <w:r>
        <w:rPr>
          <w:rFonts w:ascii="Arial Narrow" w:hAnsi="Arial Narrow" w:cs="Arial Narrow"/>
          <w:sz w:val="22"/>
          <w:szCs w:val="22"/>
        </w:rPr>
        <w:t>jednotlivých oblastí</w:t>
      </w:r>
      <w:r w:rsidRPr="00856CE6">
        <w:rPr>
          <w:rFonts w:ascii="Arial Narrow" w:hAnsi="Arial Narrow" w:cs="Arial Narrow"/>
          <w:sz w:val="22"/>
          <w:szCs w:val="22"/>
        </w:rPr>
        <w:t>.</w:t>
      </w:r>
    </w:p>
    <w:p w:rsidR="001E5B24" w:rsidP="001E5B24">
      <w:pPr>
        <w:bidi w:val="0"/>
        <w:ind w:firstLine="708"/>
        <w:jc w:val="both"/>
        <w:rPr>
          <w:rFonts w:ascii="Arial Narrow" w:hAnsi="Arial Narrow" w:cs="Arial Narrow"/>
          <w:sz w:val="22"/>
          <w:szCs w:val="22"/>
        </w:rPr>
      </w:pPr>
    </w:p>
    <w:p w:rsidR="001E5B24" w:rsidRPr="00856CE6" w:rsidP="001E5B24">
      <w:pPr>
        <w:bidi w:val="0"/>
        <w:ind w:firstLine="708"/>
        <w:jc w:val="both"/>
        <w:rPr>
          <w:rFonts w:ascii="Arial Narrow" w:hAnsi="Arial Narrow" w:cs="Arial Narrow"/>
          <w:sz w:val="22"/>
          <w:szCs w:val="22"/>
        </w:rPr>
      </w:pPr>
      <w:r w:rsidRPr="00856CE6">
        <w:rPr>
          <w:rFonts w:ascii="Arial Narrow" w:hAnsi="Arial Narrow" w:cs="Arial Narrow"/>
          <w:sz w:val="22"/>
          <w:szCs w:val="22"/>
        </w:rPr>
        <w:t xml:space="preserve">V rámci </w:t>
      </w:r>
      <w:r>
        <w:rPr>
          <w:rFonts w:ascii="Arial Narrow" w:hAnsi="Arial Narrow" w:cs="Arial Narrow"/>
          <w:sz w:val="22"/>
          <w:szCs w:val="22"/>
        </w:rPr>
        <w:t>t</w:t>
      </w:r>
      <w:r w:rsidRPr="00856CE6">
        <w:rPr>
          <w:rFonts w:ascii="Arial Narrow" w:hAnsi="Arial Narrow" w:cs="Arial Narrow"/>
          <w:sz w:val="22"/>
          <w:szCs w:val="22"/>
        </w:rPr>
        <w:t>vorb</w:t>
      </w:r>
      <w:r>
        <w:rPr>
          <w:rFonts w:ascii="Arial Narrow" w:hAnsi="Arial Narrow" w:cs="Arial Narrow"/>
          <w:sz w:val="22"/>
          <w:szCs w:val="22"/>
        </w:rPr>
        <w:t xml:space="preserve">y </w:t>
      </w:r>
      <w:r w:rsidRPr="00856CE6">
        <w:rPr>
          <w:rFonts w:ascii="Arial Narrow" w:hAnsi="Arial Narrow" w:cs="Arial Narrow"/>
          <w:sz w:val="22"/>
          <w:szCs w:val="22"/>
        </w:rPr>
        <w:t>a implementáci</w:t>
      </w:r>
      <w:r>
        <w:rPr>
          <w:rFonts w:ascii="Arial Narrow" w:hAnsi="Arial Narrow" w:cs="Arial Narrow"/>
          <w:sz w:val="22"/>
          <w:szCs w:val="22"/>
        </w:rPr>
        <w:t>e</w:t>
      </w:r>
      <w:r w:rsidRPr="00856CE6">
        <w:rPr>
          <w:rFonts w:ascii="Arial Narrow" w:hAnsi="Arial Narrow" w:cs="Arial Narrow"/>
          <w:sz w:val="22"/>
          <w:szCs w:val="22"/>
        </w:rPr>
        <w:t xml:space="preserve"> politík sú rozpočtované výdavky pre rozpočtové a príspevkové organizácie, pre aparát ministerstva a na štátny informačný systém. Výdavky pre rok 2011 zaznamenávajú </w:t>
      </w:r>
      <w:r w:rsidRPr="00BD3310">
        <w:rPr>
          <w:rFonts w:ascii="Arial Narrow" w:hAnsi="Arial Narrow" w:cs="Arial Narrow"/>
          <w:sz w:val="22"/>
          <w:szCs w:val="22"/>
        </w:rPr>
        <w:t>pokles</w:t>
      </w:r>
      <w:r w:rsidRPr="00856CE6">
        <w:rPr>
          <w:rFonts w:ascii="Arial Narrow" w:hAnsi="Arial Narrow" w:cs="Arial Narrow"/>
          <w:sz w:val="22"/>
          <w:szCs w:val="22"/>
        </w:rPr>
        <w:t xml:space="preserve"> oproti roku 2010 o 111 tis. </w:t>
      </w:r>
      <w:r>
        <w:rPr>
          <w:rFonts w:ascii="Arial Narrow" w:hAnsi="Arial Narrow" w:cs="Arial Narrow"/>
          <w:sz w:val="22"/>
          <w:szCs w:val="22"/>
        </w:rPr>
        <w:t>eur</w:t>
      </w:r>
      <w:r w:rsidRPr="00856CE6">
        <w:rPr>
          <w:rFonts w:ascii="Arial Narrow" w:hAnsi="Arial Narrow" w:cs="Arial Narrow"/>
          <w:sz w:val="22"/>
          <w:szCs w:val="22"/>
        </w:rPr>
        <w:t xml:space="preserve">, </w:t>
      </w:r>
      <w:r w:rsidR="007C7DA8">
        <w:rPr>
          <w:rFonts w:ascii="Arial Narrow" w:hAnsi="Arial Narrow" w:cs="Arial Narrow"/>
          <w:sz w:val="22"/>
          <w:szCs w:val="22"/>
        </w:rPr>
        <w:t>t. j.</w:t>
      </w:r>
      <w:r w:rsidRPr="00856CE6">
        <w:rPr>
          <w:rFonts w:ascii="Arial Narrow" w:hAnsi="Arial Narrow" w:cs="Arial Narrow"/>
          <w:sz w:val="22"/>
          <w:szCs w:val="22"/>
        </w:rPr>
        <w:t xml:space="preserve"> </w:t>
      </w:r>
      <w:r w:rsidRPr="00BD3310">
        <w:rPr>
          <w:rFonts w:ascii="Arial Narrow" w:hAnsi="Arial Narrow" w:cs="Arial Narrow"/>
          <w:sz w:val="22"/>
          <w:szCs w:val="22"/>
        </w:rPr>
        <w:t>o 0,57 %</w:t>
      </w:r>
      <w:r w:rsidRPr="00856CE6">
        <w:rPr>
          <w:rFonts w:ascii="Arial Narrow" w:hAnsi="Arial Narrow" w:cs="Arial Narrow"/>
          <w:sz w:val="22"/>
          <w:szCs w:val="22"/>
        </w:rPr>
        <w:t>.</w:t>
      </w:r>
      <w:r>
        <w:rPr>
          <w:rFonts w:ascii="Arial Narrow" w:hAnsi="Arial Narrow" w:cs="Arial Narrow"/>
          <w:sz w:val="22"/>
          <w:szCs w:val="22"/>
        </w:rPr>
        <w:t xml:space="preserve">  Pokles je zaznamenaný v mzdových výdavkoch oproti schválenému rozpočtu roku 2010 o 9,94 %, v poistnom o 9,94 % a v bežných transferoch o 13,6 %, pričom výdavky na tovary a služby rastú o 38,4 % a kapitálové výdavky sú na úrovni schváleného rozpočtu roku 2010. Nárast výdavkov na tovary a služby je spôsobený z dôvodu prevádzky dátového centra a informačných systémov v sume 2,0 mil. eur a financovania prenájmu priestorov pre rozpočtovú organizáciu Agentúru MŠVVŠ SR pre štrukturálne fondy v sume 350 tis. eur, ktoré v roku 2010 neboli rozpočtované.  </w:t>
      </w:r>
    </w:p>
    <w:p w:rsidR="001E5B24" w:rsidP="001E5B24">
      <w:pPr>
        <w:autoSpaceDE w:val="0"/>
        <w:autoSpaceDN w:val="0"/>
        <w:bidi w:val="0"/>
        <w:adjustRightInd w:val="0"/>
        <w:rPr>
          <w:rFonts w:ascii="Arial Narrow" w:hAnsi="Arial Narrow" w:cs="Arial Narrow"/>
          <w:sz w:val="22"/>
          <w:szCs w:val="22"/>
        </w:rPr>
      </w:pPr>
    </w:p>
    <w:p w:rsidR="001E5B24" w:rsidRPr="00856CE6"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t xml:space="preserve">Skutočné čerpanie  výdavkov na programe  </w:t>
      </w:r>
      <w:r w:rsidRPr="00856CE6">
        <w:rPr>
          <w:rFonts w:ascii="Arial Narrow" w:hAnsi="Arial Narrow" w:cs="Arial Narrow"/>
          <w:sz w:val="22"/>
          <w:szCs w:val="22"/>
        </w:rPr>
        <w:t>Tvorba a implementácia politík</w:t>
      </w:r>
      <w:r>
        <w:rPr>
          <w:rFonts w:ascii="Arial Narrow" w:hAnsi="Arial Narrow" w:cs="Arial Narrow"/>
          <w:sz w:val="22"/>
          <w:szCs w:val="22"/>
        </w:rPr>
        <w:t xml:space="preserve"> v roku 2009 je v porovnaní s nasledujúcimi rokmi  vyššie z dôvodu budovania informačných systémov pre rozpočtovú organizáciu Ústav informácií a prognóz v školstve. Predmetné informačné systémy slúžia na spracovanie národnej štatistiky, výkazníctva, na vytvorenie registra detí, žiakov, študentov, zamestnancov, škôl a školských zariadení. </w:t>
      </w:r>
    </w:p>
    <w:p w:rsidR="001E5B24" w:rsidRPr="00856CE6" w:rsidP="001E5B24">
      <w:pPr>
        <w:bidi w:val="0"/>
        <w:jc w:val="both"/>
        <w:rPr>
          <w:rFonts w:ascii="Arial Narrow" w:hAnsi="Arial Narrow" w:cs="Arial Narrow"/>
          <w:sz w:val="22"/>
          <w:szCs w:val="22"/>
        </w:rPr>
      </w:pPr>
      <w:r w:rsidRPr="00856CE6">
        <w:rPr>
          <w:rFonts w:ascii="Arial Narrow" w:hAnsi="Arial Narrow" w:cs="Arial Narrow"/>
          <w:sz w:val="22"/>
          <w:szCs w:val="22"/>
        </w:rPr>
        <w:t xml:space="preserve"> </w:t>
      </w:r>
    </w:p>
    <w:p w:rsidR="001E5B24" w:rsidP="001E5B24">
      <w:pPr>
        <w:bidi w:val="0"/>
        <w:jc w:val="both"/>
        <w:rPr>
          <w:rFonts w:ascii="Arial Narrow" w:hAnsi="Arial Narrow" w:cs="Arial Narrow"/>
          <w:b/>
          <w:bCs/>
          <w:sz w:val="20"/>
          <w:szCs w:val="20"/>
        </w:rPr>
      </w:pPr>
    </w:p>
    <w:p w:rsidR="001E5B24" w:rsidRPr="00194601" w:rsidP="001E5B24">
      <w:pPr>
        <w:pBdr>
          <w:bottom w:val="single" w:sz="6" w:space="1" w:color="auto"/>
        </w:pBdr>
        <w:bidi w:val="0"/>
        <w:rPr>
          <w:rFonts w:ascii="Arial Narrow" w:hAnsi="Arial Narrow" w:cs="Arial Narrow"/>
          <w:b/>
          <w:bCs/>
          <w:sz w:val="22"/>
          <w:szCs w:val="22"/>
        </w:rPr>
      </w:pPr>
      <w:r>
        <w:rPr>
          <w:rFonts w:ascii="Arial Narrow" w:hAnsi="Arial Narrow" w:cs="Arial Narrow"/>
          <w:b/>
          <w:bCs/>
          <w:sz w:val="22"/>
          <w:szCs w:val="22"/>
        </w:rPr>
        <w:t>Ministerstvo zdravotníctva SR</w:t>
      </w:r>
    </w:p>
    <w:p w:rsidR="001E5B24" w:rsidRPr="00194601" w:rsidP="001E5B24">
      <w:pPr>
        <w:bidi w:val="0"/>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Objem verejných zdrojov plynúcich do oblasti zdravotníctva sa pre rok 2011 predpokladá na úrovni 3,82 mld. eur s nárastom oproti schváleným zdrojom v roku 2010 o 2,15% a s nárastom oproti očakávan</w:t>
      </w:r>
      <w:r>
        <w:rPr>
          <w:rFonts w:ascii="Arial Narrow" w:hAnsi="Arial Narrow" w:cs="Arial Narrow"/>
          <w:sz w:val="22"/>
          <w:szCs w:val="22"/>
        </w:rPr>
        <w:t>ej skutočnosti roku 2010 o 2,28</w:t>
      </w:r>
      <w:r w:rsidRPr="00194601">
        <w:rPr>
          <w:rFonts w:ascii="Arial Narrow" w:hAnsi="Arial Narrow" w:cs="Arial Narrow"/>
          <w:sz w:val="22"/>
          <w:szCs w:val="22"/>
        </w:rPr>
        <w:t xml:space="preserve">%. Zdroje v zdravotníctve sú tvorené v prevažnej miere zdrojmi z príjmov zdravotných poisťovní za poistné na verejné zdravotné poistenie. </w:t>
      </w:r>
    </w:p>
    <w:p w:rsidR="001E5B24" w:rsidRPr="00194601" w:rsidP="001E5B24">
      <w:pPr>
        <w:bidi w:val="0"/>
        <w:ind w:firstLine="708"/>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365"/>
        <w:gridCol w:w="826"/>
        <w:gridCol w:w="826"/>
        <w:gridCol w:w="825"/>
        <w:gridCol w:w="825"/>
        <w:gridCol w:w="825"/>
        <w:gridCol w:w="825"/>
        <w:gridCol w:w="825"/>
      </w:tblGrid>
      <w:tr>
        <w:tblPrEx>
          <w:tblW w:w="4962" w:type="pct"/>
          <w:tblInd w:w="70" w:type="dxa"/>
          <w:tblCellMar>
            <w:left w:w="70" w:type="dxa"/>
            <w:right w:w="70" w:type="dxa"/>
          </w:tblCellMar>
          <w:tblLook w:val="00A0"/>
        </w:tblPrEx>
        <w:trPr>
          <w:trHeight w:val="225"/>
        </w:trPr>
        <w:tc>
          <w:tcPr>
            <w:tcW w:w="1840"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b/>
                <w:bCs/>
                <w:sz w:val="16"/>
                <w:szCs w:val="16"/>
                <w:lang w:eastAsia="sk-SK"/>
              </w:rPr>
            </w:pPr>
            <w:r w:rsidRPr="00194601">
              <w:rPr>
                <w:rFonts w:ascii="Arial Narrow" w:hAnsi="Arial Narrow" w:cs="Arial Narrow"/>
                <w:b/>
                <w:bCs/>
                <w:sz w:val="16"/>
                <w:szCs w:val="16"/>
                <w:lang w:eastAsia="sk-SK"/>
              </w:rPr>
              <w:t>Verejné zdroje v zdravotníctve</w:t>
            </w:r>
          </w:p>
        </w:tc>
        <w:tc>
          <w:tcPr>
            <w:tcW w:w="452"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2"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1"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1"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1"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1"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c>
          <w:tcPr>
            <w:tcW w:w="451" w:type="pct"/>
            <w:tcBorders>
              <w:top w:val="nil"/>
              <w:left w:val="nil"/>
              <w:bottom w:val="single" w:sz="4" w:space="0" w:color="auto"/>
              <w:right w:val="nil"/>
            </w:tcBorders>
            <w:noWrap/>
            <w:textDirection w:val="lrTb"/>
            <w:vAlign w:val="bottom"/>
          </w:tcPr>
          <w:p w:rsidR="001E5B24" w:rsidRPr="00194601" w:rsidP="001E5B24">
            <w:pPr>
              <w:bidi w:val="0"/>
              <w:rPr>
                <w:rFonts w:ascii="Arial Narrow" w:hAnsi="Arial Narrow" w:cs="Arial Narrow"/>
                <w:sz w:val="16"/>
                <w:szCs w:val="16"/>
                <w:lang w:eastAsia="sk-SK"/>
              </w:rPr>
            </w:pPr>
          </w:p>
        </w:tc>
      </w:tr>
      <w:tr>
        <w:tblPrEx>
          <w:tblW w:w="4962" w:type="pct"/>
          <w:tblInd w:w="70" w:type="dxa"/>
          <w:tblCellMar>
            <w:left w:w="70" w:type="dxa"/>
            <w:right w:w="70" w:type="dxa"/>
          </w:tblCellMar>
          <w:tblLook w:val="00A0"/>
        </w:tblPrEx>
        <w:trPr>
          <w:trHeight w:val="225"/>
        </w:trPr>
        <w:tc>
          <w:tcPr>
            <w:tcW w:w="184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1906D9" w:rsidP="001E5B24">
            <w:pPr>
              <w:bidi w:val="0"/>
              <w:rPr>
                <w:rFonts w:ascii="Arial Narrow" w:hAnsi="Arial Narrow" w:cs="Arial Narrow"/>
                <w:b/>
                <w:bCs/>
                <w:sz w:val="16"/>
                <w:szCs w:val="16"/>
                <w:lang w:eastAsia="sk-SK"/>
              </w:rPr>
            </w:pPr>
            <w:r w:rsidRPr="001906D9">
              <w:rPr>
                <w:rFonts w:ascii="Arial Narrow" w:hAnsi="Arial Narrow" w:cs="Arial Narrow"/>
                <w:b/>
                <w:bCs/>
                <w:sz w:val="16"/>
                <w:szCs w:val="16"/>
                <w:lang w:eastAsia="sk-SK"/>
              </w:rPr>
              <w:t> v tis. eur</w:t>
            </w:r>
          </w:p>
        </w:tc>
        <w:tc>
          <w:tcPr>
            <w:tcW w:w="452"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2008 S</w:t>
            </w:r>
          </w:p>
        </w:tc>
        <w:tc>
          <w:tcPr>
            <w:tcW w:w="452"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2009 S</w:t>
            </w:r>
          </w:p>
        </w:tc>
        <w:tc>
          <w:tcPr>
            <w:tcW w:w="45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2010 R</w:t>
            </w:r>
          </w:p>
        </w:tc>
        <w:tc>
          <w:tcPr>
            <w:tcW w:w="45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2010 OS</w:t>
            </w:r>
          </w:p>
        </w:tc>
        <w:tc>
          <w:tcPr>
            <w:tcW w:w="45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2011 N</w:t>
            </w:r>
          </w:p>
        </w:tc>
        <w:tc>
          <w:tcPr>
            <w:tcW w:w="45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2012 N</w:t>
            </w:r>
          </w:p>
        </w:tc>
        <w:tc>
          <w:tcPr>
            <w:tcW w:w="45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1906D9" w:rsidP="001E5B24">
            <w:pPr>
              <w:bidi w:val="0"/>
              <w:jc w:val="center"/>
              <w:rPr>
                <w:rFonts w:ascii="Arial Narrow" w:hAnsi="Arial Narrow" w:cs="Arial Narrow"/>
                <w:b/>
                <w:bCs/>
                <w:sz w:val="16"/>
                <w:szCs w:val="16"/>
                <w:lang w:eastAsia="sk-SK"/>
              </w:rPr>
            </w:pPr>
            <w:r w:rsidRPr="001906D9">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25"/>
        </w:trPr>
        <w:tc>
          <w:tcPr>
            <w:tcW w:w="1840" w:type="pct"/>
            <w:tcBorders>
              <w:top w:val="nil"/>
              <w:left w:val="single" w:sz="4" w:space="0" w:color="auto"/>
              <w:bottom w:val="single" w:sz="4" w:space="0" w:color="auto"/>
              <w:right w:val="single" w:sz="4" w:space="0" w:color="auto"/>
            </w:tcBorders>
            <w:noWrap/>
            <w:textDirection w:val="lrTb"/>
            <w:vAlign w:val="bottom"/>
          </w:tcPr>
          <w:p w:rsidR="001E5B24" w:rsidRPr="00194601" w:rsidP="001E5B24">
            <w:pPr>
              <w:bidi w:val="0"/>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Zdroje verejného zdravotného poistenia</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3 307 812</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3 413 303</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3 560 784</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3 566 791</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3 598 671</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3 712 694</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3 944 876</w:t>
            </w:r>
          </w:p>
        </w:tc>
      </w:tr>
      <w:tr>
        <w:tblPrEx>
          <w:tblW w:w="4962" w:type="pct"/>
          <w:tblInd w:w="70" w:type="dxa"/>
          <w:tblCellMar>
            <w:left w:w="70" w:type="dxa"/>
            <w:right w:w="70" w:type="dxa"/>
          </w:tblCellMar>
          <w:tblLook w:val="00A0"/>
        </w:tblPrEx>
        <w:trPr>
          <w:trHeight w:val="225"/>
        </w:trPr>
        <w:tc>
          <w:tcPr>
            <w:tcW w:w="1840" w:type="pct"/>
            <w:tcBorders>
              <w:top w:val="nil"/>
              <w:left w:val="single" w:sz="4" w:space="0" w:color="auto"/>
              <w:bottom w:val="single" w:sz="4" w:space="0" w:color="auto"/>
              <w:right w:val="single" w:sz="4" w:space="0" w:color="auto"/>
            </w:tcBorders>
            <w:noWrap/>
            <w:textDirection w:val="lrTb"/>
            <w:vAlign w:val="bottom"/>
          </w:tcPr>
          <w:p w:rsidR="001E5B24" w:rsidRPr="00194601" w:rsidP="001E5B24">
            <w:pPr>
              <w:bidi w:val="0"/>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Úrad pre dohľad nad zdravotnou starostlivosťou</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16 757</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14 978</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16 764</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17 067</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16 905</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17 091</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17 305</w:t>
            </w:r>
          </w:p>
        </w:tc>
      </w:tr>
      <w:tr>
        <w:tblPrEx>
          <w:tblW w:w="4962" w:type="pct"/>
          <w:tblInd w:w="70" w:type="dxa"/>
          <w:tblCellMar>
            <w:left w:w="70" w:type="dxa"/>
            <w:right w:w="70" w:type="dxa"/>
          </w:tblCellMar>
          <w:tblLook w:val="00A0"/>
        </w:tblPrEx>
        <w:trPr>
          <w:trHeight w:val="225"/>
        </w:trPr>
        <w:tc>
          <w:tcPr>
            <w:tcW w:w="1840" w:type="pct"/>
            <w:tcBorders>
              <w:top w:val="nil"/>
              <w:left w:val="single" w:sz="4" w:space="0" w:color="auto"/>
              <w:bottom w:val="single" w:sz="4" w:space="0" w:color="auto"/>
              <w:right w:val="single" w:sz="4" w:space="0" w:color="auto"/>
            </w:tcBorders>
            <w:noWrap/>
            <w:textDirection w:val="lrTb"/>
            <w:vAlign w:val="bottom"/>
          </w:tcPr>
          <w:p w:rsidR="001E5B24" w:rsidRPr="00194601" w:rsidP="001E5B24">
            <w:pPr>
              <w:bidi w:val="0"/>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MZ SR (bez transferov na zdravotné poisťovne)</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104 314</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114 393</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145 032</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134 033</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191 485</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143 763</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81 116</w:t>
            </w:r>
          </w:p>
        </w:tc>
      </w:tr>
      <w:tr>
        <w:tblPrEx>
          <w:tblW w:w="4962" w:type="pct"/>
          <w:tblInd w:w="70" w:type="dxa"/>
          <w:tblCellMar>
            <w:left w:w="70" w:type="dxa"/>
            <w:right w:w="70" w:type="dxa"/>
          </w:tblCellMar>
          <w:tblLook w:val="00A0"/>
        </w:tblPrEx>
        <w:trPr>
          <w:trHeight w:val="225"/>
        </w:trPr>
        <w:tc>
          <w:tcPr>
            <w:tcW w:w="1840" w:type="pct"/>
            <w:tcBorders>
              <w:top w:val="nil"/>
              <w:left w:val="single" w:sz="4" w:space="0" w:color="auto"/>
              <w:bottom w:val="single" w:sz="4" w:space="0" w:color="auto"/>
              <w:right w:val="single" w:sz="4" w:space="0" w:color="auto"/>
            </w:tcBorders>
            <w:noWrap/>
            <w:textDirection w:val="lrTb"/>
            <w:vAlign w:val="bottom"/>
          </w:tcPr>
          <w:p w:rsidR="001E5B24" w:rsidRPr="00194601" w:rsidP="001E5B24">
            <w:pPr>
              <w:bidi w:val="0"/>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Iné rozpočtové kapitoly</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35 854</w:t>
            </w:r>
          </w:p>
        </w:tc>
        <w:tc>
          <w:tcPr>
            <w:tcW w:w="452"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34 140</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15 568</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15 568</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11 480</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10 180</w:t>
            </w:r>
          </w:p>
        </w:tc>
        <w:tc>
          <w:tcPr>
            <w:tcW w:w="451" w:type="pct"/>
            <w:tcBorders>
              <w:top w:val="nil"/>
              <w:left w:val="nil"/>
              <w:bottom w:val="single" w:sz="4" w:space="0" w:color="auto"/>
              <w:right w:val="single" w:sz="4" w:space="0" w:color="auto"/>
            </w:tcBorders>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10 180</w:t>
            </w:r>
          </w:p>
        </w:tc>
      </w:tr>
      <w:tr>
        <w:tblPrEx>
          <w:tblW w:w="4962" w:type="pct"/>
          <w:tblInd w:w="70" w:type="dxa"/>
          <w:tblCellMar>
            <w:left w:w="70" w:type="dxa"/>
            <w:right w:w="70" w:type="dxa"/>
          </w:tblCellMar>
          <w:tblLook w:val="00A0"/>
        </w:tblPrEx>
        <w:trPr>
          <w:trHeight w:val="225"/>
        </w:trPr>
        <w:tc>
          <w:tcPr>
            <w:tcW w:w="1840"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94601" w:rsidP="001E5B24">
            <w:pPr>
              <w:bidi w:val="0"/>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 xml:space="preserve">Verejné zdroje v zdravotníctve spolu </w:t>
            </w:r>
          </w:p>
        </w:tc>
        <w:tc>
          <w:tcPr>
            <w:tcW w:w="452"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3 464 737</w:t>
            </w:r>
          </w:p>
        </w:tc>
        <w:tc>
          <w:tcPr>
            <w:tcW w:w="452"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3 576 814</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3 738 148</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3 733 459</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3 818 541</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3 883 728</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4 053 477</w:t>
            </w:r>
          </w:p>
        </w:tc>
      </w:tr>
      <w:tr>
        <w:tblPrEx>
          <w:tblW w:w="4962" w:type="pct"/>
          <w:tblInd w:w="70" w:type="dxa"/>
          <w:tblCellMar>
            <w:left w:w="70" w:type="dxa"/>
            <w:right w:w="70" w:type="dxa"/>
          </w:tblCellMar>
          <w:tblLook w:val="00A0"/>
        </w:tblPrEx>
        <w:trPr>
          <w:trHeight w:val="225"/>
        </w:trPr>
        <w:tc>
          <w:tcPr>
            <w:tcW w:w="1840"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94601" w:rsidP="001E5B24">
            <w:pPr>
              <w:bidi w:val="0"/>
              <w:rPr>
                <w:rFonts w:ascii="Arial Narrow" w:hAnsi="Arial Narrow" w:cs="Arial Narrow"/>
                <w:b/>
                <w:bCs/>
                <w:color w:val="000000"/>
                <w:sz w:val="16"/>
                <w:szCs w:val="16"/>
                <w:lang w:eastAsia="sk-SK"/>
              </w:rPr>
            </w:pPr>
            <w:r w:rsidRPr="00194601">
              <w:rPr>
                <w:rFonts w:ascii="Arial Narrow" w:hAnsi="Arial Narrow" w:cs="Arial Narrow"/>
                <w:b/>
                <w:bCs/>
                <w:color w:val="000000"/>
                <w:sz w:val="16"/>
                <w:szCs w:val="16"/>
                <w:lang w:eastAsia="sk-SK"/>
              </w:rPr>
              <w:t>medziročná zmena (v %)</w:t>
            </w:r>
          </w:p>
        </w:tc>
        <w:tc>
          <w:tcPr>
            <w:tcW w:w="452"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13,49</w:t>
            </w:r>
          </w:p>
        </w:tc>
        <w:tc>
          <w:tcPr>
            <w:tcW w:w="452"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3,23</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4,51</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4,38</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2,</w:t>
            </w:r>
            <w:r>
              <w:rPr>
                <w:rFonts w:ascii="Arial Narrow" w:hAnsi="Arial Narrow" w:cs="Arial Narrow"/>
                <w:color w:val="000000"/>
                <w:sz w:val="16"/>
                <w:szCs w:val="16"/>
                <w:lang w:eastAsia="sk-SK"/>
              </w:rPr>
              <w:t>28</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1,71</w:t>
            </w:r>
          </w:p>
        </w:tc>
        <w:tc>
          <w:tcPr>
            <w:tcW w:w="451"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94601" w:rsidP="001E5B24">
            <w:pPr>
              <w:bidi w:val="0"/>
              <w:jc w:val="right"/>
              <w:rPr>
                <w:rFonts w:ascii="Arial Narrow" w:hAnsi="Arial Narrow" w:cs="Arial Narrow"/>
                <w:color w:val="000000"/>
                <w:sz w:val="16"/>
                <w:szCs w:val="16"/>
                <w:lang w:eastAsia="sk-SK"/>
              </w:rPr>
            </w:pPr>
            <w:r w:rsidRPr="00194601">
              <w:rPr>
                <w:rFonts w:ascii="Arial Narrow" w:hAnsi="Arial Narrow" w:cs="Arial Narrow"/>
                <w:color w:val="000000"/>
                <w:sz w:val="16"/>
                <w:szCs w:val="16"/>
                <w:lang w:eastAsia="sk-SK"/>
              </w:rPr>
              <w:t>4,37</w:t>
            </w:r>
          </w:p>
        </w:tc>
      </w:tr>
    </w:tbl>
    <w:p w:rsidR="001E5B24" w:rsidRPr="001906D9" w:rsidP="001E5B24">
      <w:pPr>
        <w:bidi w:val="0"/>
        <w:jc w:val="both"/>
        <w:rPr>
          <w:rFonts w:ascii="Arial Narrow" w:hAnsi="Arial Narrow" w:cs="Arial Narrow"/>
          <w:sz w:val="16"/>
          <w:szCs w:val="16"/>
        </w:rPr>
      </w:pPr>
      <w:r w:rsidRPr="001906D9">
        <w:rPr>
          <w:rFonts w:ascii="Arial Narrow" w:hAnsi="Arial Narrow" w:cs="Arial Narrow"/>
          <w:sz w:val="16"/>
          <w:szCs w:val="16"/>
        </w:rPr>
        <w:t>* údaje sú očistené o duplicitné transfery</w:t>
      </w:r>
    </w:p>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 xml:space="preserve">V zdrojoch verejného zdravotného poistenia na roky 2011 až 2013 sú v rámci poistného od ekonomicky aktívnych obyvateľov zohľadnené vplyvy legislatívnych zmien v oblasti odvodov. V očakávanej skutočnosti na rok 2010 je zohľadnený aj vplyv ročného zúčtovania poistného plateného štátom na verejné zdravotné poistenie za rok 2008 vo výške 5,80 mil. eur a za rok 2009 vo výške 49,0 mil. eur. V roku 2011 sa v rámci zdrojov verejného zdravotného poistenia  uvažuje aj s ročným zúčtovaním poistného plateného štátom za rok 2010 vo výške 10 mil. eur. </w:t>
      </w:r>
    </w:p>
    <w:p w:rsidR="001E5B24" w:rsidRPr="007B48FB" w:rsidP="001E5B24">
      <w:pPr>
        <w:bidi w:val="0"/>
        <w:ind w:firstLine="708"/>
        <w:jc w:val="both"/>
        <w:rPr>
          <w:rFonts w:ascii="Arial Narrow" w:hAnsi="Arial Narrow" w:cs="Arial Narrow"/>
          <w:sz w:val="22"/>
          <w:szCs w:val="22"/>
        </w:rPr>
      </w:pPr>
    </w:p>
    <w:p w:rsidR="001E5B24" w:rsidRPr="007B48FB" w:rsidP="001E5B24">
      <w:pPr>
        <w:bidi w:val="0"/>
        <w:jc w:val="both"/>
        <w:rPr>
          <w:rFonts w:ascii="Arial Narrow" w:hAnsi="Arial Narrow" w:cs="Arial Narrow"/>
          <w:sz w:val="22"/>
          <w:szCs w:val="22"/>
          <w:lang w:eastAsia="sk-SK"/>
        </w:rPr>
      </w:pPr>
      <w:r w:rsidR="00DB4442">
        <w:rPr>
          <w:rFonts w:ascii="Arial Narrow" w:hAnsi="Arial Narrow" w:cs="Arial Narrow"/>
          <w:sz w:val="22"/>
          <w:szCs w:val="22"/>
          <w:lang w:eastAsia="sk-SK"/>
        </w:rPr>
        <w:br w:type="page"/>
      </w:r>
      <w:r w:rsidRPr="007B48FB">
        <w:rPr>
          <w:rFonts w:ascii="Arial Narrow" w:hAnsi="Arial Narrow" w:cs="Arial Narrow"/>
          <w:sz w:val="22"/>
          <w:szCs w:val="22"/>
          <w:lang w:eastAsia="sk-SK"/>
        </w:rPr>
        <w:t>Výdavky Ministerstva zdravotníctva SR</w:t>
      </w:r>
    </w:p>
    <w:p w:rsidR="001E5B24" w:rsidRPr="007B48FB" w:rsidP="001E5B24">
      <w:pPr>
        <w:bidi w:val="0"/>
        <w:ind w:firstLine="708"/>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397"/>
        <w:gridCol w:w="951"/>
        <w:gridCol w:w="949"/>
        <w:gridCol w:w="949"/>
        <w:gridCol w:w="982"/>
        <w:gridCol w:w="965"/>
        <w:gridCol w:w="949"/>
      </w:tblGrid>
      <w:tr>
        <w:tblPrEx>
          <w:tblW w:w="4962" w:type="pct"/>
          <w:tblInd w:w="70" w:type="dxa"/>
          <w:tblCellMar>
            <w:left w:w="70" w:type="dxa"/>
            <w:right w:w="70" w:type="dxa"/>
          </w:tblCellMar>
          <w:tblLook w:val="00A0"/>
        </w:tblPrEx>
        <w:trPr>
          <w:trHeight w:val="225"/>
        </w:trPr>
        <w:tc>
          <w:tcPr>
            <w:tcW w:w="185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0"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19"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19"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37"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19"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b/>
                <w:bCs/>
                <w:sz w:val="16"/>
                <w:szCs w:val="16"/>
                <w:lang w:eastAsia="sk-SK"/>
              </w:rPr>
            </w:pPr>
            <w:r w:rsidRPr="00FD4AF7">
              <w:rPr>
                <w:rFonts w:ascii="Arial Narrow" w:hAnsi="Arial Narrow" w:cs="Arial Narrow"/>
                <w:b/>
                <w:bCs/>
                <w:sz w:val="16"/>
                <w:szCs w:val="16"/>
                <w:lang w:eastAsia="sk-SK"/>
              </w:rPr>
              <w:t>Bežné výdavky, z toho:</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1 077 634</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1 239 990</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1 353 920</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1 266 399</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1 200 893</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1 242 508</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sz w:val="16"/>
                <w:szCs w:val="16"/>
                <w:lang w:eastAsia="sk-SK"/>
              </w:rPr>
            </w:pPr>
            <w:r w:rsidRPr="00FD4AF7">
              <w:rPr>
                <w:rFonts w:ascii="Arial Narrow" w:hAnsi="Arial Narrow" w:cs="Arial Narrow"/>
                <w:sz w:val="16"/>
                <w:szCs w:val="16"/>
                <w:lang w:eastAsia="sk-SK"/>
              </w:rPr>
              <w:t>poistné platené štátom</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997 457</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1 162 382</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1 282 678</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1 197 816</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1 132 220</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1 174 112</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sz w:val="16"/>
                <w:szCs w:val="16"/>
                <w:lang w:eastAsia="sk-SK"/>
              </w:rPr>
            </w:pPr>
            <w:r w:rsidRPr="00FD4AF7">
              <w:rPr>
                <w:rFonts w:ascii="Arial Narrow" w:hAnsi="Arial Narrow" w:cs="Arial Narrow"/>
                <w:sz w:val="16"/>
                <w:szCs w:val="16"/>
                <w:lang w:eastAsia="sk-SK"/>
              </w:rPr>
              <w:t>ostatné bežné výdavky</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71 393</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67 776</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59 431</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56 140</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56 091</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55 415</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sz w:val="16"/>
                <w:szCs w:val="16"/>
                <w:lang w:eastAsia="sk-SK"/>
              </w:rPr>
            </w:pPr>
            <w:r w:rsidRPr="00FD4AF7">
              <w:rPr>
                <w:rFonts w:ascii="Arial Narrow" w:hAnsi="Arial Narrow" w:cs="Arial Narrow"/>
                <w:sz w:val="16"/>
                <w:szCs w:val="16"/>
                <w:lang w:eastAsia="sk-SK"/>
              </w:rPr>
              <w:t>príspevok na činnosť OS ZZS</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8 784</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9 832</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11 811</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12 443</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12 582</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sz w:val="16"/>
                <w:szCs w:val="16"/>
              </w:rPr>
            </w:pPr>
            <w:r w:rsidRPr="001F65F1">
              <w:rPr>
                <w:rFonts w:ascii="Arial Narrow" w:hAnsi="Arial Narrow" w:cs="Arial Narrow"/>
                <w:sz w:val="16"/>
                <w:szCs w:val="16"/>
              </w:rPr>
              <w:t>12 981</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b/>
                <w:bCs/>
                <w:sz w:val="16"/>
                <w:szCs w:val="16"/>
                <w:lang w:eastAsia="sk-SK"/>
              </w:rPr>
            </w:pPr>
            <w:r w:rsidRPr="00FD4AF7">
              <w:rPr>
                <w:rFonts w:ascii="Arial Narrow" w:hAnsi="Arial Narrow" w:cs="Arial Narrow"/>
                <w:b/>
                <w:bCs/>
                <w:sz w:val="16"/>
                <w:szCs w:val="16"/>
                <w:lang w:eastAsia="sk-SK"/>
              </w:rPr>
              <w:t>Kapitálové výdavky</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29 352</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28 992</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3 447</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500</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500</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500</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textDirection w:val="lrTb"/>
            <w:vAlign w:val="bottom"/>
          </w:tcPr>
          <w:p w:rsidR="001E5B24" w:rsidRPr="00FD4AF7" w:rsidP="001E5B24">
            <w:pPr>
              <w:bidi w:val="0"/>
              <w:rPr>
                <w:rFonts w:ascii="Arial Narrow" w:hAnsi="Arial Narrow" w:cs="Arial Narrow"/>
                <w:b/>
                <w:bCs/>
                <w:sz w:val="16"/>
                <w:szCs w:val="16"/>
                <w:lang w:eastAsia="sk-SK"/>
              </w:rPr>
            </w:pPr>
            <w:r w:rsidRPr="00FD4AF7">
              <w:rPr>
                <w:rFonts w:ascii="Arial Narrow" w:hAnsi="Arial Narrow" w:cs="Arial Narrow"/>
                <w:b/>
                <w:bCs/>
                <w:sz w:val="16"/>
                <w:szCs w:val="16"/>
                <w:lang w:eastAsia="sk-SK"/>
              </w:rPr>
              <w:t>Prostriedky EÚ</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2 480</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15 838</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69 840</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114 750</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74 265</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21 590</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textDirection w:val="lrTb"/>
            <w:vAlign w:val="bottom"/>
          </w:tcPr>
          <w:p w:rsidR="001E5B24" w:rsidRPr="00FD4AF7" w:rsidP="001E5B24">
            <w:pPr>
              <w:bidi w:val="0"/>
              <w:rPr>
                <w:rFonts w:ascii="Arial Narrow" w:hAnsi="Arial Narrow" w:cs="Arial Narrow"/>
                <w:b/>
                <w:bCs/>
                <w:sz w:val="16"/>
                <w:szCs w:val="16"/>
                <w:lang w:eastAsia="sk-SK"/>
              </w:rPr>
            </w:pPr>
            <w:r w:rsidRPr="00FD4AF7">
              <w:rPr>
                <w:rFonts w:ascii="Arial Narrow" w:hAnsi="Arial Narrow" w:cs="Arial Narrow"/>
                <w:b/>
                <w:bCs/>
                <w:sz w:val="16"/>
                <w:szCs w:val="16"/>
                <w:lang w:eastAsia="sk-SK"/>
              </w:rPr>
              <w:t>Spolufinancovanie k prostriedkom EÚ</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561</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2 745</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12 325</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20 250</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13 106</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3 810</w:t>
            </w:r>
          </w:p>
        </w:tc>
      </w:tr>
      <w:tr>
        <w:tblPrEx>
          <w:tblW w:w="4962" w:type="pct"/>
          <w:tblInd w:w="70" w:type="dxa"/>
          <w:tblCellMar>
            <w:left w:w="70" w:type="dxa"/>
            <w:right w:w="70" w:type="dxa"/>
          </w:tblCellMar>
          <w:tblLook w:val="00A0"/>
        </w:tblPrEx>
        <w:trPr>
          <w:trHeight w:val="225"/>
        </w:trPr>
        <w:tc>
          <w:tcPr>
            <w:tcW w:w="1858" w:type="pct"/>
            <w:tcBorders>
              <w:top w:val="nil"/>
              <w:left w:val="single" w:sz="4" w:space="0" w:color="auto"/>
              <w:bottom w:val="single" w:sz="4" w:space="0" w:color="auto"/>
              <w:right w:val="single" w:sz="4" w:space="0" w:color="auto"/>
            </w:tcBorders>
            <w:noWrap/>
            <w:textDirection w:val="lrTb"/>
            <w:vAlign w:val="bottom"/>
          </w:tcPr>
          <w:p w:rsidR="001E5B24" w:rsidRPr="00FD4AF7" w:rsidP="001E5B24">
            <w:pPr>
              <w:bidi w:val="0"/>
              <w:jc w:val="both"/>
              <w:rPr>
                <w:rFonts w:ascii="Arial Narrow" w:hAnsi="Arial Narrow" w:cs="Arial Narrow"/>
                <w:b/>
                <w:bCs/>
                <w:sz w:val="16"/>
                <w:szCs w:val="16"/>
                <w:lang w:eastAsia="sk-SK"/>
              </w:rPr>
            </w:pPr>
            <w:r w:rsidRPr="00FD4AF7">
              <w:rPr>
                <w:rFonts w:ascii="Arial Narrow" w:hAnsi="Arial Narrow" w:cs="Arial Narrow"/>
                <w:b/>
                <w:bCs/>
                <w:sz w:val="16"/>
                <w:szCs w:val="16"/>
                <w:lang w:eastAsia="sk-SK"/>
              </w:rPr>
              <w:t>Iné zdroje*</w:t>
            </w:r>
          </w:p>
        </w:tc>
        <w:tc>
          <w:tcPr>
            <w:tcW w:w="520"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199</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279</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188</w:t>
            </w:r>
          </w:p>
        </w:tc>
        <w:tc>
          <w:tcPr>
            <w:tcW w:w="537"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44</w:t>
            </w:r>
          </w:p>
        </w:tc>
        <w:tc>
          <w:tcPr>
            <w:tcW w:w="528"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0</w:t>
            </w:r>
          </w:p>
        </w:tc>
        <w:tc>
          <w:tcPr>
            <w:tcW w:w="519" w:type="pct"/>
            <w:tcBorders>
              <w:top w:val="nil"/>
              <w:left w:val="nil"/>
              <w:bottom w:val="single" w:sz="4" w:space="0" w:color="auto"/>
              <w:right w:val="single" w:sz="4" w:space="0" w:color="auto"/>
            </w:tcBorders>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0</w:t>
            </w:r>
          </w:p>
        </w:tc>
      </w:tr>
      <w:tr>
        <w:tblPrEx>
          <w:tblW w:w="4962" w:type="pct"/>
          <w:tblInd w:w="70" w:type="dxa"/>
          <w:tblCellMar>
            <w:left w:w="70" w:type="dxa"/>
            <w:right w:w="70" w:type="dxa"/>
          </w:tblCellMar>
          <w:tblLook w:val="00A0"/>
        </w:tblPrEx>
        <w:trPr>
          <w:trHeight w:val="225"/>
        </w:trPr>
        <w:tc>
          <w:tcPr>
            <w:tcW w:w="1858"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FD4AF7" w:rsidP="001E5B24">
            <w:pPr>
              <w:bidi w:val="0"/>
              <w:jc w:val="both"/>
              <w:rPr>
                <w:rFonts w:ascii="Arial Narrow" w:hAnsi="Arial Narrow" w:cs="Arial Narrow"/>
                <w:b/>
                <w:bCs/>
                <w:sz w:val="16"/>
                <w:szCs w:val="16"/>
                <w:lang w:eastAsia="sk-SK"/>
              </w:rPr>
            </w:pPr>
            <w:r w:rsidRPr="00FD4AF7">
              <w:rPr>
                <w:rFonts w:ascii="Arial Narrow" w:hAnsi="Arial Narrow" w:cs="Arial Narrow"/>
                <w:b/>
                <w:bCs/>
                <w:sz w:val="16"/>
                <w:szCs w:val="16"/>
                <w:lang w:eastAsia="sk-SK"/>
              </w:rPr>
              <w:t>Výdavky Ministerstva zdravotníctva SR celkom</w:t>
            </w:r>
          </w:p>
        </w:tc>
        <w:tc>
          <w:tcPr>
            <w:tcW w:w="520"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1 110 226</w:t>
            </w:r>
          </w:p>
        </w:tc>
        <w:tc>
          <w:tcPr>
            <w:tcW w:w="519"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1 287 844</w:t>
            </w:r>
          </w:p>
        </w:tc>
        <w:tc>
          <w:tcPr>
            <w:tcW w:w="519"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1 439 720</w:t>
            </w:r>
          </w:p>
        </w:tc>
        <w:tc>
          <w:tcPr>
            <w:tcW w:w="537"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1 401 943</w:t>
            </w:r>
          </w:p>
        </w:tc>
        <w:tc>
          <w:tcPr>
            <w:tcW w:w="528"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1 288 764</w:t>
            </w:r>
          </w:p>
        </w:tc>
        <w:tc>
          <w:tcPr>
            <w:tcW w:w="519"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1F65F1" w:rsidP="001E5B24">
            <w:pPr>
              <w:bidi w:val="0"/>
              <w:jc w:val="right"/>
              <w:rPr>
                <w:rFonts w:ascii="Arial Narrow" w:hAnsi="Arial Narrow" w:cs="Arial Narrow"/>
                <w:b/>
                <w:bCs/>
                <w:sz w:val="16"/>
                <w:szCs w:val="16"/>
              </w:rPr>
            </w:pPr>
            <w:r w:rsidRPr="001F65F1">
              <w:rPr>
                <w:rFonts w:ascii="Arial Narrow" w:hAnsi="Arial Narrow" w:cs="Arial Narrow"/>
                <w:b/>
                <w:bCs/>
                <w:sz w:val="16"/>
                <w:szCs w:val="16"/>
              </w:rPr>
              <w:t>1 268 408</w:t>
            </w:r>
          </w:p>
        </w:tc>
      </w:tr>
    </w:tbl>
    <w:p w:rsidR="001E5B24" w:rsidRPr="001906D9" w:rsidP="001E5B24">
      <w:pPr>
        <w:bidi w:val="0"/>
        <w:jc w:val="both"/>
        <w:rPr>
          <w:rFonts w:ascii="Arial Narrow" w:hAnsi="Arial Narrow" w:cs="Arial Narrow"/>
          <w:sz w:val="16"/>
          <w:szCs w:val="16"/>
        </w:rPr>
      </w:pPr>
      <w:r w:rsidRPr="00C73FEC">
        <w:rPr>
          <w:rFonts w:ascii="Arial Narrow" w:hAnsi="Arial Narrow" w:cs="Arial Narrow"/>
          <w:sz w:val="16"/>
          <w:szCs w:val="16"/>
        </w:rPr>
        <w:t>* Nórsky finančný mechanizmus, Finančný mechanizmus EHP, mimorozpočtové zdroje</w:t>
      </w:r>
    </w:p>
    <w:p w:rsidR="001E5B24" w:rsidP="001E5B24">
      <w:pPr>
        <w:bidi w:val="0"/>
        <w:ind w:firstLine="709"/>
        <w:jc w:val="both"/>
        <w:rPr>
          <w:rFonts w:ascii="Arial Narrow" w:hAnsi="Arial Narrow" w:cs="Arial Narrow"/>
          <w:sz w:val="22"/>
          <w:szCs w:val="22"/>
        </w:rPr>
      </w:pPr>
    </w:p>
    <w:p w:rsidR="001E5B24" w:rsidRPr="00194601" w:rsidP="001E5B24">
      <w:pPr>
        <w:bidi w:val="0"/>
        <w:ind w:firstLine="709"/>
        <w:jc w:val="both"/>
        <w:rPr>
          <w:rFonts w:ascii="Arial Narrow" w:hAnsi="Arial Narrow" w:cs="Arial Narrow"/>
          <w:sz w:val="22"/>
          <w:szCs w:val="22"/>
        </w:rPr>
      </w:pPr>
      <w:r w:rsidRPr="001906D9">
        <w:rPr>
          <w:rFonts w:ascii="Arial Narrow" w:hAnsi="Arial Narrow" w:cs="Arial Narrow"/>
          <w:sz w:val="22"/>
          <w:szCs w:val="22"/>
        </w:rPr>
        <w:t xml:space="preserve">Celkové rozpočtované výdavky Ministerstva zdravotníctva SR vrátane poistného plateného štátom a zahraničných grantov klesajú v roku 2011 </w:t>
      </w:r>
      <w:r>
        <w:rPr>
          <w:rFonts w:ascii="Arial Narrow" w:hAnsi="Arial Narrow" w:cs="Arial Narrow"/>
          <w:sz w:val="22"/>
          <w:szCs w:val="22"/>
        </w:rPr>
        <w:t>o </w:t>
      </w:r>
      <w:r w:rsidRPr="001906D9">
        <w:rPr>
          <w:rFonts w:ascii="Arial Narrow" w:hAnsi="Arial Narrow" w:cs="Arial Narrow"/>
          <w:sz w:val="22"/>
          <w:szCs w:val="22"/>
        </w:rPr>
        <w:t>2,62 % oproti schválenému rozpočtu ro</w:t>
      </w:r>
      <w:r>
        <w:rPr>
          <w:rFonts w:ascii="Arial Narrow" w:hAnsi="Arial Narrow" w:cs="Arial Narrow"/>
          <w:sz w:val="22"/>
          <w:szCs w:val="22"/>
        </w:rPr>
        <w:t>ku 2010</w:t>
      </w:r>
      <w:r w:rsidRPr="001906D9">
        <w:rPr>
          <w:rFonts w:ascii="Arial Narrow" w:hAnsi="Arial Narrow" w:cs="Arial Narrow"/>
          <w:sz w:val="22"/>
          <w:szCs w:val="22"/>
        </w:rPr>
        <w:t>. Výdavky</w:t>
      </w:r>
      <w:r w:rsidRPr="00194601">
        <w:rPr>
          <w:rFonts w:ascii="Arial Narrow" w:hAnsi="Arial Narrow" w:cs="Arial Narrow"/>
          <w:sz w:val="22"/>
          <w:szCs w:val="22"/>
        </w:rPr>
        <w:t xml:space="preserve"> kapitoly sú </w:t>
      </w:r>
      <w:r>
        <w:rPr>
          <w:rFonts w:ascii="Arial Narrow" w:hAnsi="Arial Narrow" w:cs="Arial Narrow"/>
          <w:sz w:val="22"/>
          <w:szCs w:val="22"/>
        </w:rPr>
        <w:t xml:space="preserve">medziročne </w:t>
      </w:r>
      <w:r w:rsidRPr="00194601">
        <w:rPr>
          <w:rFonts w:ascii="Arial Narrow" w:hAnsi="Arial Narrow" w:cs="Arial Narrow"/>
          <w:sz w:val="22"/>
          <w:szCs w:val="22"/>
        </w:rPr>
        <w:t>ovplyvnené najmä zníženým objemom poistného plateného štátom na</w:t>
      </w:r>
      <w:r>
        <w:rPr>
          <w:rFonts w:ascii="Arial Narrow" w:hAnsi="Arial Narrow" w:cs="Arial Narrow"/>
          <w:sz w:val="22"/>
          <w:szCs w:val="22"/>
        </w:rPr>
        <w:t xml:space="preserve"> verejné zdravotné poistenie o </w:t>
      </w:r>
      <w:r w:rsidRPr="00194601">
        <w:rPr>
          <w:rFonts w:ascii="Arial Narrow" w:hAnsi="Arial Narrow" w:cs="Arial Narrow"/>
          <w:sz w:val="22"/>
          <w:szCs w:val="22"/>
        </w:rPr>
        <w:t xml:space="preserve">6,62% a zvýšeným objemom prostriedkov EÚ pre Operačný program Zdravotníctvo a Operačný program Vzdelávanie o 64,3% vrátane príslušného spolufinancovania. Rozpočtové prostriedky kapitoly </w:t>
      </w:r>
      <w:r>
        <w:rPr>
          <w:rFonts w:ascii="Arial Narrow" w:hAnsi="Arial Narrow" w:cs="Arial Narrow"/>
          <w:sz w:val="22"/>
          <w:szCs w:val="22"/>
        </w:rPr>
        <w:t>v roku 2011</w:t>
      </w:r>
      <w:r w:rsidRPr="00194601">
        <w:rPr>
          <w:rFonts w:ascii="Arial Narrow" w:hAnsi="Arial Narrow" w:cs="Arial Narrow"/>
          <w:sz w:val="22"/>
          <w:szCs w:val="22"/>
        </w:rPr>
        <w:t xml:space="preserve"> klesajú</w:t>
      </w:r>
      <w:r>
        <w:rPr>
          <w:rFonts w:ascii="Arial Narrow" w:hAnsi="Arial Narrow" w:cs="Arial Narrow"/>
          <w:sz w:val="22"/>
          <w:szCs w:val="22"/>
        </w:rPr>
        <w:t xml:space="preserve"> o </w:t>
      </w:r>
      <w:r w:rsidRPr="00194601">
        <w:rPr>
          <w:rFonts w:ascii="Arial Narrow" w:hAnsi="Arial Narrow" w:cs="Arial Narrow"/>
          <w:sz w:val="22"/>
          <w:szCs w:val="22"/>
        </w:rPr>
        <w:t>6,77% oproti schválenému rozpočtu na rok 2010.</w:t>
      </w:r>
    </w:p>
    <w:p w:rsidR="001E5B24" w:rsidRPr="00194601"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 xml:space="preserve">Objem osobných výdavkov sa pre rok 2011 </w:t>
      </w:r>
      <w:r>
        <w:rPr>
          <w:rFonts w:ascii="Arial Narrow" w:hAnsi="Arial Narrow" w:cs="Arial Narrow"/>
          <w:sz w:val="22"/>
          <w:szCs w:val="22"/>
        </w:rPr>
        <w:t>rozpočtuje na úrovni 28,9 mil. eur</w:t>
      </w:r>
      <w:r w:rsidRPr="00194601">
        <w:rPr>
          <w:rFonts w:ascii="Arial Narrow" w:hAnsi="Arial Narrow" w:cs="Arial Narrow"/>
          <w:sz w:val="22"/>
          <w:szCs w:val="22"/>
        </w:rPr>
        <w:t>, čo v porovnaní s</w:t>
      </w:r>
      <w:r>
        <w:rPr>
          <w:rFonts w:ascii="Arial Narrow" w:hAnsi="Arial Narrow" w:cs="Arial Narrow"/>
          <w:sz w:val="22"/>
          <w:szCs w:val="22"/>
        </w:rPr>
        <w:t>o schváleným rozpočtom na rok</w:t>
      </w:r>
      <w:r w:rsidRPr="00194601">
        <w:rPr>
          <w:rFonts w:ascii="Arial Narrow" w:hAnsi="Arial Narrow" w:cs="Arial Narrow"/>
          <w:sz w:val="22"/>
          <w:szCs w:val="22"/>
        </w:rPr>
        <w:t xml:space="preserve"> 2010 predstav</w:t>
      </w:r>
      <w:r>
        <w:rPr>
          <w:rFonts w:ascii="Arial Narrow" w:hAnsi="Arial Narrow" w:cs="Arial Narrow"/>
          <w:sz w:val="22"/>
          <w:szCs w:val="22"/>
        </w:rPr>
        <w:t>uje pokles o 9,15 % (2,91 mil. eur).</w:t>
      </w:r>
      <w:r w:rsidRPr="00194601">
        <w:rPr>
          <w:rFonts w:ascii="Arial Narrow" w:hAnsi="Arial Narrow" w:cs="Arial Narrow"/>
          <w:sz w:val="22"/>
          <w:szCs w:val="22"/>
        </w:rPr>
        <w:t xml:space="preserve"> Medziročný pokles osobných výdavkov je ovplyvnený viazaním osobných výdavkov na úrovni 10 % </w:t>
      </w:r>
      <w:r w:rsidR="007C7DA8">
        <w:rPr>
          <w:rFonts w:ascii="Arial Narrow" w:hAnsi="Arial Narrow" w:cs="Arial Narrow"/>
          <w:sz w:val="22"/>
          <w:szCs w:val="22"/>
        </w:rPr>
        <w:t>pre</w:t>
      </w:r>
      <w:r w:rsidRPr="00194601">
        <w:rPr>
          <w:rFonts w:ascii="Arial Narrow" w:hAnsi="Arial Narrow" w:cs="Arial Narrow"/>
          <w:sz w:val="22"/>
          <w:szCs w:val="22"/>
        </w:rPr>
        <w:t xml:space="preserve"> štátnych zamestnancov a zamestnancov pri výkone práce vo verejnom záujme pri zohľadnení dopočtu 1% valorizácie z roku 2010 a 10% viazaním osobných výdavkov ministra z úrovne roku 2010. V limite počtu zamestnancov je premietnuté zníženie o 1 miesto štátneho tajomníka. </w:t>
      </w:r>
    </w:p>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 xml:space="preserve"> Výdavky na tovary a služby rastú o 28,7 % v dôsledku presunutia rozpočtovania výdavkov na vedu a výskum z bežnýc</w:t>
      </w:r>
      <w:r>
        <w:rPr>
          <w:rFonts w:ascii="Arial Narrow" w:hAnsi="Arial Narrow" w:cs="Arial Narrow"/>
          <w:sz w:val="22"/>
          <w:szCs w:val="22"/>
        </w:rPr>
        <w:t>h transferov na tovary a služby</w:t>
      </w:r>
      <w:r w:rsidRPr="00194601">
        <w:rPr>
          <w:rFonts w:ascii="Arial Narrow" w:hAnsi="Arial Narrow" w:cs="Arial Narrow"/>
          <w:sz w:val="22"/>
          <w:szCs w:val="22"/>
        </w:rPr>
        <w:t>. Kapitola znižuje bežné transfery príspevkovým</w:t>
      </w:r>
      <w:r>
        <w:rPr>
          <w:rFonts w:ascii="Arial Narrow" w:hAnsi="Arial Narrow" w:cs="Arial Narrow"/>
          <w:sz w:val="22"/>
          <w:szCs w:val="22"/>
        </w:rPr>
        <w:t xml:space="preserve"> a iným organizáciám celkovo o 34,8 %.</w:t>
      </w:r>
    </w:p>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9"/>
        <w:jc w:val="both"/>
        <w:rPr>
          <w:rFonts w:ascii="Arial Narrow" w:hAnsi="Arial Narrow" w:cs="Arial Narrow"/>
          <w:sz w:val="22"/>
          <w:szCs w:val="22"/>
        </w:rPr>
      </w:pPr>
      <w:r w:rsidRPr="00194601">
        <w:rPr>
          <w:rFonts w:ascii="Arial Narrow" w:hAnsi="Arial Narrow" w:cs="Arial Narrow"/>
          <w:sz w:val="22"/>
          <w:szCs w:val="22"/>
        </w:rPr>
        <w:t xml:space="preserve">Najvýraznejší podiel na bežných výdavkoch kapitoly tvoria výdavky Úradu verejného zdravotníctva SR a regionálnych úradov verejného zdravotníctva, ktoré pôsobia na úseku ochrany, podpory a rozvoja verejného zdravia na regionálnej úrovni. Na ich financovanie sa pre rok 2011 predpokladajú prostriedky vo výške 30,5 mil. eur, čo predstavuje pokles </w:t>
      </w:r>
      <w:r>
        <w:rPr>
          <w:rFonts w:ascii="Arial Narrow" w:hAnsi="Arial Narrow" w:cs="Arial Narrow"/>
          <w:sz w:val="22"/>
          <w:szCs w:val="22"/>
        </w:rPr>
        <w:t xml:space="preserve">ich celkových výdavkov </w:t>
      </w:r>
      <w:r w:rsidRPr="00194601">
        <w:rPr>
          <w:rFonts w:ascii="Arial Narrow" w:hAnsi="Arial Narrow" w:cs="Arial Narrow"/>
          <w:sz w:val="22"/>
          <w:szCs w:val="22"/>
        </w:rPr>
        <w:t>oproti p</w:t>
      </w:r>
      <w:r>
        <w:rPr>
          <w:rFonts w:ascii="Arial Narrow" w:hAnsi="Arial Narrow" w:cs="Arial Narrow"/>
          <w:sz w:val="22"/>
          <w:szCs w:val="22"/>
        </w:rPr>
        <w:t xml:space="preserve">redchádzajúcemu roku o </w:t>
      </w:r>
      <w:r w:rsidRPr="00194601">
        <w:rPr>
          <w:rFonts w:ascii="Arial Narrow" w:hAnsi="Arial Narrow" w:cs="Arial Narrow"/>
          <w:sz w:val="22"/>
          <w:szCs w:val="22"/>
        </w:rPr>
        <w:t xml:space="preserve">8,85 %. </w:t>
      </w:r>
    </w:p>
    <w:p w:rsidR="001E5B24" w:rsidRPr="00564AFA" w:rsidP="001E5B24">
      <w:pPr>
        <w:bidi w:val="0"/>
        <w:jc w:val="both"/>
        <w:rPr>
          <w:rFonts w:ascii="Arial Narrow" w:hAnsi="Arial Narrow" w:cs="Arial Narrow"/>
          <w:sz w:val="16"/>
          <w:szCs w:val="16"/>
        </w:rPr>
      </w:pPr>
    </w:p>
    <w:tbl>
      <w:tblPr>
        <w:tblStyle w:val="TableNormal"/>
        <w:tblpPr w:leftFromText="141" w:rightFromText="141" w:vertAnchor="text" w:horzAnchor="margin" w:tblpX="70" w:tblpY="15"/>
        <w:tblW w:w="4962" w:type="pct"/>
        <w:tblCellMar>
          <w:left w:w="70" w:type="dxa"/>
          <w:right w:w="70" w:type="dxa"/>
        </w:tblCellMar>
        <w:tblLook w:val="00A0"/>
      </w:tblPr>
      <w:tblGrid>
        <w:gridCol w:w="3592"/>
        <w:gridCol w:w="862"/>
        <w:gridCol w:w="861"/>
        <w:gridCol w:w="958"/>
        <w:gridCol w:w="958"/>
        <w:gridCol w:w="958"/>
        <w:gridCol w:w="953"/>
      </w:tblGrid>
      <w:tr>
        <w:tblPrEx>
          <w:tblW w:w="4962" w:type="pct"/>
          <w:tblCellMar>
            <w:left w:w="70" w:type="dxa"/>
            <w:right w:w="70" w:type="dxa"/>
          </w:tblCellMar>
          <w:tblLook w:val="00A0"/>
        </w:tblPrEx>
        <w:trPr>
          <w:trHeight w:val="208"/>
        </w:trPr>
        <w:tc>
          <w:tcPr>
            <w:tcW w:w="19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0A20DF" w:rsidP="001E5B24">
            <w:pPr>
              <w:bidi w:val="0"/>
              <w:rPr>
                <w:rFonts w:ascii="Arial Narrow" w:hAnsi="Arial Narrow" w:cs="Arial Narrow"/>
                <w:sz w:val="16"/>
                <w:szCs w:val="16"/>
                <w:lang w:eastAsia="sk-SK"/>
              </w:rPr>
            </w:pPr>
            <w:r w:rsidRPr="000A20DF">
              <w:rPr>
                <w:rFonts w:ascii="Arial Narrow" w:hAnsi="Arial Narrow" w:cs="Arial Narrow"/>
                <w:sz w:val="16"/>
                <w:szCs w:val="16"/>
                <w:lang w:eastAsia="sk-SK"/>
              </w:rPr>
              <w:t> </w:t>
            </w:r>
            <w:r w:rsidRPr="000A20DF">
              <w:rPr>
                <w:rFonts w:ascii="Arial Narrow" w:hAnsi="Arial Narrow" w:cs="Arial Narrow"/>
                <w:b/>
                <w:bCs/>
                <w:sz w:val="16"/>
                <w:szCs w:val="16"/>
                <w:lang w:eastAsia="sk-SK"/>
              </w:rPr>
              <w:t>v tis. eur</w:t>
            </w:r>
          </w:p>
        </w:tc>
        <w:tc>
          <w:tcPr>
            <w:tcW w:w="47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2008 S</w:t>
            </w:r>
          </w:p>
        </w:tc>
        <w:tc>
          <w:tcPr>
            <w:tcW w:w="47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2009 S</w:t>
            </w:r>
          </w:p>
        </w:tc>
        <w:tc>
          <w:tcPr>
            <w:tcW w:w="524"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2010 R</w:t>
            </w:r>
          </w:p>
        </w:tc>
        <w:tc>
          <w:tcPr>
            <w:tcW w:w="524"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2011 N</w:t>
            </w:r>
          </w:p>
        </w:tc>
        <w:tc>
          <w:tcPr>
            <w:tcW w:w="524"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0A20DF" w:rsidP="001E5B24">
            <w:pPr>
              <w:bidi w:val="0"/>
              <w:jc w:val="center"/>
              <w:rPr>
                <w:rFonts w:ascii="Arial Narrow" w:hAnsi="Arial Narrow" w:cs="Arial Narrow"/>
                <w:b/>
                <w:bCs/>
                <w:sz w:val="16"/>
                <w:szCs w:val="16"/>
                <w:lang w:eastAsia="sk-SK"/>
              </w:rPr>
            </w:pPr>
            <w:r w:rsidRPr="000A20DF">
              <w:rPr>
                <w:rFonts w:ascii="Arial Narrow" w:hAnsi="Arial Narrow" w:cs="Arial Narrow"/>
                <w:b/>
                <w:bCs/>
                <w:sz w:val="16"/>
                <w:szCs w:val="16"/>
                <w:lang w:eastAsia="sk-SK"/>
              </w:rPr>
              <w:t>2013 N</w:t>
            </w:r>
          </w:p>
        </w:tc>
      </w:tr>
      <w:tr>
        <w:tblPrEx>
          <w:tblW w:w="4962" w:type="pct"/>
          <w:tblCellMar>
            <w:left w:w="70" w:type="dxa"/>
            <w:right w:w="70" w:type="dxa"/>
          </w:tblCellMar>
          <w:tblLook w:val="00A0"/>
        </w:tblPrEx>
        <w:trPr>
          <w:trHeight w:val="208"/>
        </w:trPr>
        <w:tc>
          <w:tcPr>
            <w:tcW w:w="1964" w:type="pct"/>
            <w:tcBorders>
              <w:top w:val="nil"/>
              <w:left w:val="single" w:sz="4" w:space="0" w:color="auto"/>
              <w:bottom w:val="single" w:sz="4" w:space="0" w:color="auto"/>
              <w:right w:val="single" w:sz="4" w:space="0" w:color="auto"/>
            </w:tcBorders>
            <w:noWrap/>
            <w:textDirection w:val="lrTb"/>
            <w:vAlign w:val="bottom"/>
          </w:tcPr>
          <w:p w:rsidR="001E5B24" w:rsidRPr="000A20DF" w:rsidP="001E5B24">
            <w:pPr>
              <w:bidi w:val="0"/>
              <w:rPr>
                <w:rFonts w:ascii="Arial Narrow" w:hAnsi="Arial Narrow" w:cs="Arial Narrow"/>
                <w:sz w:val="16"/>
                <w:szCs w:val="16"/>
                <w:lang w:eastAsia="sk-SK"/>
              </w:rPr>
            </w:pPr>
            <w:r w:rsidRPr="000A20DF">
              <w:rPr>
                <w:rFonts w:ascii="Arial Narrow" w:hAnsi="Arial Narrow" w:cs="Arial Narrow"/>
                <w:sz w:val="16"/>
                <w:szCs w:val="16"/>
                <w:lang w:eastAsia="sk-SK"/>
              </w:rPr>
              <w:t>Výdavky MZ SR na príspevok na činnosť OS ZZS</w:t>
            </w:r>
          </w:p>
        </w:tc>
        <w:tc>
          <w:tcPr>
            <w:tcW w:w="471"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8 784</w:t>
            </w:r>
          </w:p>
        </w:tc>
        <w:tc>
          <w:tcPr>
            <w:tcW w:w="471"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9 832</w:t>
            </w:r>
          </w:p>
        </w:tc>
        <w:tc>
          <w:tcPr>
            <w:tcW w:w="524"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11 811</w:t>
            </w:r>
          </w:p>
        </w:tc>
        <w:tc>
          <w:tcPr>
            <w:tcW w:w="524"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12 443</w:t>
            </w:r>
          </w:p>
        </w:tc>
        <w:tc>
          <w:tcPr>
            <w:tcW w:w="524"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12 582</w:t>
            </w:r>
          </w:p>
        </w:tc>
        <w:tc>
          <w:tcPr>
            <w:tcW w:w="521" w:type="pct"/>
            <w:tcBorders>
              <w:top w:val="nil"/>
              <w:left w:val="nil"/>
              <w:bottom w:val="single" w:sz="4" w:space="0" w:color="auto"/>
              <w:right w:val="single" w:sz="4" w:space="0" w:color="auto"/>
            </w:tcBorders>
            <w:noWrap/>
            <w:textDirection w:val="lrTb"/>
            <w:vAlign w:val="bottom"/>
          </w:tcPr>
          <w:p w:rsidR="001E5B24" w:rsidRPr="000A20DF" w:rsidP="001E5B24">
            <w:pPr>
              <w:bidi w:val="0"/>
              <w:jc w:val="right"/>
              <w:rPr>
                <w:rFonts w:ascii="Arial Narrow" w:hAnsi="Arial Narrow" w:cs="Arial"/>
                <w:sz w:val="16"/>
                <w:szCs w:val="16"/>
              </w:rPr>
            </w:pPr>
            <w:r w:rsidRPr="000A20DF">
              <w:rPr>
                <w:rFonts w:ascii="Arial Narrow" w:hAnsi="Arial Narrow" w:cs="Arial"/>
                <w:sz w:val="16"/>
                <w:szCs w:val="16"/>
              </w:rPr>
              <w:t>12 981</w:t>
            </w:r>
          </w:p>
        </w:tc>
      </w:tr>
    </w:tbl>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Ministerstvo zdravotníctva SR prostredníctvom zdrojov zdravotných poisťovní financuje aj činnosť operačných stredísk tiesňového volania záchrannej zdravotnej služby (</w:t>
      </w:r>
      <w:r>
        <w:rPr>
          <w:rFonts w:ascii="Arial Narrow" w:hAnsi="Arial Narrow" w:cs="Arial Narrow"/>
          <w:sz w:val="22"/>
          <w:szCs w:val="22"/>
        </w:rPr>
        <w:t>ďalej len „</w:t>
      </w:r>
      <w:r w:rsidRPr="00194601">
        <w:rPr>
          <w:rFonts w:ascii="Arial Narrow" w:hAnsi="Arial Narrow" w:cs="Arial Narrow"/>
          <w:sz w:val="22"/>
          <w:szCs w:val="22"/>
        </w:rPr>
        <w:t>OS ZZS</w:t>
      </w:r>
      <w:r>
        <w:rPr>
          <w:rFonts w:ascii="Arial Narrow" w:hAnsi="Arial Narrow" w:cs="Arial Narrow"/>
          <w:sz w:val="22"/>
          <w:szCs w:val="22"/>
        </w:rPr>
        <w:t>“</w:t>
      </w:r>
      <w:r w:rsidRPr="00194601">
        <w:rPr>
          <w:rFonts w:ascii="Arial Narrow" w:hAnsi="Arial Narrow" w:cs="Arial Narrow"/>
          <w:sz w:val="22"/>
          <w:szCs w:val="22"/>
        </w:rPr>
        <w:t>) vo výške 12,4 mil. eur s medziročným nárastom 5,35 %. Nárast príspevku spôsobuje rast vymeriavacieho základu na jeho výpočet, ktorým je výber poistného, na ktorú majú poisťovne právo po prerozdelení poistného za kalendárny rok predchádzajúci kalendárnemu roku, v ktorom je príspevok splatný. Sadzba na výpočet príspevku je 0,35 % z vymeriavacieho základu. Príslušné prostriedky zasielajú zdravotné poisťovne na účet Ministerstva zdravotníctva SR do 20. októbra príslušného roka.</w:t>
      </w:r>
    </w:p>
    <w:p w:rsidR="001E5B24" w:rsidRPr="00194601" w:rsidP="001E5B24">
      <w:pPr>
        <w:bidi w:val="0"/>
        <w:ind w:firstLine="708"/>
        <w:jc w:val="both"/>
        <w:rPr>
          <w:rFonts w:ascii="Arial Narrow" w:hAnsi="Arial Narrow" w:cs="Arial Narrow"/>
          <w:sz w:val="22"/>
          <w:szCs w:val="22"/>
        </w:rPr>
      </w:pPr>
    </w:p>
    <w:tbl>
      <w:tblPr>
        <w:tblStyle w:val="TableNormal"/>
        <w:tblW w:w="9185" w:type="dxa"/>
        <w:tblInd w:w="65" w:type="dxa"/>
        <w:tblLayout w:type="fixed"/>
        <w:tblCellMar>
          <w:left w:w="70" w:type="dxa"/>
          <w:right w:w="70" w:type="dxa"/>
        </w:tblCellMar>
        <w:tblLook w:val="00A0"/>
      </w:tblPr>
      <w:tblGrid>
        <w:gridCol w:w="3605"/>
        <w:gridCol w:w="930"/>
        <w:gridCol w:w="930"/>
        <w:gridCol w:w="930"/>
        <w:gridCol w:w="930"/>
        <w:gridCol w:w="930"/>
        <w:gridCol w:w="930"/>
      </w:tblGrid>
      <w:tr>
        <w:tblPrEx>
          <w:tblW w:w="9185" w:type="dxa"/>
          <w:tblInd w:w="65" w:type="dxa"/>
          <w:tblLayout w:type="fixed"/>
          <w:tblCellMar>
            <w:left w:w="70" w:type="dxa"/>
            <w:right w:w="70" w:type="dxa"/>
          </w:tblCellMar>
          <w:tblLook w:val="00A0"/>
        </w:tblPrEx>
        <w:trPr>
          <w:trHeight w:val="225"/>
        </w:trPr>
        <w:tc>
          <w:tcPr>
            <w:tcW w:w="360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30"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185" w:type="dxa"/>
          <w:tblInd w:w="65" w:type="dxa"/>
          <w:tblLayout w:type="fixed"/>
          <w:tblCellMar>
            <w:left w:w="70" w:type="dxa"/>
            <w:right w:w="70" w:type="dxa"/>
          </w:tblCellMar>
          <w:tblLook w:val="00A0"/>
        </w:tblPrEx>
        <w:trPr>
          <w:trHeight w:val="462"/>
        </w:trPr>
        <w:tc>
          <w:tcPr>
            <w:tcW w:w="3605" w:type="dxa"/>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1C4A92" w:rsidP="001E5B24">
            <w:pPr>
              <w:bidi w:val="0"/>
              <w:rPr>
                <w:rFonts w:ascii="Arial Narrow" w:hAnsi="Arial Narrow" w:cs="Arial Narrow"/>
                <w:b/>
                <w:bCs/>
                <w:sz w:val="16"/>
                <w:szCs w:val="16"/>
                <w:lang w:eastAsia="sk-SK"/>
              </w:rPr>
            </w:pPr>
            <w:r>
              <w:rPr>
                <w:rFonts w:ascii="Arial Narrow" w:hAnsi="Arial Narrow" w:cs="Arial Narrow"/>
                <w:b/>
                <w:bCs/>
                <w:sz w:val="16"/>
                <w:szCs w:val="16"/>
                <w:lang w:eastAsia="sk-SK"/>
              </w:rPr>
              <w:t>Preddavky na p</w:t>
            </w:r>
            <w:r w:rsidRPr="001C4A92">
              <w:rPr>
                <w:rFonts w:ascii="Arial Narrow" w:hAnsi="Arial Narrow" w:cs="Arial Narrow"/>
                <w:b/>
                <w:bCs/>
                <w:sz w:val="16"/>
                <w:szCs w:val="16"/>
                <w:lang w:eastAsia="sk-SK"/>
              </w:rPr>
              <w:t>oistné platené štátom na verejné zdravotné poistenie</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997 45</w:t>
            </w:r>
            <w:r w:rsidRPr="001C4A92">
              <w:rPr>
                <w:rFonts w:ascii="Arial Narrow" w:hAnsi="Arial Narrow" w:cs="Arial Narrow"/>
                <w:b/>
                <w:bCs/>
                <w:sz w:val="16"/>
                <w:szCs w:val="16"/>
                <w:lang w:eastAsia="sk-SK"/>
              </w:rPr>
              <w:t>7</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1 162 382</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1 282 678</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1 197 816</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1 132 220</w:t>
            </w:r>
          </w:p>
        </w:tc>
        <w:tc>
          <w:tcPr>
            <w:tcW w:w="930" w:type="dxa"/>
            <w:tcBorders>
              <w:top w:val="nil"/>
              <w:left w:val="nil"/>
              <w:bottom w:val="single" w:sz="4" w:space="0" w:color="auto"/>
              <w:right w:val="single" w:sz="4" w:space="0" w:color="auto"/>
            </w:tcBorders>
            <w:shd w:val="clear" w:color="000000" w:fill="C0C0C0"/>
            <w:noWrap/>
            <w:textDirection w:val="lrTb"/>
            <w:vAlign w:val="bottom"/>
          </w:tcPr>
          <w:p w:rsidR="001E5B24" w:rsidRPr="001C4A92"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1 174 11</w:t>
            </w:r>
            <w:r w:rsidRPr="001C4A92">
              <w:rPr>
                <w:rFonts w:ascii="Arial Narrow" w:hAnsi="Arial Narrow" w:cs="Arial Narrow"/>
                <w:b/>
                <w:bCs/>
                <w:sz w:val="16"/>
                <w:szCs w:val="16"/>
                <w:lang w:eastAsia="sk-SK"/>
              </w:rPr>
              <w:t>2</w:t>
            </w:r>
          </w:p>
        </w:tc>
      </w:tr>
      <w:tr>
        <w:tblPrEx>
          <w:tblW w:w="9185" w:type="dxa"/>
          <w:tblInd w:w="65" w:type="dxa"/>
          <w:tblLayout w:type="fixed"/>
          <w:tblCellMar>
            <w:left w:w="70" w:type="dxa"/>
            <w:right w:w="70" w:type="dxa"/>
          </w:tblCellMar>
          <w:tblLook w:val="00A0"/>
        </w:tblPrEx>
        <w:trPr>
          <w:trHeight w:val="225"/>
        </w:trPr>
        <w:tc>
          <w:tcPr>
            <w:tcW w:w="3605" w:type="dxa"/>
            <w:tcBorders>
              <w:top w:val="nil"/>
              <w:left w:val="single" w:sz="4" w:space="0" w:color="auto"/>
              <w:bottom w:val="single" w:sz="4" w:space="0" w:color="auto"/>
              <w:right w:val="single" w:sz="4" w:space="0" w:color="auto"/>
            </w:tcBorders>
            <w:noWrap/>
            <w:textDirection w:val="lrTb"/>
            <w:vAlign w:val="bottom"/>
          </w:tcPr>
          <w:p w:rsidR="001E5B24" w:rsidRPr="000842EC" w:rsidP="001E5B24">
            <w:pPr>
              <w:bidi w:val="0"/>
              <w:rPr>
                <w:rFonts w:ascii="Arial Narrow" w:hAnsi="Arial Narrow" w:cs="Arial Narrow"/>
                <w:sz w:val="16"/>
                <w:szCs w:val="16"/>
                <w:lang w:eastAsia="sk-SK"/>
              </w:rPr>
            </w:pPr>
            <w:r w:rsidRPr="000842EC">
              <w:rPr>
                <w:rFonts w:ascii="Arial Narrow" w:hAnsi="Arial Narrow" w:cs="Arial Narrow"/>
                <w:sz w:val="16"/>
                <w:szCs w:val="16"/>
                <w:lang w:eastAsia="sk-SK"/>
              </w:rPr>
              <w:t>sadzba poistného</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4,50%</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4,90%</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4,78%</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4,32%</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4,00%</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4,00%</w:t>
            </w:r>
          </w:p>
        </w:tc>
      </w:tr>
      <w:tr>
        <w:tblPrEx>
          <w:tblW w:w="9185" w:type="dxa"/>
          <w:tblInd w:w="65" w:type="dxa"/>
          <w:tblLayout w:type="fixed"/>
          <w:tblCellMar>
            <w:left w:w="70" w:type="dxa"/>
            <w:right w:w="70" w:type="dxa"/>
          </w:tblCellMar>
          <w:tblLook w:val="00A0"/>
        </w:tblPrEx>
        <w:trPr>
          <w:trHeight w:val="225"/>
        </w:trPr>
        <w:tc>
          <w:tcPr>
            <w:tcW w:w="3605" w:type="dxa"/>
            <w:tcBorders>
              <w:top w:val="nil"/>
              <w:left w:val="single" w:sz="4" w:space="0" w:color="auto"/>
              <w:bottom w:val="single" w:sz="4" w:space="0" w:color="auto"/>
              <w:right w:val="single" w:sz="4" w:space="0" w:color="auto"/>
            </w:tcBorders>
            <w:noWrap/>
            <w:textDirection w:val="lrTb"/>
            <w:vAlign w:val="bottom"/>
          </w:tcPr>
          <w:p w:rsidR="001E5B24" w:rsidRPr="000842EC" w:rsidP="001E5B24">
            <w:pPr>
              <w:bidi w:val="0"/>
              <w:rPr>
                <w:rFonts w:ascii="Arial Narrow" w:hAnsi="Arial Narrow" w:cs="Arial Narrow"/>
                <w:sz w:val="16"/>
                <w:szCs w:val="16"/>
                <w:lang w:eastAsia="sk-SK"/>
              </w:rPr>
            </w:pPr>
            <w:r w:rsidRPr="000842EC">
              <w:rPr>
                <w:rFonts w:ascii="Arial Narrow" w:hAnsi="Arial Narrow" w:cs="Arial Narrow"/>
                <w:sz w:val="16"/>
                <w:szCs w:val="16"/>
                <w:lang w:eastAsia="sk-SK"/>
              </w:rPr>
              <w:t>platba na 1 poistenca na 1 mesiac</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28,05</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32,76</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34,56</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32,16</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30,58</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lang w:eastAsia="sk-SK"/>
              </w:rPr>
            </w:pPr>
            <w:r w:rsidRPr="000842EC">
              <w:rPr>
                <w:rFonts w:ascii="Arial Narrow" w:hAnsi="Arial Narrow" w:cs="Arial Narrow"/>
                <w:sz w:val="16"/>
                <w:szCs w:val="16"/>
                <w:lang w:eastAsia="sk-SK"/>
              </w:rPr>
              <w:t>31,71</w:t>
            </w:r>
          </w:p>
        </w:tc>
      </w:tr>
      <w:tr>
        <w:tblPrEx>
          <w:tblW w:w="9185" w:type="dxa"/>
          <w:tblInd w:w="65" w:type="dxa"/>
          <w:tblLayout w:type="fixed"/>
          <w:tblCellMar>
            <w:left w:w="70" w:type="dxa"/>
            <w:right w:w="70" w:type="dxa"/>
          </w:tblCellMar>
          <w:tblLook w:val="00A0"/>
        </w:tblPrEx>
        <w:trPr>
          <w:trHeight w:val="225"/>
        </w:trPr>
        <w:tc>
          <w:tcPr>
            <w:tcW w:w="3605" w:type="dxa"/>
            <w:tcBorders>
              <w:top w:val="nil"/>
              <w:left w:val="single" w:sz="4" w:space="0" w:color="auto"/>
              <w:bottom w:val="single" w:sz="4" w:space="0" w:color="auto"/>
              <w:right w:val="single" w:sz="4" w:space="0" w:color="auto"/>
            </w:tcBorders>
            <w:noWrap/>
            <w:textDirection w:val="lrTb"/>
            <w:vAlign w:val="bottom"/>
          </w:tcPr>
          <w:p w:rsidR="001E5B24" w:rsidRPr="000842EC" w:rsidP="001E5B24">
            <w:pPr>
              <w:bidi w:val="0"/>
              <w:rPr>
                <w:rFonts w:ascii="Arial Narrow" w:hAnsi="Arial Narrow" w:cs="Arial Narrow"/>
                <w:sz w:val="16"/>
                <w:szCs w:val="16"/>
              </w:rPr>
            </w:pPr>
            <w:r w:rsidRPr="000842EC">
              <w:rPr>
                <w:rFonts w:ascii="Arial Narrow" w:hAnsi="Arial Narrow" w:cs="Arial Narrow"/>
                <w:sz w:val="16"/>
                <w:szCs w:val="16"/>
              </w:rPr>
              <w:t>rozpočtovaný počet poistencov</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3 011 927</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2 952 596</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3 092 878</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3 103 562</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3 085 000</w:t>
            </w:r>
          </w:p>
        </w:tc>
        <w:tc>
          <w:tcPr>
            <w:tcW w:w="930" w:type="dxa"/>
            <w:tcBorders>
              <w:top w:val="nil"/>
              <w:left w:val="nil"/>
              <w:bottom w:val="single" w:sz="4" w:space="0" w:color="auto"/>
              <w:right w:val="single" w:sz="4" w:space="0" w:color="auto"/>
            </w:tcBorders>
            <w:noWrap/>
            <w:textDirection w:val="lrTb"/>
            <w:vAlign w:val="bottom"/>
          </w:tcPr>
          <w:p w:rsidR="001E5B24" w:rsidRPr="000842EC" w:rsidP="001E5B24">
            <w:pPr>
              <w:bidi w:val="0"/>
              <w:jc w:val="right"/>
              <w:rPr>
                <w:rFonts w:ascii="Arial Narrow" w:hAnsi="Arial Narrow" w:cs="Arial Narrow"/>
                <w:sz w:val="16"/>
                <w:szCs w:val="16"/>
              </w:rPr>
            </w:pPr>
            <w:r w:rsidRPr="000842EC">
              <w:rPr>
                <w:rFonts w:ascii="Arial Narrow" w:hAnsi="Arial Narrow" w:cs="Arial Narrow"/>
                <w:sz w:val="16"/>
                <w:szCs w:val="16"/>
              </w:rPr>
              <w:t>3 085 000</w:t>
            </w:r>
          </w:p>
        </w:tc>
      </w:tr>
    </w:tbl>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Poistné platené štátom je určené pre zákonom vymedzené kategórie osôb. Pre rok 2011 sa predpokladajú preddavky na poistné platené štátom vo výške 1,20 mld. eur</w:t>
      </w:r>
      <w:r>
        <w:rPr>
          <w:rFonts w:ascii="Arial Narrow" w:hAnsi="Arial Narrow" w:cs="Arial Narrow"/>
          <w:sz w:val="22"/>
          <w:szCs w:val="22"/>
        </w:rPr>
        <w:t xml:space="preserve"> s medziročným poklesom o </w:t>
      </w:r>
      <w:r w:rsidRPr="00194601">
        <w:rPr>
          <w:rFonts w:ascii="Arial Narrow" w:hAnsi="Arial Narrow" w:cs="Arial Narrow"/>
          <w:sz w:val="22"/>
          <w:szCs w:val="22"/>
        </w:rPr>
        <w:t>6,62 %</w:t>
      </w:r>
      <w:r>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7F336A">
        <w:rPr>
          <w:rFonts w:ascii="Arial Narrow" w:hAnsi="Arial Narrow" w:cs="Arial Narrow"/>
          <w:sz w:val="22"/>
          <w:szCs w:val="22"/>
        </w:rPr>
        <w:t xml:space="preserve">Zníženie platby štátu pre rok 2011 oproti schválenému rozpočtu na rok 2010 v sume 84,9 mil. eur je čiastočne kompenzované vládou schválenými legislatívnymi zmenami s pozitívnym vplyvom v sume 57,4 mil. eur, ktorými sa rozširuje základňa pre výpočet odvodov na zdravotné poistenie s cieľom vytvoriť predpoklady pre synchronizáciu zdravotného a daňového systému. Výška výsledného poklesu </w:t>
      </w:r>
      <w:r>
        <w:rPr>
          <w:rFonts w:ascii="Arial Narrow" w:hAnsi="Arial Narrow" w:cs="Arial Narrow"/>
          <w:sz w:val="22"/>
          <w:szCs w:val="22"/>
        </w:rPr>
        <w:t>platby štátu</w:t>
      </w:r>
      <w:r w:rsidRPr="007F336A">
        <w:rPr>
          <w:rFonts w:ascii="Arial Narrow" w:hAnsi="Arial Narrow" w:cs="Arial Narrow"/>
          <w:sz w:val="22"/>
          <w:szCs w:val="22"/>
        </w:rPr>
        <w:t xml:space="preserve"> v sume 27,5 mil. eur potom pre rok 2011 predstavuje len 0,7%-ný podiel zdrojov </w:t>
      </w:r>
      <w:r>
        <w:rPr>
          <w:rFonts w:ascii="Arial Narrow" w:hAnsi="Arial Narrow" w:cs="Arial Narrow"/>
          <w:sz w:val="22"/>
          <w:szCs w:val="22"/>
        </w:rPr>
        <w:t>verejného zdravotného poistenia, ktorý je krytý viacerými racionalizačnými opatreniami smerujúcimi napríklad k zníženiu výdavkov na lieky.</w:t>
      </w:r>
    </w:p>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 xml:space="preserve">Kapitálové výdavky Ministerstva zdravotníctva SR zo zdrojov rozpočtových prostriedkov kapitoly sa pre rok 2011 až 2013 predpokladajú na úrovni 500 tis. eur s poklesom </w:t>
      </w:r>
      <w:r>
        <w:rPr>
          <w:rFonts w:ascii="Arial Narrow" w:hAnsi="Arial Narrow" w:cs="Arial Narrow"/>
          <w:sz w:val="22"/>
          <w:szCs w:val="22"/>
        </w:rPr>
        <w:t xml:space="preserve">oproti schválenému rozpočtu na rok 2010 </w:t>
        <w:br/>
        <w:t xml:space="preserve">o </w:t>
      </w:r>
      <w:r w:rsidRPr="00194601">
        <w:rPr>
          <w:rFonts w:ascii="Arial Narrow" w:hAnsi="Arial Narrow" w:cs="Arial Narrow"/>
          <w:sz w:val="22"/>
          <w:szCs w:val="22"/>
        </w:rPr>
        <w:t>85,5 %. Prostriedky sú určené pre financovanie investičných akcií rozpočtových a príspevkových organizácií v pôsobnosti Ministerstva zdravotníctva SR. Na modernizáciu zdravotníctva sú určené aj EÚ prostriedky prostredníctvom Ope</w:t>
      </w:r>
      <w:r>
        <w:rPr>
          <w:rFonts w:ascii="Arial Narrow" w:hAnsi="Arial Narrow" w:cs="Arial Narrow"/>
          <w:sz w:val="22"/>
          <w:szCs w:val="22"/>
        </w:rPr>
        <w:t>račného programu Zdravotníctvo, kde sa očakáva výrazný rast čerpania.</w:t>
      </w:r>
    </w:p>
    <w:p w:rsidR="001E5B24" w:rsidRPr="00194601" w:rsidP="001E5B24">
      <w:pPr>
        <w:bidi w:val="0"/>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 xml:space="preserve">Od roku 2008 sú pre rezort zdravotníctva rozpočtované EÚ prostriedky 2. programového obdobia prostredníctvom Operačného programu Zdravotníctvo, ktorý je zameraný na výstavbu, rekonštrukciu a modernizáciu všeobecných, špecializovaných nemocníc, ambulantnej zdravotnej starostlivosti a obnovu a modernizáciu zdravotníckej techniky a prostredníctvom Operačného programu Vzdelávanie so zameraním najmä na podporu ďalšieho vzdelávania zdravotníckych pracovníkov. </w:t>
      </w:r>
    </w:p>
    <w:p w:rsidR="001E5B24" w:rsidRPr="00194601" w:rsidP="001E5B24">
      <w:pPr>
        <w:bidi w:val="0"/>
        <w:ind w:firstLine="708"/>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2694"/>
        <w:gridCol w:w="1114"/>
        <w:gridCol w:w="1105"/>
        <w:gridCol w:w="1010"/>
        <w:gridCol w:w="1106"/>
        <w:gridCol w:w="1009"/>
        <w:gridCol w:w="1104"/>
      </w:tblGrid>
      <w:tr>
        <w:tblPrEx>
          <w:tblW w:w="4962" w:type="pct"/>
          <w:tblInd w:w="70" w:type="dxa"/>
          <w:tblCellMar>
            <w:left w:w="70" w:type="dxa"/>
            <w:right w:w="70" w:type="dxa"/>
          </w:tblCellMar>
          <w:tblLook w:val="00A0"/>
        </w:tblPrEx>
        <w:trPr>
          <w:trHeight w:val="225"/>
        </w:trPr>
        <w:tc>
          <w:tcPr>
            <w:tcW w:w="147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609"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604"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52"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605"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52"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604" w:type="pct"/>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25"/>
        </w:trPr>
        <w:tc>
          <w:tcPr>
            <w:tcW w:w="1473"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464DB9" w:rsidP="001E5B24">
            <w:pPr>
              <w:bidi w:val="0"/>
              <w:rPr>
                <w:rFonts w:ascii="Arial Narrow" w:hAnsi="Arial Narrow" w:cs="Arial Narrow"/>
                <w:b/>
                <w:bCs/>
                <w:sz w:val="16"/>
                <w:szCs w:val="16"/>
                <w:lang w:eastAsia="sk-SK"/>
              </w:rPr>
            </w:pPr>
            <w:r w:rsidRPr="00464DB9">
              <w:rPr>
                <w:rFonts w:ascii="Arial Narrow" w:hAnsi="Arial Narrow" w:cs="Arial Narrow"/>
                <w:b/>
                <w:bCs/>
                <w:sz w:val="16"/>
                <w:szCs w:val="16"/>
                <w:lang w:eastAsia="sk-SK"/>
              </w:rPr>
              <w:t>2. programové obdobie</w:t>
            </w:r>
          </w:p>
        </w:tc>
        <w:tc>
          <w:tcPr>
            <w:tcW w:w="609"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889</w:t>
            </w:r>
          </w:p>
        </w:tc>
        <w:tc>
          <w:tcPr>
            <w:tcW w:w="604"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18 583</w:t>
            </w:r>
          </w:p>
        </w:tc>
        <w:tc>
          <w:tcPr>
            <w:tcW w:w="552"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82 165</w:t>
            </w:r>
          </w:p>
        </w:tc>
        <w:tc>
          <w:tcPr>
            <w:tcW w:w="605"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135 000</w:t>
            </w:r>
          </w:p>
        </w:tc>
        <w:tc>
          <w:tcPr>
            <w:tcW w:w="552"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87 371</w:t>
            </w:r>
          </w:p>
        </w:tc>
        <w:tc>
          <w:tcPr>
            <w:tcW w:w="604" w:type="pct"/>
            <w:tcBorders>
              <w:top w:val="single" w:sz="4" w:space="0" w:color="auto"/>
              <w:left w:val="nil"/>
              <w:bottom w:val="single" w:sz="4" w:space="0" w:color="auto"/>
              <w:right w:val="single" w:sz="4" w:space="0" w:color="auto"/>
            </w:tcBorders>
            <w:shd w:val="clear" w:color="auto" w:fill="C0C0C0"/>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25 400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Operačný program Zdravotníctvo</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862</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17 332</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73 193</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128 000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79 871</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15 000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 xml:space="preserve">     EÚ prostriedky</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733</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14 732</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62 214</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108 800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67 890</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12 750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 xml:space="preserve">     spolufinancovanie</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129</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2 600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10 979</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19 200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11 981</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2 250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Operačný program Vzdelávanie</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27</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1 251</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8 972</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7 000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7 500</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b/>
                <w:bCs/>
                <w:sz w:val="16"/>
                <w:szCs w:val="16"/>
              </w:rPr>
            </w:pPr>
            <w:r w:rsidRPr="00464DB9">
              <w:rPr>
                <w:rFonts w:ascii="Arial Narrow" w:hAnsi="Arial Narrow" w:cs="Arial Narrow"/>
                <w:b/>
                <w:bCs/>
                <w:sz w:val="16"/>
                <w:szCs w:val="16"/>
              </w:rPr>
              <w:t>10 400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 xml:space="preserve">     EÚ prostriedky</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24</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1 106</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7 626</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5 950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6 375</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8 840</w:t>
            </w:r>
          </w:p>
        </w:tc>
      </w:tr>
      <w:tr>
        <w:tblPrEx>
          <w:tblW w:w="4962" w:type="pct"/>
          <w:tblInd w:w="70" w:type="dxa"/>
          <w:tblCellMar>
            <w:left w:w="70" w:type="dxa"/>
            <w:right w:w="70" w:type="dxa"/>
          </w:tblCellMar>
          <w:tblLook w:val="00A0"/>
        </w:tblPrEx>
        <w:trPr>
          <w:trHeight w:val="225"/>
        </w:trPr>
        <w:tc>
          <w:tcPr>
            <w:tcW w:w="1473" w:type="pct"/>
            <w:tcBorders>
              <w:top w:val="nil"/>
              <w:left w:val="single" w:sz="4" w:space="0" w:color="auto"/>
              <w:bottom w:val="single" w:sz="4" w:space="0" w:color="auto"/>
              <w:right w:val="single" w:sz="4" w:space="0" w:color="auto"/>
            </w:tcBorders>
            <w:noWrap/>
            <w:textDirection w:val="lrTb"/>
            <w:vAlign w:val="bottom"/>
          </w:tcPr>
          <w:p w:rsidR="001E5B24" w:rsidRPr="00464DB9" w:rsidP="001E5B24">
            <w:pPr>
              <w:bidi w:val="0"/>
              <w:rPr>
                <w:rFonts w:ascii="Arial Narrow" w:hAnsi="Arial Narrow" w:cs="Arial Narrow"/>
                <w:sz w:val="16"/>
                <w:szCs w:val="16"/>
                <w:lang w:eastAsia="sk-SK"/>
              </w:rPr>
            </w:pPr>
            <w:r w:rsidRPr="00464DB9">
              <w:rPr>
                <w:rFonts w:ascii="Arial Narrow" w:hAnsi="Arial Narrow" w:cs="Arial Narrow"/>
                <w:sz w:val="16"/>
                <w:szCs w:val="16"/>
                <w:lang w:eastAsia="sk-SK"/>
              </w:rPr>
              <w:t xml:space="preserve">     spolufinancovanie</w:t>
            </w:r>
          </w:p>
        </w:tc>
        <w:tc>
          <w:tcPr>
            <w:tcW w:w="609"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3</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145</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1 346</w:t>
            </w:r>
          </w:p>
        </w:tc>
        <w:tc>
          <w:tcPr>
            <w:tcW w:w="605"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1 050</w:t>
            </w:r>
          </w:p>
        </w:tc>
        <w:tc>
          <w:tcPr>
            <w:tcW w:w="552"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1 125</w:t>
            </w:r>
          </w:p>
        </w:tc>
        <w:tc>
          <w:tcPr>
            <w:tcW w:w="604" w:type="pct"/>
            <w:tcBorders>
              <w:top w:val="nil"/>
              <w:left w:val="nil"/>
              <w:bottom w:val="single" w:sz="4" w:space="0" w:color="auto"/>
              <w:right w:val="single" w:sz="4" w:space="0" w:color="auto"/>
            </w:tcBorders>
            <w:noWrap/>
            <w:textDirection w:val="lrTb"/>
            <w:vAlign w:val="bottom"/>
          </w:tcPr>
          <w:p w:rsidR="001E5B24" w:rsidRPr="00464DB9" w:rsidP="001E5B24">
            <w:pPr>
              <w:bidi w:val="0"/>
              <w:jc w:val="right"/>
              <w:rPr>
                <w:rFonts w:ascii="Arial Narrow" w:hAnsi="Arial Narrow" w:cs="Arial Narrow"/>
                <w:sz w:val="16"/>
                <w:szCs w:val="16"/>
              </w:rPr>
            </w:pPr>
            <w:r w:rsidRPr="00464DB9">
              <w:rPr>
                <w:rFonts w:ascii="Arial Narrow" w:hAnsi="Arial Narrow" w:cs="Arial Narrow"/>
                <w:sz w:val="16"/>
                <w:szCs w:val="16"/>
              </w:rPr>
              <w:t>1 560</w:t>
            </w:r>
          </w:p>
        </w:tc>
      </w:tr>
    </w:tbl>
    <w:p w:rsidR="001E5B24" w:rsidRPr="00194601" w:rsidP="001E5B24">
      <w:pPr>
        <w:bidi w:val="0"/>
        <w:ind w:firstLine="708"/>
        <w:jc w:val="both"/>
        <w:rPr>
          <w:rFonts w:ascii="Arial Narrow" w:hAnsi="Arial Narrow" w:cs="Arial Narrow"/>
          <w:sz w:val="22"/>
          <w:szCs w:val="22"/>
        </w:rPr>
      </w:pPr>
    </w:p>
    <w:p w:rsidR="001E5B24" w:rsidRPr="00194601" w:rsidP="001E5B24">
      <w:pPr>
        <w:bidi w:val="0"/>
        <w:ind w:firstLine="708"/>
        <w:jc w:val="both"/>
        <w:rPr>
          <w:rFonts w:ascii="Arial Narrow" w:hAnsi="Arial Narrow" w:cs="Arial Narrow"/>
          <w:sz w:val="22"/>
          <w:szCs w:val="22"/>
        </w:rPr>
      </w:pPr>
      <w:r w:rsidRPr="00194601">
        <w:rPr>
          <w:rFonts w:ascii="Arial Narrow" w:hAnsi="Arial Narrow" w:cs="Arial Narrow"/>
          <w:sz w:val="22"/>
          <w:szCs w:val="22"/>
        </w:rPr>
        <w:t>Pre rezort zdravotníctva sa v roku 2011 predpokladá aj čerpanie grantov v rámci programu Nórsky finančný mechanizmus a programu Finančný mechanizmus EHP vrátane spolufinancovania pre oblasť výskumu a vývoja v zdravotníctve vo výške 44 tis. eur.</w:t>
      </w:r>
    </w:p>
    <w:p w:rsidR="001E5B24" w:rsidP="001E5B24">
      <w:pPr>
        <w:bidi w:val="0"/>
        <w:rPr>
          <w:rFonts w:ascii="Arial Narrow" w:hAnsi="Arial Narrow" w:cs="Arial Narrow"/>
          <w:sz w:val="22"/>
          <w:szCs w:val="22"/>
        </w:rPr>
      </w:pPr>
    </w:p>
    <w:p w:rsidR="001E5B24" w:rsidP="001E5B24">
      <w:pPr>
        <w:bidi w:val="0"/>
        <w:jc w:val="both"/>
        <w:rPr>
          <w:rFonts w:ascii="Arial Narrow" w:hAnsi="Arial Narrow" w:cs="Arial Narrow"/>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Ministerstvo pôdohospodárstva a rozvoja vidieka SR</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Pr>
          <w:rFonts w:ascii="Arial Narrow" w:hAnsi="Arial Narrow" w:cs="Arial Narrow"/>
          <w:b/>
          <w:bCs/>
          <w:sz w:val="22"/>
          <w:szCs w:val="22"/>
        </w:rPr>
        <w:tab/>
      </w:r>
      <w:r>
        <w:rPr>
          <w:rFonts w:ascii="Arial Narrow" w:hAnsi="Arial Narrow" w:cs="Arial Narrow"/>
          <w:sz w:val="22"/>
          <w:szCs w:val="22"/>
        </w:rPr>
        <w:t>Kapitola má v roku 2011 k dispozícii zdroje vo výške 1,30 mld. eur vrátane zdrojov z EÚ a príslušného spolufinancovania, čo v porovnaní so schváleným rozpočtom roku 2010 predstavuje nárast o 12,6 %. Uvedený nárast je spôsobený presunom kompetencií v oblasti regionálneho rozvoja, ktoré sa v rozpočte kapitoly rozpočtujú od roku 2011 (pre rok 2011 predstavujú sumu 372 mil. eur). Po abstrahovaní od predmetnej zmeny by celkové výdavky kapitoly v roku 2011 oproti schválenému rozpočtu na rok 2010 klesali o 19,6%.</w:t>
      </w:r>
    </w:p>
    <w:p w:rsidR="001E5B24" w:rsidRPr="00BC7173"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AD2B41" w:rsidP="001E5B24">
            <w:pPr>
              <w:bidi w:val="0"/>
              <w:rPr>
                <w:rFonts w:ascii="Arial Narrow" w:hAnsi="Arial Narrow" w:cs="Arial Narrow"/>
                <w:b/>
                <w:bCs/>
                <w:sz w:val="16"/>
                <w:szCs w:val="16"/>
              </w:rPr>
            </w:pPr>
            <w:r w:rsidRPr="00AD2B41">
              <w:rPr>
                <w:rFonts w:ascii="Arial Narrow" w:hAnsi="Arial Narrow" w:cs="Arial Narrow"/>
                <w:b/>
                <w:bCs/>
                <w:sz w:val="16"/>
                <w:szCs w:val="16"/>
              </w:rPr>
              <w:t>Zdroje príslušnej kapitoly</w:t>
            </w:r>
          </w:p>
        </w:tc>
        <w:tc>
          <w:tcPr>
            <w:tcW w:w="49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782 419</w:t>
            </w:r>
          </w:p>
        </w:tc>
        <w:tc>
          <w:tcPr>
            <w:tcW w:w="52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1 038 072</w:t>
            </w:r>
          </w:p>
        </w:tc>
        <w:tc>
          <w:tcPr>
            <w:tcW w:w="52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1 158 603</w:t>
            </w:r>
          </w:p>
        </w:tc>
        <w:tc>
          <w:tcPr>
            <w:tcW w:w="52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1 303 986</w:t>
            </w:r>
          </w:p>
        </w:tc>
        <w:tc>
          <w:tcPr>
            <w:tcW w:w="52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1 207 078</w:t>
            </w:r>
          </w:p>
        </w:tc>
        <w:tc>
          <w:tcPr>
            <w:tcW w:w="521" w:type="pct"/>
            <w:tcBorders>
              <w:top w:val="nil"/>
              <w:left w:val="nil"/>
              <w:bottom w:val="single" w:sz="4" w:space="0" w:color="auto"/>
              <w:right w:val="single" w:sz="4" w:space="0" w:color="auto"/>
            </w:tcBorders>
            <w:shd w:val="clear" w:color="000000" w:fill="C0C0C0"/>
            <w:textDirection w:val="lrTb"/>
            <w:vAlign w:val="bottom"/>
          </w:tcPr>
          <w:p w:rsidR="001E5B24" w:rsidRPr="00AD2B41" w:rsidP="001E5B24">
            <w:pPr>
              <w:bidi w:val="0"/>
              <w:jc w:val="right"/>
              <w:rPr>
                <w:rFonts w:ascii="Arial Narrow" w:hAnsi="Arial Narrow" w:cs="Arial Narrow"/>
                <w:b/>
                <w:bCs/>
                <w:sz w:val="16"/>
                <w:szCs w:val="16"/>
              </w:rPr>
            </w:pPr>
            <w:r w:rsidRPr="00AD2B41">
              <w:rPr>
                <w:rFonts w:ascii="Arial Narrow" w:hAnsi="Arial Narrow" w:cs="Arial Narrow"/>
                <w:b/>
                <w:bCs/>
                <w:sz w:val="16"/>
                <w:szCs w:val="16"/>
              </w:rPr>
              <w:t>1 199 759</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z toho:</w:t>
            </w:r>
          </w:p>
        </w:tc>
        <w:tc>
          <w:tcPr>
            <w:tcW w:w="491" w:type="pct"/>
            <w:tcBorders>
              <w:top w:val="nil"/>
              <w:left w:val="nil"/>
              <w:bottom w:val="single" w:sz="4" w:space="0" w:color="auto"/>
              <w:right w:val="single" w:sz="4" w:space="0" w:color="auto"/>
            </w:tcBorders>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c>
          <w:tcPr>
            <w:tcW w:w="521" w:type="pct"/>
            <w:tcBorders>
              <w:top w:val="nil"/>
              <w:left w:val="nil"/>
              <w:bottom w:val="single" w:sz="4" w:space="0" w:color="auto"/>
              <w:right w:val="single" w:sz="4" w:space="0" w:color="auto"/>
            </w:tcBorders>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c>
          <w:tcPr>
            <w:tcW w:w="521" w:type="pct"/>
            <w:tcBorders>
              <w:top w:val="nil"/>
              <w:left w:val="nil"/>
              <w:bottom w:val="single" w:sz="4" w:space="0" w:color="auto"/>
              <w:right w:val="single" w:sz="4" w:space="0" w:color="auto"/>
            </w:tcBorders>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c>
          <w:tcPr>
            <w:tcW w:w="521" w:type="pct"/>
            <w:tcBorders>
              <w:top w:val="nil"/>
              <w:left w:val="nil"/>
              <w:bottom w:val="single" w:sz="4" w:space="0" w:color="auto"/>
              <w:right w:val="single" w:sz="4" w:space="0" w:color="auto"/>
            </w:tcBorders>
            <w:noWrap/>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c>
          <w:tcPr>
            <w:tcW w:w="521" w:type="pct"/>
            <w:tcBorders>
              <w:top w:val="nil"/>
              <w:left w:val="nil"/>
              <w:bottom w:val="single" w:sz="4" w:space="0" w:color="auto"/>
              <w:right w:val="single" w:sz="4" w:space="0" w:color="auto"/>
            </w:tcBorders>
            <w:noWrap/>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c>
          <w:tcPr>
            <w:tcW w:w="521" w:type="pct"/>
            <w:tcBorders>
              <w:top w:val="nil"/>
              <w:left w:val="nil"/>
              <w:bottom w:val="single" w:sz="4" w:space="0" w:color="auto"/>
              <w:right w:val="single" w:sz="4" w:space="0" w:color="auto"/>
            </w:tcBorders>
            <w:noWrap/>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 </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rozpočtové zdroje kapitoly </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117 489</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185 839</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108 317</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115 011</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97 011</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97 011</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transfer od Slovenského pozemkového fondu</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3 300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presun z min. rokov § 8</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4 667</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2 990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zdroje EÚ </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370 177</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596 902</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765 944</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948 360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941 221</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945 927</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281 913</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241 036</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284 342</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237 183</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168 846</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156 821</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iné zdroje*</w:t>
            </w:r>
          </w:p>
        </w:tc>
        <w:tc>
          <w:tcPr>
            <w:tcW w:w="49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8 173</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11 305</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132</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c>
          <w:tcPr>
            <w:tcW w:w="521" w:type="pct"/>
            <w:tcBorders>
              <w:top w:val="nil"/>
              <w:left w:val="nil"/>
              <w:bottom w:val="single" w:sz="4" w:space="0" w:color="auto"/>
              <w:right w:val="single" w:sz="4" w:space="0" w:color="auto"/>
            </w:tcBorders>
            <w:shd w:val="clear" w:color="000000" w:fill="FFFFFF"/>
            <w:textDirection w:val="lrTb"/>
            <w:vAlign w:val="bottom"/>
          </w:tcPr>
          <w:p w:rsidR="001E5B24" w:rsidRPr="00AD2B41" w:rsidP="001E5B24">
            <w:pPr>
              <w:bidi w:val="0"/>
              <w:jc w:val="right"/>
              <w:rPr>
                <w:rFonts w:ascii="Arial Narrow" w:hAnsi="Arial Narrow" w:cs="Arial Narrow"/>
                <w:sz w:val="16"/>
                <w:szCs w:val="16"/>
              </w:rPr>
            </w:pPr>
            <w:r w:rsidRPr="00AD2B41">
              <w:rPr>
                <w:rFonts w:ascii="Arial Narrow" w:hAnsi="Arial Narrow" w:cs="Arial Narrow"/>
                <w:sz w:val="16"/>
                <w:szCs w:val="16"/>
              </w:rPr>
              <w:t>0</w:t>
            </w:r>
          </w:p>
        </w:tc>
      </w:tr>
    </w:tbl>
    <w:p w:rsidR="001E5B24" w:rsidRPr="00BC30EE" w:rsidP="001E5B24">
      <w:pPr>
        <w:bidi w:val="0"/>
        <w:jc w:val="both"/>
        <w:rPr>
          <w:rFonts w:ascii="Arial Narrow" w:hAnsi="Arial Narrow" w:cs="Arial Narrow"/>
          <w:sz w:val="2"/>
          <w:szCs w:val="2"/>
        </w:rPr>
      </w:pPr>
      <w:r w:rsidRPr="005810B9">
        <w:rPr>
          <w:rFonts w:ascii="Arial Narrow" w:hAnsi="Arial Narrow" w:cs="Arial Narrow"/>
          <w:sz w:val="16"/>
          <w:szCs w:val="16"/>
        </w:rPr>
        <w:t>* zdroje EHP, NFM, vrátane príslušného spolufinancovania a iné zdroje</w:t>
      </w:r>
    </w:p>
    <w:p w:rsidR="001E5B24" w:rsidRPr="005810B9" w:rsidP="001E5B24">
      <w:pPr>
        <w:bidi w:val="0"/>
        <w:jc w:val="both"/>
        <w:rPr>
          <w:rFonts w:ascii="Arial Narrow" w:hAnsi="Arial Narrow" w:cs="Arial Narrow"/>
          <w:sz w:val="16"/>
          <w:szCs w:val="16"/>
        </w:rPr>
      </w:pPr>
      <w:r>
        <w:rPr>
          <w:rFonts w:ascii="Arial Narrow" w:hAnsi="Arial Narrow" w:cs="Arial Narrow"/>
          <w:sz w:val="16"/>
          <w:szCs w:val="16"/>
        </w:rPr>
        <w:t>Poznámka:</w:t>
      </w:r>
      <w:r w:rsidRPr="005810B9">
        <w:rPr>
          <w:rFonts w:ascii="Arial Narrow" w:hAnsi="Arial Narrow" w:cs="Arial Narrow"/>
          <w:sz w:val="16"/>
          <w:szCs w:val="16"/>
        </w:rPr>
        <w:t xml:space="preserve"> </w:t>
      </w:r>
      <w:r>
        <w:rPr>
          <w:rFonts w:ascii="Arial Narrow" w:hAnsi="Arial Narrow" w:cs="Arial Narrow"/>
          <w:sz w:val="16"/>
          <w:szCs w:val="16"/>
        </w:rPr>
        <w:t>V</w:t>
      </w:r>
      <w:r w:rsidRPr="005810B9">
        <w:rPr>
          <w:rFonts w:ascii="Arial Narrow" w:hAnsi="Arial Narrow" w:cs="Arial Narrow"/>
          <w:sz w:val="16"/>
          <w:szCs w:val="16"/>
        </w:rPr>
        <w:t> rokoch 2008 až 2010 nie sú vo výdavkoch započítané zdroje na regionálny rozvoj</w:t>
      </w:r>
      <w:r>
        <w:rPr>
          <w:rFonts w:ascii="Arial Narrow" w:hAnsi="Arial Narrow" w:cs="Arial Narrow"/>
          <w:sz w:val="16"/>
          <w:szCs w:val="16"/>
        </w:rPr>
        <w:t>.</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Pr>
          <w:rFonts w:ascii="Arial Narrow" w:hAnsi="Arial Narrow" w:cs="Arial Narrow"/>
          <w:b/>
          <w:bCs/>
          <w:sz w:val="22"/>
          <w:szCs w:val="22"/>
        </w:rPr>
        <w:tab/>
      </w:r>
      <w:r>
        <w:rPr>
          <w:rFonts w:ascii="Arial Narrow" w:hAnsi="Arial Narrow" w:cs="Arial Narrow"/>
          <w:sz w:val="22"/>
          <w:szCs w:val="22"/>
        </w:rPr>
        <w:t xml:space="preserve">Výdavky zo zdrojov EÚ v porovnaní so schváleným rozpočtom roku 2010 rastú o 23,8 %, prostriedky na spolufinancovanie zo štátneho rozpočtu medziročne klesajú o 16,6 % z dôvodu rozdielnej úrovne rozpočtovania národných </w:t>
      </w:r>
      <w:r w:rsidRPr="00087B0A">
        <w:rPr>
          <w:rFonts w:ascii="Arial Narrow" w:hAnsi="Arial Narrow" w:cs="Arial Narrow"/>
          <w:sz w:val="22"/>
          <w:szCs w:val="22"/>
        </w:rPr>
        <w:t>doplatkov k priamym platbám v jednotlivých rokoch.</w:t>
      </w:r>
    </w:p>
    <w:p w:rsidR="001E5B24" w:rsidP="001E5B24">
      <w:pPr>
        <w:bidi w:val="0"/>
        <w:jc w:val="both"/>
        <w:rPr>
          <w:rFonts w:ascii="Arial Narrow" w:hAnsi="Arial Narrow" w:cs="Arial Narrow"/>
          <w:sz w:val="22"/>
          <w:szCs w:val="22"/>
        </w:rPr>
      </w:pPr>
    </w:p>
    <w:p w:rsidR="001E5B24" w:rsidRPr="006C6685" w:rsidP="001E5B24">
      <w:pPr>
        <w:bidi w:val="0"/>
        <w:jc w:val="both"/>
        <w:rPr>
          <w:rFonts w:ascii="Arial Narrow" w:hAnsi="Arial Narrow" w:cs="Arial Narrow"/>
          <w:sz w:val="22"/>
          <w:szCs w:val="22"/>
        </w:rPr>
      </w:pPr>
      <w:r>
        <w:rPr>
          <w:rFonts w:ascii="Arial Narrow" w:hAnsi="Arial Narrow" w:cs="Arial Narrow"/>
          <w:b/>
          <w:bCs/>
          <w:sz w:val="22"/>
          <w:szCs w:val="22"/>
        </w:rPr>
        <w:tab/>
      </w:r>
      <w:r w:rsidRPr="00087B0A">
        <w:rPr>
          <w:rFonts w:ascii="Arial Narrow" w:hAnsi="Arial Narrow" w:cs="Arial Narrow"/>
          <w:sz w:val="22"/>
          <w:szCs w:val="22"/>
        </w:rPr>
        <w:t xml:space="preserve">Rozpočtové prostriedky kapitoly v roku 2011 v porovnaní so schváleným rozpočtom roku 2010 rastú o 6,18 %. Medziročnú zmenu ovplyvnil presun kompetencií v oblasti regionálneho rozvoja vo výške 5,10 mil. eur a zabezpečenie prostriedkov na financovanie DPH pre Program rozvoja vidieka SR 2007 – 2013 vo výške </w:t>
        <w:br/>
        <w:t>10,0 mil. eur. Pri abstrahovaní od týchto výdavkov rozpočtové prostriedky kapitoly medziročne klesajú o 7,76 %.</w:t>
      </w:r>
    </w:p>
    <w:p w:rsidR="001E5B24" w:rsidP="001E5B24">
      <w:pPr>
        <w:bidi w:val="0"/>
        <w:jc w:val="both"/>
        <w:rPr>
          <w:rFonts w:ascii="Arial Narrow" w:hAnsi="Arial Narrow" w:cs="Arial Narrow"/>
          <w:b/>
          <w:bCs/>
          <w:sz w:val="22"/>
          <w:szCs w:val="22"/>
        </w:rPr>
      </w:pPr>
    </w:p>
    <w:p w:rsidR="001E5B24" w:rsidRPr="00BD02A4" w:rsidP="001E5B24">
      <w:pPr>
        <w:bidi w:val="0"/>
        <w:ind w:firstLine="708"/>
        <w:jc w:val="both"/>
        <w:rPr>
          <w:rFonts w:ascii="Arial Narrow" w:hAnsi="Arial Narrow" w:cs="Arial Narrow"/>
          <w:sz w:val="22"/>
          <w:szCs w:val="22"/>
        </w:rPr>
      </w:pPr>
      <w:r w:rsidRPr="00D43615">
        <w:rPr>
          <w:rFonts w:ascii="Arial Narrow" w:hAnsi="Arial Narrow" w:cs="Arial Narrow"/>
          <w:sz w:val="22"/>
          <w:szCs w:val="22"/>
        </w:rPr>
        <w:t>Objem osobných výdavkov sa</w:t>
      </w:r>
      <w:r w:rsidRPr="00BD02A4">
        <w:rPr>
          <w:rFonts w:ascii="Arial Narrow" w:hAnsi="Arial Narrow" w:cs="Arial Narrow"/>
          <w:sz w:val="22"/>
          <w:szCs w:val="22"/>
        </w:rPr>
        <w:t xml:space="preserve"> pre rok 2011 rozpočtuje na úrovni </w:t>
      </w:r>
      <w:r>
        <w:rPr>
          <w:rFonts w:ascii="Arial Narrow" w:hAnsi="Arial Narrow" w:cs="Arial Narrow"/>
          <w:sz w:val="22"/>
          <w:szCs w:val="22"/>
        </w:rPr>
        <w:t>45</w:t>
      </w:r>
      <w:r w:rsidRPr="00BD02A4">
        <w:rPr>
          <w:rFonts w:ascii="Arial Narrow" w:hAnsi="Arial Narrow" w:cs="Arial Narrow"/>
          <w:sz w:val="22"/>
          <w:szCs w:val="22"/>
        </w:rPr>
        <w:t>,</w:t>
      </w:r>
      <w:r>
        <w:rPr>
          <w:rFonts w:ascii="Arial Narrow" w:hAnsi="Arial Narrow" w:cs="Arial Narrow"/>
          <w:sz w:val="22"/>
          <w:szCs w:val="22"/>
        </w:rPr>
        <w:t>0</w:t>
      </w:r>
      <w:r w:rsidRPr="00BD02A4">
        <w:rPr>
          <w:rFonts w:ascii="Arial Narrow" w:hAnsi="Arial Narrow" w:cs="Arial Narrow"/>
          <w:sz w:val="22"/>
          <w:szCs w:val="22"/>
        </w:rPr>
        <w:t xml:space="preserve"> mil. </w:t>
      </w:r>
      <w:r>
        <w:rPr>
          <w:rFonts w:ascii="Arial Narrow" w:hAnsi="Arial Narrow" w:cs="Arial Narrow"/>
          <w:sz w:val="22"/>
          <w:szCs w:val="22"/>
        </w:rPr>
        <w:t>eur</w:t>
      </w:r>
      <w:r w:rsidRPr="00BD02A4">
        <w:rPr>
          <w:rFonts w:ascii="Arial Narrow" w:hAnsi="Arial Narrow" w:cs="Arial Narrow"/>
          <w:sz w:val="22"/>
          <w:szCs w:val="22"/>
        </w:rPr>
        <w:t xml:space="preserve">, čo v porovnaní s rokom 2010 predstavuje </w:t>
      </w:r>
      <w:r>
        <w:rPr>
          <w:rFonts w:ascii="Arial Narrow" w:hAnsi="Arial Narrow" w:cs="Arial Narrow"/>
          <w:sz w:val="22"/>
          <w:szCs w:val="22"/>
        </w:rPr>
        <w:t>pokles</w:t>
      </w:r>
      <w:r w:rsidRPr="00BD02A4">
        <w:rPr>
          <w:rFonts w:ascii="Arial Narrow" w:hAnsi="Arial Narrow" w:cs="Arial Narrow"/>
          <w:sz w:val="22"/>
          <w:szCs w:val="22"/>
        </w:rPr>
        <w:t xml:space="preserve"> </w:t>
      </w:r>
      <w:r>
        <w:rPr>
          <w:rFonts w:ascii="Arial Narrow" w:hAnsi="Arial Narrow" w:cs="Arial Narrow"/>
          <w:sz w:val="22"/>
          <w:szCs w:val="22"/>
        </w:rPr>
        <w:t>o 2</w:t>
      </w:r>
      <w:r w:rsidRPr="00BD02A4">
        <w:rPr>
          <w:rFonts w:ascii="Arial Narrow" w:hAnsi="Arial Narrow" w:cs="Arial Narrow"/>
          <w:sz w:val="22"/>
          <w:szCs w:val="22"/>
        </w:rPr>
        <w:t>,</w:t>
      </w:r>
      <w:r>
        <w:rPr>
          <w:rFonts w:ascii="Arial Narrow" w:hAnsi="Arial Narrow" w:cs="Arial Narrow"/>
          <w:sz w:val="22"/>
          <w:szCs w:val="22"/>
        </w:rPr>
        <w:t>89</w:t>
      </w:r>
      <w:r w:rsidRPr="00BD02A4">
        <w:rPr>
          <w:rFonts w:ascii="Arial Narrow" w:hAnsi="Arial Narrow" w:cs="Arial Narrow"/>
          <w:sz w:val="22"/>
          <w:szCs w:val="22"/>
        </w:rPr>
        <w:t xml:space="preserve"> % (1,</w:t>
      </w:r>
      <w:r>
        <w:rPr>
          <w:rFonts w:ascii="Arial Narrow" w:hAnsi="Arial Narrow" w:cs="Arial Narrow"/>
          <w:sz w:val="22"/>
          <w:szCs w:val="22"/>
        </w:rPr>
        <w:t xml:space="preserve">34 mil. eur). </w:t>
      </w:r>
      <w:r w:rsidRPr="00BD02A4">
        <w:rPr>
          <w:rFonts w:ascii="Arial Narrow" w:hAnsi="Arial Narrow" w:cs="Arial Narrow"/>
          <w:sz w:val="22"/>
          <w:szCs w:val="22"/>
        </w:rPr>
        <w:t xml:space="preserve">Medziročný pokles </w:t>
      </w:r>
      <w:r>
        <w:rPr>
          <w:rFonts w:ascii="Arial Narrow" w:hAnsi="Arial Narrow" w:cs="Arial Narrow"/>
          <w:sz w:val="22"/>
          <w:szCs w:val="22"/>
        </w:rPr>
        <w:t>osobných výdavkov</w:t>
      </w:r>
      <w:r w:rsidRPr="00BD02A4">
        <w:rPr>
          <w:rFonts w:ascii="Arial Narrow" w:hAnsi="Arial Narrow" w:cs="Arial Narrow"/>
          <w:sz w:val="22"/>
          <w:szCs w:val="22"/>
        </w:rPr>
        <w:t xml:space="preserve"> je ovplyvnený </w:t>
      </w:r>
      <w:r>
        <w:rPr>
          <w:rFonts w:ascii="Arial Narrow" w:hAnsi="Arial Narrow" w:cs="Arial Narrow"/>
          <w:sz w:val="22"/>
          <w:szCs w:val="22"/>
        </w:rPr>
        <w:t xml:space="preserve">10 % </w:t>
      </w:r>
      <w:r w:rsidRPr="00BD02A4">
        <w:rPr>
          <w:rFonts w:ascii="Arial Narrow" w:hAnsi="Arial Narrow" w:cs="Arial Narrow"/>
          <w:sz w:val="22"/>
          <w:szCs w:val="22"/>
        </w:rPr>
        <w:t>viazaním osobných výdavkov štátnych zamestnancov a zamestnancov pri výkone práce vo verejnom záujme</w:t>
      </w:r>
      <w:r>
        <w:rPr>
          <w:rFonts w:ascii="Arial Narrow" w:hAnsi="Arial Narrow" w:cs="Arial Narrow"/>
          <w:sz w:val="22"/>
          <w:szCs w:val="22"/>
        </w:rPr>
        <w:br/>
      </w:r>
      <w:r w:rsidRPr="00BD02A4">
        <w:rPr>
          <w:rFonts w:ascii="Arial Narrow" w:hAnsi="Arial Narrow" w:cs="Arial Narrow"/>
          <w:sz w:val="22"/>
          <w:szCs w:val="22"/>
        </w:rPr>
        <w:t xml:space="preserve">pri </w:t>
      </w:r>
      <w:r>
        <w:rPr>
          <w:rFonts w:ascii="Arial Narrow" w:hAnsi="Arial Narrow" w:cs="Arial Narrow"/>
          <w:sz w:val="22"/>
          <w:szCs w:val="22"/>
        </w:rPr>
        <w:t>z</w:t>
      </w:r>
      <w:r w:rsidRPr="00BD02A4">
        <w:rPr>
          <w:rFonts w:ascii="Arial Narrow" w:hAnsi="Arial Narrow" w:cs="Arial Narrow"/>
          <w:sz w:val="22"/>
          <w:szCs w:val="22"/>
        </w:rPr>
        <w:t>ohľadnení dopočtu 1</w:t>
      </w:r>
      <w:r>
        <w:rPr>
          <w:rFonts w:ascii="Arial Narrow" w:hAnsi="Arial Narrow" w:cs="Arial Narrow"/>
          <w:sz w:val="22"/>
          <w:szCs w:val="22"/>
        </w:rPr>
        <w:t xml:space="preserve"> </w:t>
      </w:r>
      <w:r w:rsidRPr="00BD02A4">
        <w:rPr>
          <w:rFonts w:ascii="Arial Narrow" w:hAnsi="Arial Narrow" w:cs="Arial Narrow"/>
          <w:sz w:val="22"/>
          <w:szCs w:val="22"/>
        </w:rPr>
        <w:t>% valorizácie z roku 2010</w:t>
      </w:r>
      <w:r>
        <w:rPr>
          <w:rFonts w:ascii="Arial Narrow" w:hAnsi="Arial Narrow" w:cs="Arial Narrow"/>
          <w:sz w:val="22"/>
          <w:szCs w:val="22"/>
        </w:rPr>
        <w:t>,</w:t>
      </w:r>
      <w:r w:rsidRPr="00BD02A4">
        <w:rPr>
          <w:rFonts w:ascii="Arial Narrow" w:hAnsi="Arial Narrow" w:cs="Arial Narrow"/>
          <w:sz w:val="22"/>
          <w:szCs w:val="22"/>
        </w:rPr>
        <w:t xml:space="preserve"> 10</w:t>
      </w:r>
      <w:r>
        <w:rPr>
          <w:rFonts w:ascii="Arial Narrow" w:hAnsi="Arial Narrow" w:cs="Arial Narrow"/>
          <w:sz w:val="22"/>
          <w:szCs w:val="22"/>
        </w:rPr>
        <w:t xml:space="preserve"> </w:t>
      </w:r>
      <w:r w:rsidRPr="00BD02A4">
        <w:rPr>
          <w:rFonts w:ascii="Arial Narrow" w:hAnsi="Arial Narrow" w:cs="Arial Narrow"/>
          <w:sz w:val="22"/>
          <w:szCs w:val="22"/>
        </w:rPr>
        <w:t xml:space="preserve">% viazaním osobných výdavkov </w:t>
      </w:r>
      <w:r>
        <w:rPr>
          <w:rFonts w:ascii="Arial Narrow" w:hAnsi="Arial Narrow" w:cs="Arial Narrow"/>
          <w:sz w:val="22"/>
          <w:szCs w:val="22"/>
        </w:rPr>
        <w:t>ministra</w:t>
      </w:r>
      <w:r w:rsidRPr="00BD02A4">
        <w:rPr>
          <w:rFonts w:ascii="Arial Narrow" w:hAnsi="Arial Narrow" w:cs="Arial Narrow"/>
          <w:sz w:val="22"/>
          <w:szCs w:val="22"/>
        </w:rPr>
        <w:t xml:space="preserve"> </w:t>
      </w:r>
      <w:r>
        <w:rPr>
          <w:rFonts w:ascii="Arial Narrow" w:hAnsi="Arial Narrow" w:cs="Arial Narrow"/>
          <w:sz w:val="22"/>
          <w:szCs w:val="22"/>
        </w:rPr>
        <w:t xml:space="preserve">a zamestnancov vo verejnej funkcii </w:t>
      </w:r>
      <w:r w:rsidRPr="00BD02A4">
        <w:rPr>
          <w:rFonts w:ascii="Arial Narrow" w:hAnsi="Arial Narrow" w:cs="Arial Narrow"/>
          <w:sz w:val="22"/>
          <w:szCs w:val="22"/>
        </w:rPr>
        <w:t>z úrovne roka 2010</w:t>
      </w:r>
      <w:r>
        <w:rPr>
          <w:rFonts w:ascii="Arial Narrow" w:hAnsi="Arial Narrow" w:cs="Arial Narrow"/>
          <w:sz w:val="22"/>
          <w:szCs w:val="22"/>
        </w:rPr>
        <w:t>, zvýšením osobných výdavkov v súvislosti so zmenou kompetenčného zákona - prechod kompetencií z Ministerstva výstavby a regionálneho rozvoja SR. V limite počtu zamestnancov je premietnuté zníženie o 1 miesto štátneho tajomníka a zvýšenie o 232 osôb v súvislosti so zmenou kompetenčného zákona</w:t>
      </w:r>
      <w:r w:rsidRPr="00087B0A">
        <w:rPr>
          <w:rFonts w:ascii="Arial Narrow" w:hAnsi="Arial Narrow" w:cs="Arial Narrow"/>
          <w:sz w:val="22"/>
          <w:szCs w:val="22"/>
        </w:rPr>
        <w:t>. Po odpočítaní prostriedkov získaných z presunu kompetencií v oblasti regionálneho rozvoja by osobné výdavky v porovnaní so schváleným rozpočtom roku 2010 klesali o 9,1 %.</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Pr>
          <w:rFonts w:ascii="Arial Narrow" w:hAnsi="Arial Narrow" w:cs="Arial Narrow"/>
          <w:b/>
          <w:bCs/>
          <w:sz w:val="22"/>
          <w:szCs w:val="22"/>
        </w:rPr>
        <w:tab/>
      </w:r>
      <w:r w:rsidRPr="006A0EC7">
        <w:rPr>
          <w:rFonts w:ascii="Arial Narrow" w:hAnsi="Arial Narrow" w:cs="Arial Narrow"/>
          <w:sz w:val="22"/>
          <w:szCs w:val="22"/>
        </w:rPr>
        <w:t>Výdavky na tovary a služby</w:t>
      </w:r>
      <w:r w:rsidRPr="006A0EC7">
        <w:rPr>
          <w:rFonts w:ascii="Arial Narrow" w:hAnsi="Arial Narrow" w:cs="Arial Narrow"/>
          <w:b/>
          <w:bCs/>
          <w:sz w:val="22"/>
          <w:szCs w:val="22"/>
        </w:rPr>
        <w:t xml:space="preserve"> </w:t>
      </w:r>
      <w:r w:rsidRPr="006A0EC7">
        <w:rPr>
          <w:rFonts w:ascii="Arial Narrow" w:hAnsi="Arial Narrow" w:cs="Arial Narrow"/>
          <w:sz w:val="22"/>
          <w:szCs w:val="22"/>
        </w:rPr>
        <w:t>v porovnaní so schváleným rozpočtom roku 2010 rastú o 9,22 %, uvedený nárast je spôsobený presunom kompetencií v oblasti regionálneho rozvoja a zabezpečením prostriedkov na financovanie DPH pre Program rozvoja vidieka SR 2007 – 2013 na pozemkové úpravy. Pri abstrahovaní od týchto prostriedkov výdavky na tovary a služby medziročne klesajú o 6,84 %. Nižší pokles týchto výdavkov je z dôvodu rozhodnutia kapitoly premietnuť viazanie vo väčšej miere na svojich príspevkových organizáciách.</w:t>
      </w:r>
    </w:p>
    <w:p w:rsidR="001E5B24" w:rsidP="001E5B24">
      <w:pPr>
        <w:bidi w:val="0"/>
        <w:jc w:val="both"/>
        <w:rPr>
          <w:rFonts w:ascii="Arial Narrow" w:hAnsi="Arial Narrow" w:cs="Arial Narrow"/>
          <w:sz w:val="22"/>
          <w:szCs w:val="22"/>
        </w:rPr>
      </w:pPr>
    </w:p>
    <w:p w:rsidR="001E5B24" w:rsidRPr="006C6685" w:rsidP="001E5B24">
      <w:pPr>
        <w:bidi w:val="0"/>
        <w:jc w:val="both"/>
        <w:rPr>
          <w:rFonts w:ascii="Arial Narrow" w:hAnsi="Arial Narrow" w:cs="Arial Narrow"/>
          <w:sz w:val="22"/>
          <w:szCs w:val="22"/>
        </w:rPr>
      </w:pPr>
      <w:r>
        <w:rPr>
          <w:rFonts w:ascii="Arial Narrow" w:hAnsi="Arial Narrow" w:cs="Arial Narrow"/>
          <w:sz w:val="22"/>
          <w:szCs w:val="22"/>
        </w:rPr>
        <w:tab/>
        <w:t xml:space="preserve">Výdavky na bežné transfery v porovnaní so schváleným rozpočtom roku 2010 </w:t>
      </w:r>
      <w:r w:rsidRPr="00B464F0">
        <w:rPr>
          <w:rFonts w:ascii="Arial Narrow" w:hAnsi="Arial Narrow" w:cs="Arial Narrow"/>
          <w:sz w:val="22"/>
          <w:szCs w:val="22"/>
        </w:rPr>
        <w:t xml:space="preserve"> </w:t>
      </w:r>
      <w:r w:rsidRPr="00F75D0C">
        <w:rPr>
          <w:rFonts w:ascii="Arial Narrow" w:hAnsi="Arial Narrow" w:cs="Arial Narrow"/>
          <w:sz w:val="22"/>
          <w:szCs w:val="22"/>
        </w:rPr>
        <w:t>rastú</w:t>
      </w:r>
      <w:r>
        <w:rPr>
          <w:rFonts w:ascii="Arial Narrow" w:hAnsi="Arial Narrow" w:cs="Arial Narrow"/>
          <w:sz w:val="22"/>
          <w:szCs w:val="22"/>
        </w:rPr>
        <w:t xml:space="preserve"> o 16,9 %, uvedený nárast je spôsobený </w:t>
      </w:r>
      <w:r w:rsidRPr="006259BE">
        <w:rPr>
          <w:rFonts w:ascii="Arial Narrow" w:hAnsi="Arial Narrow" w:cs="Arial Narrow"/>
          <w:sz w:val="22"/>
          <w:szCs w:val="22"/>
        </w:rPr>
        <w:t>presun</w:t>
      </w:r>
      <w:r>
        <w:rPr>
          <w:rFonts w:ascii="Arial Narrow" w:hAnsi="Arial Narrow" w:cs="Arial Narrow"/>
          <w:sz w:val="22"/>
          <w:szCs w:val="22"/>
        </w:rPr>
        <w:t>om</w:t>
      </w:r>
      <w:r w:rsidRPr="006259BE">
        <w:rPr>
          <w:rFonts w:ascii="Arial Narrow" w:hAnsi="Arial Narrow" w:cs="Arial Narrow"/>
          <w:sz w:val="22"/>
          <w:szCs w:val="22"/>
        </w:rPr>
        <w:t xml:space="preserve"> kompetencií v</w:t>
      </w:r>
      <w:r>
        <w:rPr>
          <w:rFonts w:ascii="Arial Narrow" w:hAnsi="Arial Narrow" w:cs="Arial Narrow"/>
          <w:sz w:val="22"/>
          <w:szCs w:val="22"/>
        </w:rPr>
        <w:t> </w:t>
      </w:r>
      <w:r w:rsidRPr="006259BE">
        <w:rPr>
          <w:rFonts w:ascii="Arial Narrow" w:hAnsi="Arial Narrow" w:cs="Arial Narrow"/>
          <w:sz w:val="22"/>
          <w:szCs w:val="22"/>
        </w:rPr>
        <w:t>oblasti</w:t>
      </w:r>
      <w:r>
        <w:rPr>
          <w:rFonts w:ascii="Arial Narrow" w:hAnsi="Arial Narrow" w:cs="Arial Narrow"/>
          <w:sz w:val="22"/>
          <w:szCs w:val="22"/>
        </w:rPr>
        <w:t xml:space="preserve"> regionálneho rozvoja a zabezpečením prostriedkov na </w:t>
      </w:r>
      <w:r w:rsidRPr="00F75D0C">
        <w:rPr>
          <w:rFonts w:ascii="Arial Narrow" w:hAnsi="Arial Narrow" w:cs="Arial Narrow"/>
          <w:sz w:val="22"/>
          <w:szCs w:val="22"/>
        </w:rPr>
        <w:t xml:space="preserve">financovanie DPH pre </w:t>
      </w:r>
      <w:r>
        <w:rPr>
          <w:rFonts w:ascii="Arial Narrow" w:hAnsi="Arial Narrow" w:cs="Arial Narrow"/>
          <w:sz w:val="22"/>
          <w:szCs w:val="22"/>
        </w:rPr>
        <w:t xml:space="preserve">obce v </w:t>
      </w:r>
      <w:r w:rsidRPr="00F75D0C">
        <w:rPr>
          <w:rFonts w:ascii="Arial Narrow" w:hAnsi="Arial Narrow" w:cs="Arial Narrow"/>
          <w:sz w:val="22"/>
          <w:szCs w:val="22"/>
        </w:rPr>
        <w:t>Program</w:t>
      </w:r>
      <w:r>
        <w:rPr>
          <w:rFonts w:ascii="Arial Narrow" w:hAnsi="Arial Narrow" w:cs="Arial Narrow"/>
          <w:sz w:val="22"/>
          <w:szCs w:val="22"/>
        </w:rPr>
        <w:t>e</w:t>
      </w:r>
      <w:r w:rsidRPr="00F75D0C">
        <w:rPr>
          <w:rFonts w:ascii="Arial Narrow" w:hAnsi="Arial Narrow" w:cs="Arial Narrow"/>
          <w:sz w:val="22"/>
          <w:szCs w:val="22"/>
        </w:rPr>
        <w:t xml:space="preserve"> rozvoja vidieka SR 2007 – 2013</w:t>
      </w:r>
      <w:r w:rsidRPr="00433EC9">
        <w:rPr>
          <w:rFonts w:ascii="Arial Narrow" w:hAnsi="Arial Narrow" w:cs="Arial Narrow"/>
          <w:sz w:val="22"/>
          <w:szCs w:val="22"/>
        </w:rPr>
        <w:t>. Pri abstrahovaní od týchto prostriedkov výdavky na bežné transfery medziročne klesajú o 7,95 % s tým, že výdavky na štátnu pomoc a národné podpory sa rozpočtujú na približne rovnakej úrovni ako v schválenom rozpočte roku 2010.</w:t>
      </w:r>
    </w:p>
    <w:p w:rsidR="001E5B24" w:rsidP="001E5B24">
      <w:pPr>
        <w:bidi w:val="0"/>
        <w:jc w:val="both"/>
        <w:rPr>
          <w:rFonts w:ascii="Arial Narrow" w:hAnsi="Arial Narrow" w:cs="Arial Narrow"/>
          <w:sz w:val="22"/>
          <w:szCs w:val="22"/>
        </w:rPr>
      </w:pPr>
    </w:p>
    <w:p w:rsidR="001E5B24" w:rsidRPr="0093425B" w:rsidP="001E5B24">
      <w:pPr>
        <w:bidi w:val="0"/>
        <w:jc w:val="both"/>
        <w:rPr>
          <w:rFonts w:ascii="Arial Narrow" w:hAnsi="Arial Narrow" w:cs="Arial Narrow"/>
          <w:sz w:val="22"/>
          <w:szCs w:val="22"/>
        </w:rPr>
      </w:pPr>
      <w:r>
        <w:rPr>
          <w:rFonts w:ascii="Arial Narrow" w:hAnsi="Arial Narrow" w:cs="Arial Narrow"/>
          <w:b/>
          <w:bCs/>
          <w:sz w:val="22"/>
          <w:szCs w:val="22"/>
        </w:rPr>
        <w:tab/>
      </w:r>
      <w:r w:rsidRPr="00915BE2">
        <w:rPr>
          <w:rFonts w:ascii="Arial Narrow" w:hAnsi="Arial Narrow" w:cs="Arial Narrow"/>
          <w:sz w:val="22"/>
          <w:szCs w:val="22"/>
        </w:rPr>
        <w:t>Kapitálové výdavky v porovnaní so schváleným rozpočtom roku 2010 rastú o 0,32 mil. eur, t. j. o 16,1 %. Medziročnú zmenu ovplyvnil presun kompetencií v oblasti regionálneho rozvoja.</w:t>
      </w:r>
      <w:r w:rsidRPr="0093425B">
        <w:rPr>
          <w:rFonts w:ascii="Arial Narrow" w:hAnsi="Arial Narrow" w:cs="Arial Narrow"/>
          <w:sz w:val="22"/>
          <w:szCs w:val="22"/>
        </w:rPr>
        <w:tab/>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537A9A">
        <w:rPr>
          <w:rFonts w:ascii="Arial Narrow" w:hAnsi="Arial Narrow" w:cs="Arial Narrow"/>
          <w:sz w:val="22"/>
          <w:szCs w:val="22"/>
        </w:rPr>
        <w:t>Výdavky kapitoly Ministerstva pôdohospodárstva</w:t>
      </w:r>
      <w:r w:rsidR="007C7DA8">
        <w:rPr>
          <w:rFonts w:ascii="Arial Narrow" w:hAnsi="Arial Narrow" w:cs="Arial Narrow"/>
          <w:sz w:val="22"/>
          <w:szCs w:val="22"/>
        </w:rPr>
        <w:t xml:space="preserve"> a</w:t>
      </w:r>
      <w:r w:rsidRPr="00537A9A">
        <w:rPr>
          <w:rFonts w:ascii="Arial Narrow" w:hAnsi="Arial Narrow" w:cs="Arial Narrow"/>
          <w:sz w:val="22"/>
          <w:szCs w:val="22"/>
        </w:rPr>
        <w:t xml:space="preserve"> rozvoja </w:t>
      </w:r>
      <w:r w:rsidR="007C7DA8">
        <w:rPr>
          <w:rFonts w:ascii="Arial Narrow" w:hAnsi="Arial Narrow" w:cs="Arial Narrow"/>
          <w:sz w:val="22"/>
          <w:szCs w:val="22"/>
        </w:rPr>
        <w:t xml:space="preserve">vidieka </w:t>
      </w:r>
      <w:r w:rsidRPr="00537A9A">
        <w:rPr>
          <w:rFonts w:ascii="Arial Narrow" w:hAnsi="Arial Narrow" w:cs="Arial Narrow"/>
          <w:sz w:val="22"/>
          <w:szCs w:val="22"/>
        </w:rPr>
        <w:t>SR sú smerované do oblastí:</w:t>
      </w:r>
    </w:p>
    <w:p w:rsidR="001E5B24" w:rsidP="001E5B24">
      <w:pPr>
        <w:bidi w:val="0"/>
        <w:ind w:firstLine="708"/>
        <w:jc w:val="both"/>
        <w:rPr>
          <w:rFonts w:ascii="Arial Narrow" w:hAnsi="Arial Narrow" w:cs="Arial Narrow"/>
          <w:sz w:val="22"/>
          <w:szCs w:val="22"/>
        </w:rPr>
      </w:pPr>
    </w:p>
    <w:p w:rsidR="001E5B24" w:rsidRPr="00DB5D38" w:rsidP="001E5B24">
      <w:pPr>
        <w:bidi w:val="0"/>
        <w:jc w:val="both"/>
        <w:rPr>
          <w:rFonts w:ascii="Arial Narrow" w:hAnsi="Arial Narrow" w:cs="Arial Narrow"/>
          <w:sz w:val="22"/>
          <w:szCs w:val="22"/>
        </w:rPr>
      </w:pPr>
      <w:r w:rsidRPr="00DB5D38">
        <w:rPr>
          <w:rFonts w:ascii="Arial Narrow" w:hAnsi="Arial Narrow" w:cs="Arial Narrow"/>
          <w:sz w:val="22"/>
          <w:szCs w:val="22"/>
        </w:rPr>
        <w:t>Priame platby</w:t>
      </w:r>
    </w:p>
    <w:p w:rsidR="001E5B24" w:rsidRPr="005810B9"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81330A" w:rsidP="001E5B24">
            <w:pPr>
              <w:bidi w:val="0"/>
              <w:rPr>
                <w:rFonts w:ascii="Arial Narrow" w:hAnsi="Arial Narrow" w:cs="Arial Narrow"/>
                <w:b/>
                <w:bCs/>
                <w:sz w:val="16"/>
                <w:szCs w:val="16"/>
              </w:rPr>
            </w:pPr>
            <w:r w:rsidRPr="0081330A">
              <w:rPr>
                <w:rFonts w:ascii="Arial Narrow" w:hAnsi="Arial Narrow" w:cs="Arial Narrow"/>
                <w:b/>
                <w:bCs/>
                <w:sz w:val="16"/>
                <w:szCs w:val="16"/>
              </w:rPr>
              <w:t>Priame platby celkom, v tom:</w:t>
            </w:r>
          </w:p>
        </w:tc>
        <w:tc>
          <w:tcPr>
            <w:tcW w:w="49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370 401</w:t>
            </w:r>
          </w:p>
        </w:tc>
        <w:tc>
          <w:tcPr>
            <w:tcW w:w="52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364 101</w:t>
            </w:r>
          </w:p>
        </w:tc>
        <w:tc>
          <w:tcPr>
            <w:tcW w:w="52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360 398</w:t>
            </w:r>
          </w:p>
        </w:tc>
        <w:tc>
          <w:tcPr>
            <w:tcW w:w="52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357 746</w:t>
            </w:r>
          </w:p>
        </w:tc>
        <w:tc>
          <w:tcPr>
            <w:tcW w:w="52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352 546</w:t>
            </w:r>
          </w:p>
        </w:tc>
        <w:tc>
          <w:tcPr>
            <w:tcW w:w="521"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388 360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EÚ</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155 640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227 044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241 128</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278 359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316 964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355 242</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39 673</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29 702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40 536</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38 789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35 582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33 118</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národná vyrovnávacia platba (ŠR)</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175 088</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107 355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78 734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40 598</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bl>
    <w:p w:rsidR="001E5B24" w:rsidRPr="000D3AE3" w:rsidP="001E5B24">
      <w:pPr>
        <w:bidi w:val="0"/>
        <w:jc w:val="both"/>
        <w:rPr>
          <w:rFonts w:ascii="Arial Narrow" w:hAnsi="Arial Narrow" w:cs="Arial Narrow"/>
          <w:b/>
          <w:bCs/>
          <w:sz w:val="22"/>
          <w:szCs w:val="22"/>
        </w:rPr>
      </w:pPr>
    </w:p>
    <w:p w:rsidR="001E5B24" w:rsidRPr="00747DB6" w:rsidP="001E5B24">
      <w:pPr>
        <w:bidi w:val="0"/>
        <w:jc w:val="both"/>
        <w:rPr>
          <w:rFonts w:ascii="Arial Narrow" w:hAnsi="Arial Narrow" w:cs="Arial Narrow"/>
          <w:sz w:val="22"/>
          <w:szCs w:val="22"/>
        </w:rPr>
      </w:pPr>
      <w:r w:rsidRPr="000D3AE3">
        <w:rPr>
          <w:rFonts w:ascii="Arial Narrow" w:hAnsi="Arial Narrow" w:cs="Arial Narrow"/>
          <w:sz w:val="22"/>
          <w:szCs w:val="22"/>
        </w:rPr>
        <w:tab/>
      </w:r>
      <w:r w:rsidRPr="00747DB6">
        <w:rPr>
          <w:rFonts w:ascii="Arial Narrow" w:hAnsi="Arial Narrow" w:cs="Arial Narrow"/>
          <w:sz w:val="22"/>
          <w:szCs w:val="22"/>
        </w:rPr>
        <w:t>Priame platby predstavujú dotácie na zachovanie poľnohospodárskej produkcie podľa vopred stanovených výrobných kvót. V roku 2011 predstavujú úroveň 90,0 % priemeru krajín EÚ 15. V roku 2010</w:t>
      </w:r>
      <w:r>
        <w:rPr>
          <w:rFonts w:ascii="Arial Narrow" w:hAnsi="Arial Narrow" w:cs="Arial Narrow"/>
          <w:sz w:val="22"/>
          <w:szCs w:val="22"/>
        </w:rPr>
        <w:t xml:space="preserve"> priame platby predstavovali 90 </w:t>
      </w:r>
      <w:r w:rsidRPr="00747DB6">
        <w:rPr>
          <w:rFonts w:ascii="Arial Narrow" w:hAnsi="Arial Narrow" w:cs="Arial Narrow"/>
          <w:sz w:val="22"/>
          <w:szCs w:val="22"/>
        </w:rPr>
        <w:t>% priemeru krajín EÚ 15</w:t>
      </w:r>
      <w:r>
        <w:rPr>
          <w:rFonts w:ascii="Arial Narrow" w:hAnsi="Arial Narrow" w:cs="Arial Narrow"/>
          <w:sz w:val="22"/>
          <w:szCs w:val="22"/>
        </w:rPr>
        <w:t xml:space="preserve">. </w:t>
      </w:r>
      <w:r w:rsidRPr="00747DB6">
        <w:rPr>
          <w:rFonts w:ascii="Arial Narrow" w:hAnsi="Arial Narrow" w:cs="Arial Narrow"/>
          <w:sz w:val="22"/>
          <w:szCs w:val="22"/>
        </w:rPr>
        <w:t>V priebehu roku 2010 došlo k presunom, národná vyrovnávacia platba sa znížila o 2,6 %,  celkový upravený rozpočet na priame platby predstavuje 87,4 %. Priame platby sú tak v</w:t>
      </w:r>
      <w:r>
        <w:rPr>
          <w:rFonts w:ascii="Arial Narrow" w:hAnsi="Arial Narrow" w:cs="Arial Narrow"/>
          <w:sz w:val="22"/>
          <w:szCs w:val="22"/>
        </w:rPr>
        <w:t> roku 2011 v porovnaní s upraveným rozpočtom roku 2010</w:t>
      </w:r>
      <w:r w:rsidRPr="00747DB6">
        <w:rPr>
          <w:rFonts w:ascii="Arial Narrow" w:hAnsi="Arial Narrow" w:cs="Arial Narrow"/>
          <w:sz w:val="22"/>
          <w:szCs w:val="22"/>
        </w:rPr>
        <w:t>  o 2,16 % vyššie.</w:t>
      </w:r>
    </w:p>
    <w:p w:rsidR="001E5B24" w:rsidRPr="000D3AE3" w:rsidP="001E5B24">
      <w:pPr>
        <w:bidi w:val="0"/>
        <w:jc w:val="both"/>
        <w:rPr>
          <w:rFonts w:ascii="Arial Narrow" w:hAnsi="Arial Narrow" w:cs="Arial Narrow"/>
          <w:sz w:val="22"/>
          <w:szCs w:val="22"/>
          <w:highlight w:val="yellow"/>
        </w:rPr>
      </w:pPr>
    </w:p>
    <w:p w:rsidR="001E5B24" w:rsidRPr="009F1757" w:rsidP="001E5B24">
      <w:pPr>
        <w:bidi w:val="0"/>
        <w:jc w:val="both"/>
        <w:rPr>
          <w:rFonts w:ascii="Arial Narrow" w:hAnsi="Arial Narrow" w:cs="Arial Narrow"/>
          <w:sz w:val="22"/>
          <w:szCs w:val="22"/>
        </w:rPr>
      </w:pPr>
      <w:r w:rsidR="00DB4442">
        <w:rPr>
          <w:rFonts w:ascii="Arial Narrow" w:hAnsi="Arial Narrow" w:cs="Arial Narrow"/>
          <w:sz w:val="22"/>
          <w:szCs w:val="22"/>
        </w:rPr>
        <w:br w:type="page"/>
      </w:r>
      <w:r w:rsidRPr="009F1757">
        <w:rPr>
          <w:rFonts w:ascii="Arial Narrow" w:hAnsi="Arial Narrow" w:cs="Arial Narrow"/>
          <w:sz w:val="22"/>
          <w:szCs w:val="22"/>
        </w:rPr>
        <w:t>Rozvoj vidieka</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81330A" w:rsidP="001E5B24">
            <w:pPr>
              <w:bidi w:val="0"/>
              <w:rPr>
                <w:rFonts w:ascii="Arial Narrow" w:hAnsi="Arial Narrow" w:cs="Arial Narrow"/>
                <w:b/>
                <w:bCs/>
                <w:sz w:val="16"/>
                <w:szCs w:val="16"/>
              </w:rPr>
            </w:pPr>
            <w:r w:rsidRPr="0081330A">
              <w:rPr>
                <w:rFonts w:ascii="Arial Narrow" w:hAnsi="Arial Narrow" w:cs="Arial Narrow"/>
                <w:b/>
                <w:bCs/>
                <w:sz w:val="16"/>
                <w:szCs w:val="16"/>
              </w:rPr>
              <w:t>Rozvoj vidieka celkom, v tom:</w:t>
            </w:r>
          </w:p>
        </w:tc>
        <w:tc>
          <w:tcPr>
            <w:tcW w:w="49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273 726</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433 450</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651 154</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425 200</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303 583</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303 583</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EÚ</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207 869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331 825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489 709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325 404</w:t>
            </w:r>
          </w:p>
        </w:tc>
        <w:tc>
          <w:tcPr>
            <w:tcW w:w="521" w:type="pct"/>
            <w:tcBorders>
              <w:top w:val="nil"/>
              <w:left w:val="nil"/>
              <w:bottom w:val="single" w:sz="4" w:space="0" w:color="auto"/>
              <w:right w:val="single" w:sz="4" w:space="0" w:color="auto"/>
            </w:tcBorders>
            <w:shd w:val="clear" w:color="000000" w:fill="FFFFFF"/>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234 896</w:t>
            </w:r>
          </w:p>
        </w:tc>
        <w:tc>
          <w:tcPr>
            <w:tcW w:w="521" w:type="pct"/>
            <w:tcBorders>
              <w:top w:val="nil"/>
              <w:left w:val="nil"/>
              <w:bottom w:val="single" w:sz="4" w:space="0" w:color="auto"/>
              <w:right w:val="single" w:sz="4" w:space="0" w:color="auto"/>
            </w:tcBorders>
            <w:shd w:val="clear" w:color="000000" w:fill="FFFFFF"/>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234 896</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65 857</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101 625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161 445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99 796</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68 687</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68 687</w:t>
            </w:r>
          </w:p>
        </w:tc>
      </w:tr>
    </w:tbl>
    <w:p w:rsidR="001E5B24" w:rsidRPr="006A2EC7" w:rsidP="001E5B24">
      <w:pPr>
        <w:bidi w:val="0"/>
        <w:jc w:val="both"/>
        <w:rPr>
          <w:rFonts w:ascii="Arial Narrow" w:hAnsi="Arial Narrow" w:cs="Arial Narrow"/>
          <w:b/>
          <w:bCs/>
          <w:sz w:val="22"/>
          <w:szCs w:val="22"/>
        </w:rPr>
      </w:pPr>
    </w:p>
    <w:p w:rsidR="001E5B24" w:rsidRPr="00CF0C4B" w:rsidP="001E5B24">
      <w:pPr>
        <w:bidi w:val="0"/>
        <w:jc w:val="both"/>
        <w:rPr>
          <w:rFonts w:ascii="Arial Narrow" w:hAnsi="Arial Narrow" w:cs="Arial Narrow"/>
          <w:sz w:val="22"/>
          <w:szCs w:val="22"/>
        </w:rPr>
      </w:pPr>
      <w:r w:rsidRPr="006A2EC7">
        <w:rPr>
          <w:rFonts w:ascii="Arial Narrow" w:hAnsi="Arial Narrow" w:cs="Arial Narrow"/>
          <w:sz w:val="22"/>
          <w:szCs w:val="22"/>
        </w:rPr>
        <w:tab/>
      </w:r>
      <w:r w:rsidRPr="00CF0C4B">
        <w:rPr>
          <w:rFonts w:ascii="Arial Narrow" w:hAnsi="Arial Narrow" w:cs="Arial Narrow"/>
          <w:sz w:val="22"/>
          <w:szCs w:val="22"/>
        </w:rPr>
        <w:t xml:space="preserve">V programovom období 2007 – 2013 sa rozvoj vidieka podporuje z Európskeho poľnohospodárskeho fondu pre rozvoj vidieka, čím sa zabezpečuje vyššia konkurencieschopnosť poľnohospodárstva, potravinárstva a lesného hospodárstva, lepší stav životného prostredia a krajiny, kvalitnejší život vo vidieckych oblastiach a diverzifikácia vidieckeho hospodárstva. Výdavky na rozvoj vidieka sú oproti </w:t>
      </w:r>
      <w:r>
        <w:rPr>
          <w:rFonts w:ascii="Arial Narrow" w:hAnsi="Arial Narrow" w:cs="Arial Narrow"/>
          <w:sz w:val="22"/>
          <w:szCs w:val="22"/>
        </w:rPr>
        <w:t xml:space="preserve">schválenému rozpočtu </w:t>
      </w:r>
      <w:r w:rsidRPr="00CF0C4B">
        <w:rPr>
          <w:rFonts w:ascii="Arial Narrow" w:hAnsi="Arial Narrow" w:cs="Arial Narrow"/>
          <w:sz w:val="22"/>
          <w:szCs w:val="22"/>
        </w:rPr>
        <w:t>roku 2010 o 34,7</w:t>
      </w:r>
      <w:r w:rsidR="007C7DA8">
        <w:rPr>
          <w:rFonts w:ascii="Arial Narrow" w:hAnsi="Arial Narrow" w:cs="Arial Narrow"/>
          <w:sz w:val="22"/>
          <w:szCs w:val="22"/>
        </w:rPr>
        <w:t xml:space="preserve"> </w:t>
      </w:r>
      <w:r w:rsidRPr="00CF0C4B">
        <w:rPr>
          <w:rFonts w:ascii="Arial Narrow" w:hAnsi="Arial Narrow" w:cs="Arial Narrow"/>
          <w:sz w:val="22"/>
          <w:szCs w:val="22"/>
        </w:rPr>
        <w:t>% nižšie. Výška týchto výdavkov je v plnej miere ovplyvňovaná alokáciou výdavkov EÚ a spolufinancovania v rámci 2. programového obdobia na roky 2007 až 2013.</w:t>
      </w:r>
    </w:p>
    <w:p w:rsidR="001E5B24" w:rsidRPr="006A2EC7" w:rsidP="001E5B24">
      <w:pPr>
        <w:bidi w:val="0"/>
        <w:jc w:val="both"/>
        <w:rPr>
          <w:rFonts w:ascii="Arial Narrow" w:hAnsi="Arial Narrow" w:cs="Arial Narrow"/>
          <w:sz w:val="22"/>
          <w:szCs w:val="22"/>
        </w:rPr>
      </w:pPr>
    </w:p>
    <w:p w:rsidR="001E5B24" w:rsidRPr="002A5B9B" w:rsidP="001E5B24">
      <w:pPr>
        <w:bidi w:val="0"/>
        <w:jc w:val="both"/>
        <w:rPr>
          <w:rFonts w:ascii="Arial Narrow" w:hAnsi="Arial Narrow" w:cs="Arial Narrow"/>
          <w:sz w:val="22"/>
          <w:szCs w:val="22"/>
        </w:rPr>
      </w:pPr>
      <w:r w:rsidRPr="002A5B9B">
        <w:rPr>
          <w:rFonts w:ascii="Arial Narrow" w:hAnsi="Arial Narrow" w:cs="Arial Narrow"/>
          <w:sz w:val="22"/>
          <w:szCs w:val="22"/>
        </w:rPr>
        <w:t>Rybné hospodárstvo</w:t>
      </w:r>
    </w:p>
    <w:p w:rsidR="001E5B24" w:rsidRPr="00DD5FC4" w:rsidP="001E5B24">
      <w:pPr>
        <w:bidi w:val="0"/>
        <w:jc w:val="both"/>
        <w:rPr>
          <w:rFonts w:ascii="Arial Narrow" w:hAnsi="Arial Narrow" w:cs="Arial Narrow"/>
          <w:b/>
          <w:bCs/>
          <w:sz w:val="16"/>
          <w:szCs w:val="16"/>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81330A" w:rsidP="001E5B24">
            <w:pPr>
              <w:bidi w:val="0"/>
              <w:rPr>
                <w:rFonts w:ascii="Arial Narrow" w:hAnsi="Arial Narrow" w:cs="Arial Narrow"/>
                <w:b/>
                <w:bCs/>
                <w:sz w:val="16"/>
                <w:szCs w:val="16"/>
              </w:rPr>
            </w:pPr>
            <w:r w:rsidRPr="0081330A">
              <w:rPr>
                <w:rFonts w:ascii="Arial Narrow" w:hAnsi="Arial Narrow" w:cs="Arial Narrow"/>
                <w:b/>
                <w:bCs/>
                <w:sz w:val="16"/>
                <w:szCs w:val="16"/>
              </w:rPr>
              <w:t>Rybné hospodárstvo celkom, v tom:</w:t>
            </w:r>
          </w:p>
        </w:tc>
        <w:tc>
          <w:tcPr>
            <w:tcW w:w="49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744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630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3 187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3 598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3 529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2 957 </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EÚ</w:t>
            </w:r>
          </w:p>
        </w:tc>
        <w:tc>
          <w:tcPr>
            <w:tcW w:w="49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521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465 </w:t>
            </w:r>
          </w:p>
        </w:tc>
        <w:tc>
          <w:tcPr>
            <w:tcW w:w="521" w:type="pct"/>
            <w:tcBorders>
              <w:top w:val="nil"/>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2 300 </w:t>
            </w:r>
          </w:p>
        </w:tc>
        <w:tc>
          <w:tcPr>
            <w:tcW w:w="521" w:type="pct"/>
            <w:tcBorders>
              <w:top w:val="nil"/>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2 596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2 544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2 213 </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223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165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887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1 002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985 </w:t>
            </w:r>
          </w:p>
        </w:tc>
        <w:tc>
          <w:tcPr>
            <w:tcW w:w="521" w:type="pct"/>
            <w:tcBorders>
              <w:top w:val="nil"/>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744 </w:t>
            </w:r>
          </w:p>
        </w:tc>
      </w:tr>
    </w:tbl>
    <w:p w:rsidR="001E5B24" w:rsidRPr="006A2EC7" w:rsidP="001E5B24">
      <w:pPr>
        <w:bidi w:val="0"/>
        <w:jc w:val="both"/>
        <w:rPr>
          <w:rFonts w:ascii="Arial Narrow" w:hAnsi="Arial Narrow" w:cs="Arial Narrow"/>
          <w:b/>
          <w:bCs/>
          <w:sz w:val="22"/>
          <w:szCs w:val="22"/>
        </w:rPr>
      </w:pPr>
      <w:r w:rsidRPr="006A2EC7">
        <w:rPr>
          <w:rFonts w:ascii="Arial Narrow" w:hAnsi="Arial Narrow" w:cs="Arial Narrow"/>
          <w:b/>
          <w:bCs/>
          <w:sz w:val="16"/>
          <w:szCs w:val="16"/>
        </w:rPr>
        <w:tab/>
      </w:r>
    </w:p>
    <w:p w:rsidR="001E5B24" w:rsidRPr="002A5B9B" w:rsidP="001E5B24">
      <w:pPr>
        <w:bidi w:val="0"/>
        <w:jc w:val="both"/>
        <w:rPr>
          <w:rFonts w:ascii="Arial Narrow" w:hAnsi="Arial Narrow" w:cs="Arial Narrow"/>
          <w:sz w:val="22"/>
          <w:szCs w:val="22"/>
        </w:rPr>
      </w:pPr>
      <w:r w:rsidRPr="006A2EC7">
        <w:rPr>
          <w:rFonts w:ascii="Arial Narrow" w:hAnsi="Arial Narrow" w:cs="Arial Narrow"/>
          <w:b/>
          <w:bCs/>
          <w:sz w:val="16"/>
          <w:szCs w:val="16"/>
        </w:rPr>
        <w:tab/>
      </w:r>
      <w:r w:rsidRPr="002A5B9B">
        <w:rPr>
          <w:rFonts w:ascii="Arial Narrow" w:hAnsi="Arial Narrow" w:cs="Arial Narrow"/>
          <w:sz w:val="22"/>
          <w:szCs w:val="22"/>
        </w:rPr>
        <w:t>Výdavky na podporu, ktorou sa za</w:t>
      </w:r>
      <w:r w:rsidR="007C7DA8">
        <w:rPr>
          <w:rFonts w:ascii="Arial Narrow" w:hAnsi="Arial Narrow" w:cs="Arial Narrow"/>
          <w:sz w:val="22"/>
          <w:szCs w:val="22"/>
        </w:rPr>
        <w:t>bezpečuje modernizácia, inovácia a reštrukturalizácia</w:t>
      </w:r>
      <w:r w:rsidRPr="002A5B9B">
        <w:rPr>
          <w:rFonts w:ascii="Arial Narrow" w:hAnsi="Arial Narrow" w:cs="Arial Narrow"/>
          <w:sz w:val="22"/>
          <w:szCs w:val="22"/>
        </w:rPr>
        <w:t xml:space="preserve"> akvakultúry a zvýšenie konkurencieschopnosti podnikov zaoberajúcich sa spracovaním produktov z rybolovu a akvakultúry, pričom hlavný dôraz je kladený na podporu spracovania domácej produkcie a rozvoj ľudských zdrojov v oblasti rybného hospodárstva prostredníctvom celoživotného vzdelávania sú </w:t>
      </w:r>
      <w:r>
        <w:rPr>
          <w:rFonts w:ascii="Arial Narrow" w:hAnsi="Arial Narrow" w:cs="Arial Narrow"/>
          <w:sz w:val="22"/>
          <w:szCs w:val="22"/>
        </w:rPr>
        <w:t>z dôvodu vyššej alokácie prostriedkov EÚ a spolufinancovania zo ŠR</w:t>
      </w:r>
      <w:r w:rsidRPr="002A5B9B">
        <w:rPr>
          <w:rFonts w:ascii="Arial Narrow" w:hAnsi="Arial Narrow" w:cs="Arial Narrow"/>
          <w:sz w:val="22"/>
          <w:szCs w:val="22"/>
        </w:rPr>
        <w:t xml:space="preserve"> oproti </w:t>
      </w:r>
      <w:r>
        <w:rPr>
          <w:rFonts w:ascii="Arial Narrow" w:hAnsi="Arial Narrow" w:cs="Arial Narrow"/>
          <w:sz w:val="22"/>
          <w:szCs w:val="22"/>
        </w:rPr>
        <w:t xml:space="preserve">schválenému rozpočtu </w:t>
      </w:r>
      <w:r w:rsidRPr="00CF0C4B">
        <w:rPr>
          <w:rFonts w:ascii="Arial Narrow" w:hAnsi="Arial Narrow" w:cs="Arial Narrow"/>
          <w:sz w:val="22"/>
          <w:szCs w:val="22"/>
        </w:rPr>
        <w:t xml:space="preserve">roku </w:t>
      </w:r>
      <w:r w:rsidRPr="002A5B9B">
        <w:rPr>
          <w:rFonts w:ascii="Arial Narrow" w:hAnsi="Arial Narrow" w:cs="Arial Narrow"/>
          <w:sz w:val="22"/>
          <w:szCs w:val="22"/>
        </w:rPr>
        <w:t>2010 vyššie o 12,9 %</w:t>
      </w:r>
      <w:r>
        <w:rPr>
          <w:rFonts w:ascii="Arial Narrow" w:hAnsi="Arial Narrow" w:cs="Arial Narrow"/>
          <w:sz w:val="22"/>
          <w:szCs w:val="22"/>
        </w:rPr>
        <w:t>.</w:t>
      </w:r>
    </w:p>
    <w:p w:rsidR="001E5B24" w:rsidRPr="006A2EC7" w:rsidP="001E5B24">
      <w:pPr>
        <w:bidi w:val="0"/>
        <w:jc w:val="both"/>
        <w:rPr>
          <w:rFonts w:ascii="Arial Narrow" w:hAnsi="Arial Narrow" w:cs="Arial Narrow"/>
          <w:b/>
          <w:bCs/>
          <w:sz w:val="16"/>
          <w:szCs w:val="16"/>
        </w:rPr>
      </w:pPr>
    </w:p>
    <w:p w:rsidR="001E5B24" w:rsidP="001E5B24">
      <w:pPr>
        <w:bidi w:val="0"/>
        <w:jc w:val="both"/>
        <w:rPr>
          <w:rFonts w:ascii="Arial Narrow" w:hAnsi="Arial Narrow" w:cs="Arial Narrow"/>
          <w:sz w:val="22"/>
          <w:szCs w:val="22"/>
        </w:rPr>
      </w:pPr>
      <w:r w:rsidRPr="000F654E">
        <w:rPr>
          <w:rFonts w:ascii="Arial Narrow" w:hAnsi="Arial Narrow" w:cs="Arial Narrow"/>
          <w:sz w:val="22"/>
          <w:szCs w:val="22"/>
        </w:rPr>
        <w:t>Trhovo-orientované výdavky</w:t>
      </w:r>
    </w:p>
    <w:p w:rsidR="001E5B24" w:rsidRPr="000F654E"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81330A" w:rsidP="001E5B24">
            <w:pPr>
              <w:bidi w:val="0"/>
              <w:rPr>
                <w:rFonts w:ascii="Arial Narrow" w:hAnsi="Arial Narrow" w:cs="Arial Narrow"/>
                <w:b/>
                <w:bCs/>
                <w:sz w:val="16"/>
                <w:szCs w:val="16"/>
              </w:rPr>
            </w:pPr>
            <w:r w:rsidRPr="0081330A">
              <w:rPr>
                <w:rFonts w:ascii="Arial Narrow" w:hAnsi="Arial Narrow" w:cs="Arial Narrow"/>
                <w:b/>
                <w:bCs/>
                <w:sz w:val="16"/>
                <w:szCs w:val="16"/>
              </w:rPr>
              <w:t>Trhovo-orientované výdavky celkom, v tom:</w:t>
            </w:r>
          </w:p>
        </w:tc>
        <w:tc>
          <w:tcPr>
            <w:tcW w:w="49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7 108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39 755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35 547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31 887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27 406 </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RPr="0081330A" w:rsidP="001E5B24">
            <w:pPr>
              <w:bidi w:val="0"/>
              <w:jc w:val="right"/>
              <w:rPr>
                <w:rFonts w:ascii="Arial Narrow" w:hAnsi="Arial Narrow" w:cs="Arial Narrow"/>
                <w:b/>
                <w:bCs/>
                <w:sz w:val="16"/>
                <w:szCs w:val="16"/>
              </w:rPr>
            </w:pPr>
            <w:r w:rsidRPr="0081330A">
              <w:rPr>
                <w:rFonts w:ascii="Arial Narrow" w:hAnsi="Arial Narrow" w:cs="Arial Narrow"/>
                <w:b/>
                <w:bCs/>
                <w:sz w:val="16"/>
                <w:szCs w:val="16"/>
              </w:rPr>
              <w:t xml:space="preserve">22 961 </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EÚ</w:t>
            </w:r>
          </w:p>
        </w:tc>
        <w:tc>
          <w:tcPr>
            <w:tcW w:w="49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6 079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37 566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32 807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28 665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24 586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20 141 </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1 029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2 189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2 740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3 222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2 820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2 820 </w:t>
            </w:r>
          </w:p>
        </w:tc>
      </w:tr>
    </w:tbl>
    <w:p w:rsidR="001E5B24" w:rsidRPr="008D0A55" w:rsidP="001E5B24">
      <w:pPr>
        <w:bidi w:val="0"/>
        <w:jc w:val="both"/>
        <w:rPr>
          <w:rFonts w:ascii="Arial Narrow" w:hAnsi="Arial Narrow" w:cs="Arial Narrow"/>
          <w:b/>
          <w:bCs/>
          <w:sz w:val="20"/>
          <w:szCs w:val="20"/>
        </w:rPr>
      </w:pPr>
    </w:p>
    <w:p w:rsidR="001E5B24" w:rsidRPr="000F654E" w:rsidP="001E5B24">
      <w:pPr>
        <w:bidi w:val="0"/>
        <w:jc w:val="both"/>
        <w:rPr>
          <w:rFonts w:ascii="Arial Narrow" w:hAnsi="Arial Narrow" w:cs="Arial Narrow"/>
          <w:sz w:val="22"/>
          <w:szCs w:val="22"/>
        </w:rPr>
      </w:pPr>
      <w:r>
        <w:rPr>
          <w:rFonts w:ascii="Arial" w:hAnsi="Arial" w:cs="Arial"/>
          <w:b/>
          <w:bCs/>
          <w:sz w:val="16"/>
          <w:szCs w:val="16"/>
        </w:rPr>
        <w:tab/>
      </w:r>
      <w:r w:rsidRPr="000F654E">
        <w:rPr>
          <w:rFonts w:ascii="Arial Narrow" w:hAnsi="Arial Narrow" w:cs="Arial Narrow"/>
          <w:sz w:val="22"/>
          <w:szCs w:val="22"/>
        </w:rPr>
        <w:t xml:space="preserve">Trhovo orientované výdavky sú výdavky na trhové opatrenia, ktoré sa realizujú na základe záväzných nariadení, ktorými sa uskutočňuje spoločná organizácia trhu v EÚ. Vo všeobecnosti ich možno rozdeliť na intervencie určené na reguláciu poľnohospodárskych trhov, náhrady stanovené za vývoz poľnohospodárskych výrobkov do tretích krajín a iné podporné opatrenia v zmysle spoločnej organizácii trhu v rámci EÚ ako sú výrobné náhrady, podpory v sektore ovocia a zeleniny, špecifické opatrenia vo vinohradníckom sektore (napr. reštrukturalizácia a konverzia vinohradov a ďalšie opatrenia), podpora spotreby školského mlieka a mliečnych výrobkov a ďalšie opatrenia. </w:t>
      </w:r>
      <w:r>
        <w:rPr>
          <w:rFonts w:ascii="Arial Narrow" w:hAnsi="Arial Narrow" w:cs="Arial Narrow"/>
          <w:sz w:val="22"/>
          <w:szCs w:val="22"/>
        </w:rPr>
        <w:t>T</w:t>
      </w:r>
      <w:r w:rsidRPr="000F654E">
        <w:rPr>
          <w:rFonts w:ascii="Arial Narrow" w:hAnsi="Arial Narrow" w:cs="Arial Narrow"/>
          <w:sz w:val="22"/>
          <w:szCs w:val="22"/>
        </w:rPr>
        <w:t xml:space="preserve">rhovo-orientované výdavky sú oproti </w:t>
      </w:r>
      <w:r>
        <w:rPr>
          <w:rFonts w:ascii="Arial Narrow" w:hAnsi="Arial Narrow" w:cs="Arial Narrow"/>
          <w:sz w:val="22"/>
          <w:szCs w:val="22"/>
        </w:rPr>
        <w:t xml:space="preserve">schválenému rozpočtu </w:t>
      </w:r>
      <w:r w:rsidRPr="00CF0C4B">
        <w:rPr>
          <w:rFonts w:ascii="Arial Narrow" w:hAnsi="Arial Narrow" w:cs="Arial Narrow"/>
          <w:sz w:val="22"/>
          <w:szCs w:val="22"/>
        </w:rPr>
        <w:t xml:space="preserve">roku </w:t>
      </w:r>
      <w:r w:rsidRPr="002A5B9B">
        <w:rPr>
          <w:rFonts w:ascii="Arial Narrow" w:hAnsi="Arial Narrow" w:cs="Arial Narrow"/>
          <w:sz w:val="22"/>
          <w:szCs w:val="22"/>
        </w:rPr>
        <w:t xml:space="preserve">2010 </w:t>
      </w:r>
      <w:r w:rsidRPr="000F654E">
        <w:rPr>
          <w:rFonts w:ascii="Arial Narrow" w:hAnsi="Arial Narrow" w:cs="Arial Narrow"/>
          <w:sz w:val="22"/>
          <w:szCs w:val="22"/>
        </w:rPr>
        <w:t>nižšie o 10,3</w:t>
      </w:r>
      <w:r>
        <w:rPr>
          <w:rFonts w:ascii="Arial Narrow" w:hAnsi="Arial Narrow" w:cs="Arial Narrow"/>
          <w:sz w:val="22"/>
          <w:szCs w:val="22"/>
        </w:rPr>
        <w:t xml:space="preserve"> </w:t>
      </w:r>
      <w:r w:rsidRPr="000F654E">
        <w:rPr>
          <w:rFonts w:ascii="Arial Narrow" w:hAnsi="Arial Narrow" w:cs="Arial Narrow"/>
          <w:sz w:val="22"/>
          <w:szCs w:val="22"/>
        </w:rPr>
        <w:t>%. Výška týchto výdavkov je v plnej miere ovp</w:t>
      </w:r>
      <w:r>
        <w:rPr>
          <w:rFonts w:ascii="Arial Narrow" w:hAnsi="Arial Narrow" w:cs="Arial Narrow"/>
          <w:sz w:val="22"/>
          <w:szCs w:val="22"/>
        </w:rPr>
        <w:t xml:space="preserve">lyvňovaná alokáciou výdavkov EÚ </w:t>
      </w:r>
      <w:r w:rsidRPr="000F654E">
        <w:rPr>
          <w:rFonts w:ascii="Arial Narrow" w:hAnsi="Arial Narrow" w:cs="Arial Narrow"/>
          <w:sz w:val="22"/>
          <w:szCs w:val="22"/>
        </w:rPr>
        <w:t>a spolufinancovania v rámci 2. programového obdobia na roky 2007 až 2013.</w:t>
      </w:r>
    </w:p>
    <w:p w:rsidR="001E5B24" w:rsidRPr="000F654E" w:rsidP="001E5B24">
      <w:pPr>
        <w:bidi w:val="0"/>
        <w:jc w:val="both"/>
        <w:rPr>
          <w:rFonts w:ascii="Arial Narrow" w:hAnsi="Arial Narrow" w:cs="Arial Narrow"/>
          <w:sz w:val="16"/>
          <w:szCs w:val="16"/>
        </w:rPr>
      </w:pPr>
    </w:p>
    <w:p w:rsidR="001E5B24" w:rsidRPr="00C863BB" w:rsidP="001E5B24">
      <w:pPr>
        <w:bidi w:val="0"/>
        <w:jc w:val="both"/>
        <w:rPr>
          <w:rFonts w:ascii="Arial Narrow" w:hAnsi="Arial Narrow" w:cs="Arial Narrow"/>
          <w:sz w:val="22"/>
          <w:szCs w:val="22"/>
        </w:rPr>
      </w:pPr>
      <w:r w:rsidRPr="00C863BB">
        <w:rPr>
          <w:rFonts w:ascii="Arial Narrow" w:hAnsi="Arial Narrow" w:cs="Arial Narrow"/>
          <w:sz w:val="22"/>
          <w:szCs w:val="22"/>
        </w:rPr>
        <w:t>Štátna pomoc</w:t>
      </w:r>
    </w:p>
    <w:p w:rsidR="001E5B24" w:rsidRPr="0006415D"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Štátna pomoc</w:t>
            </w:r>
          </w:p>
        </w:tc>
        <w:tc>
          <w:tcPr>
            <w:tcW w:w="49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10 440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24 677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8 238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8 000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0 </w:t>
            </w:r>
          </w:p>
        </w:tc>
        <w:tc>
          <w:tcPr>
            <w:tcW w:w="521" w:type="pct"/>
            <w:tcBorders>
              <w:top w:val="nil"/>
              <w:left w:val="nil"/>
              <w:bottom w:val="single" w:sz="4" w:space="0" w:color="auto"/>
              <w:right w:val="single" w:sz="4" w:space="0" w:color="auto"/>
            </w:tcBorders>
            <w:noWrap/>
            <w:textDirection w:val="lrTb"/>
            <w:vAlign w:val="bottom"/>
          </w:tcPr>
          <w:p w:rsidR="001E5B24" w:rsidRPr="0081330A" w:rsidP="001E5B24">
            <w:pPr>
              <w:bidi w:val="0"/>
              <w:jc w:val="right"/>
              <w:rPr>
                <w:rFonts w:ascii="Arial Narrow" w:hAnsi="Arial Narrow" w:cs="Arial Narrow"/>
                <w:sz w:val="16"/>
                <w:szCs w:val="16"/>
              </w:rPr>
            </w:pPr>
            <w:r w:rsidRPr="0081330A">
              <w:rPr>
                <w:rFonts w:ascii="Arial Narrow" w:hAnsi="Arial Narrow" w:cs="Arial Narrow"/>
                <w:sz w:val="16"/>
                <w:szCs w:val="16"/>
              </w:rPr>
              <w:t xml:space="preserve">0 </w:t>
            </w:r>
          </w:p>
        </w:tc>
      </w:tr>
    </w:tbl>
    <w:p w:rsidR="001E5B24" w:rsidRPr="0006415D" w:rsidP="001E5B24">
      <w:pPr>
        <w:bidi w:val="0"/>
        <w:ind w:firstLine="708"/>
        <w:jc w:val="both"/>
        <w:rPr>
          <w:rFonts w:ascii="Arial Narrow" w:hAnsi="Arial Narrow" w:cs="Arial Narrow"/>
          <w:sz w:val="22"/>
          <w:szCs w:val="22"/>
        </w:rPr>
      </w:pPr>
    </w:p>
    <w:p w:rsidR="001E5B24" w:rsidRPr="00C863BB" w:rsidP="001E5B24">
      <w:pPr>
        <w:bidi w:val="0"/>
        <w:ind w:firstLine="708"/>
        <w:jc w:val="both"/>
        <w:rPr>
          <w:rFonts w:ascii="Arial Narrow" w:hAnsi="Arial Narrow" w:cs="Arial Narrow"/>
          <w:color w:val="000000"/>
          <w:sz w:val="22"/>
          <w:szCs w:val="22"/>
        </w:rPr>
      </w:pPr>
      <w:r w:rsidRPr="00C863BB">
        <w:rPr>
          <w:rFonts w:ascii="Arial Narrow" w:hAnsi="Arial Narrow" w:cs="Arial Narrow"/>
          <w:sz w:val="22"/>
          <w:szCs w:val="22"/>
        </w:rPr>
        <w:t>EÚ umožňuje poskytovať podnikateľským subjektom v pôdohospodárstve štátnu pomoc z vlastných zdrojov členského štátu v súlade s pravidlami EÚ o štátnej pomoci. Podporuje sa účasť prvovýrobcov na výstavách, založenie a vedenie plemennej knihy alebo plemenárskej evidencie, rozvoj včelárstva, kompenzácia škôd spôsobených živelnými pohromami, zvýšenie kvality poľnohospodárskych produktov, pestovanie a ochrana lesov, podpora rybnikárstva, karanténne opatrenie plodín a pod.</w:t>
      </w:r>
      <w:r w:rsidRPr="00C863BB">
        <w:rPr>
          <w:rFonts w:ascii="Arial Narrow" w:hAnsi="Arial Narrow" w:cs="Arial Narrow"/>
          <w:color w:val="000000"/>
          <w:sz w:val="22"/>
          <w:szCs w:val="22"/>
        </w:rPr>
        <w:t xml:space="preserve"> Výdavky na štátnu pomoc a národné podpory sú oproti </w:t>
      </w:r>
      <w:r>
        <w:rPr>
          <w:rFonts w:ascii="Arial Narrow" w:hAnsi="Arial Narrow" w:cs="Arial Narrow"/>
          <w:sz w:val="22"/>
          <w:szCs w:val="22"/>
        </w:rPr>
        <w:t xml:space="preserve">schválenému rozpočtu </w:t>
      </w:r>
      <w:r w:rsidRPr="00CF0C4B">
        <w:rPr>
          <w:rFonts w:ascii="Arial Narrow" w:hAnsi="Arial Narrow" w:cs="Arial Narrow"/>
          <w:sz w:val="22"/>
          <w:szCs w:val="22"/>
        </w:rPr>
        <w:t xml:space="preserve">roku </w:t>
      </w:r>
      <w:r w:rsidRPr="002A5B9B">
        <w:rPr>
          <w:rFonts w:ascii="Arial Narrow" w:hAnsi="Arial Narrow" w:cs="Arial Narrow"/>
          <w:sz w:val="22"/>
          <w:szCs w:val="22"/>
        </w:rPr>
        <w:t xml:space="preserve">2010 </w:t>
      </w:r>
      <w:r w:rsidRPr="00C863BB">
        <w:rPr>
          <w:rFonts w:ascii="Arial Narrow" w:hAnsi="Arial Narrow" w:cs="Arial Narrow"/>
          <w:color w:val="000000"/>
          <w:sz w:val="22"/>
          <w:szCs w:val="22"/>
        </w:rPr>
        <w:t xml:space="preserve">nižšie o 2,89 %.  </w:t>
      </w:r>
    </w:p>
    <w:p w:rsidR="001E5B24" w:rsidRPr="0006415D" w:rsidP="001E5B24">
      <w:pPr>
        <w:bidi w:val="0"/>
        <w:jc w:val="both"/>
        <w:rPr>
          <w:rFonts w:ascii="Arial Narrow" w:hAnsi="Arial Narrow" w:cs="Arial Narrow"/>
          <w:b/>
          <w:bCs/>
          <w:sz w:val="22"/>
          <w:szCs w:val="22"/>
        </w:rPr>
      </w:pPr>
    </w:p>
    <w:p w:rsidR="001E5B24" w:rsidRPr="00F770F0" w:rsidP="001E5B24">
      <w:pPr>
        <w:bidi w:val="0"/>
        <w:jc w:val="both"/>
        <w:rPr>
          <w:rFonts w:ascii="Arial Narrow" w:hAnsi="Arial Narrow" w:cs="Arial Narrow"/>
          <w:sz w:val="22"/>
          <w:szCs w:val="22"/>
        </w:rPr>
      </w:pPr>
      <w:r w:rsidRPr="00F770F0">
        <w:rPr>
          <w:rFonts w:ascii="Arial Narrow" w:hAnsi="Arial Narrow" w:cs="Arial Narrow"/>
          <w:sz w:val="22"/>
          <w:szCs w:val="22"/>
        </w:rPr>
        <w:t xml:space="preserve">Regionálny rozvoj </w:t>
      </w:r>
    </w:p>
    <w:p w:rsidR="001E5B24" w:rsidRPr="0006415D"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81330A" w:rsidP="001E5B24">
            <w:pPr>
              <w:bidi w:val="0"/>
              <w:jc w:val="both"/>
              <w:rPr>
                <w:rFonts w:ascii="Arial Narrow" w:hAnsi="Arial Narrow" w:cs="Arial Narrow"/>
                <w:b/>
                <w:bCs/>
                <w:sz w:val="16"/>
                <w:szCs w:val="16"/>
              </w:rPr>
            </w:pPr>
            <w:r>
              <w:rPr>
                <w:rFonts w:ascii="Arial Narrow" w:hAnsi="Arial Narrow" w:cs="Arial Narrow"/>
                <w:b/>
                <w:bCs/>
                <w:sz w:val="16"/>
                <w:szCs w:val="16"/>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30A" w:rsidP="001E5B24">
            <w:pPr>
              <w:bidi w:val="0"/>
              <w:jc w:val="center"/>
              <w:rPr>
                <w:rFonts w:ascii="Arial Narrow" w:hAnsi="Arial Narrow" w:cs="Arial Narrow"/>
                <w:b/>
                <w:bCs/>
                <w:sz w:val="16"/>
                <w:szCs w:val="16"/>
              </w:rPr>
            </w:pPr>
            <w:r w:rsidRPr="0081330A">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74"/>
        </w:trPr>
        <w:tc>
          <w:tcPr>
            <w:tcW w:w="1903" w:type="pct"/>
            <w:tcBorders>
              <w:top w:val="nil"/>
              <w:left w:val="single" w:sz="4" w:space="0" w:color="auto"/>
              <w:bottom w:val="single" w:sz="4" w:space="0" w:color="auto"/>
              <w:right w:val="single" w:sz="4" w:space="0" w:color="auto"/>
            </w:tcBorders>
            <w:shd w:val="clear" w:color="000000" w:fill="C0C0C0"/>
            <w:textDirection w:val="lrTb"/>
            <w:vAlign w:val="bottom"/>
          </w:tcPr>
          <w:p w:rsidR="001E5B24" w:rsidRPr="0081330A" w:rsidP="001E5B24">
            <w:pPr>
              <w:bidi w:val="0"/>
              <w:rPr>
                <w:rFonts w:ascii="Arial Narrow" w:hAnsi="Arial Narrow" w:cs="Arial Narrow"/>
                <w:b/>
                <w:bCs/>
                <w:sz w:val="16"/>
                <w:szCs w:val="16"/>
              </w:rPr>
            </w:pPr>
            <w:r>
              <w:rPr>
                <w:rFonts w:ascii="Arial Narrow" w:hAnsi="Arial Narrow" w:cs="Arial Narrow"/>
                <w:b/>
                <w:bCs/>
                <w:sz w:val="16"/>
                <w:szCs w:val="16"/>
              </w:rPr>
              <w:t>R</w:t>
            </w:r>
            <w:r w:rsidRPr="0081330A">
              <w:rPr>
                <w:rFonts w:ascii="Arial Narrow" w:hAnsi="Arial Narrow" w:cs="Arial Narrow"/>
                <w:b/>
                <w:bCs/>
                <w:sz w:val="16"/>
                <w:szCs w:val="16"/>
              </w:rPr>
              <w:t>egionálny rozvoj celkom, v tom:</w:t>
            </w:r>
          </w:p>
        </w:tc>
        <w:tc>
          <w:tcPr>
            <w:tcW w:w="49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104 979</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149 206</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296 797</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372 212</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428 103</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389 987</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ŠR</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2 855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6 266</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1 424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5 100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5 100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5 100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prostriedky EÚ</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73 344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124 158</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259 719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313 336</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362 231</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333 435</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noWrap/>
            <w:textDirection w:val="lrTb"/>
            <w:vAlign w:val="bottom"/>
          </w:tcPr>
          <w:p w:rsidR="001E5B24" w:rsidRPr="0081330A" w:rsidP="001E5B24">
            <w:pPr>
              <w:bidi w:val="0"/>
              <w:rPr>
                <w:rFonts w:ascii="Arial Narrow" w:hAnsi="Arial Narrow" w:cs="Arial Narrow"/>
                <w:sz w:val="16"/>
                <w:szCs w:val="16"/>
              </w:rPr>
            </w:pPr>
            <w:r w:rsidRPr="0081330A">
              <w:rPr>
                <w:rFonts w:ascii="Arial Narrow" w:hAnsi="Arial Narrow" w:cs="Arial Narrow"/>
                <w:sz w:val="16"/>
                <w:szCs w:val="16"/>
              </w:rPr>
              <w:t>spolufinancovanie zo ŠR</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28 780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18 782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35 654</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53 776</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60 772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51 452</w:t>
            </w:r>
          </w:p>
        </w:tc>
      </w:tr>
    </w:tbl>
    <w:p w:rsidR="001E5B24" w:rsidRPr="0006415D" w:rsidP="001E5B24">
      <w:pPr>
        <w:bidi w:val="0"/>
        <w:jc w:val="both"/>
        <w:rPr>
          <w:rFonts w:ascii="Arial Narrow" w:hAnsi="Arial Narrow" w:cs="Arial Narrow"/>
          <w:sz w:val="16"/>
          <w:szCs w:val="16"/>
        </w:rPr>
      </w:pPr>
      <w:r w:rsidRPr="0006415D">
        <w:rPr>
          <w:rFonts w:ascii="Arial Narrow" w:hAnsi="Arial Narrow" w:cs="Arial Narrow"/>
          <w:sz w:val="16"/>
          <w:szCs w:val="16"/>
        </w:rPr>
        <w:t xml:space="preserve">* </w:t>
      </w:r>
      <w:r>
        <w:rPr>
          <w:rFonts w:ascii="Arial Narrow" w:hAnsi="Arial Narrow" w:cs="Arial Narrow"/>
          <w:sz w:val="16"/>
          <w:szCs w:val="16"/>
        </w:rPr>
        <w:t xml:space="preserve">celkové </w:t>
      </w:r>
      <w:r w:rsidRPr="0006415D">
        <w:rPr>
          <w:rFonts w:ascii="Arial Narrow" w:hAnsi="Arial Narrow" w:cs="Arial Narrow"/>
          <w:sz w:val="16"/>
          <w:szCs w:val="16"/>
        </w:rPr>
        <w:t xml:space="preserve">výdavky </w:t>
      </w:r>
      <w:r>
        <w:rPr>
          <w:rFonts w:ascii="Arial Narrow" w:hAnsi="Arial Narrow" w:cs="Arial Narrow"/>
          <w:sz w:val="16"/>
          <w:szCs w:val="16"/>
        </w:rPr>
        <w:t xml:space="preserve">rozpočtované v kapitole </w:t>
      </w:r>
      <w:r w:rsidRPr="0006415D">
        <w:rPr>
          <w:rFonts w:ascii="Arial Narrow" w:hAnsi="Arial Narrow" w:cs="Arial Narrow"/>
          <w:sz w:val="16"/>
          <w:szCs w:val="16"/>
        </w:rPr>
        <w:t>MVRR SR na regionálny rozvoj</w:t>
      </w:r>
    </w:p>
    <w:p w:rsidR="001E5B24" w:rsidRPr="00F162EB" w:rsidP="001E5B24">
      <w:pPr>
        <w:bidi w:val="0"/>
        <w:jc w:val="both"/>
        <w:rPr>
          <w:rFonts w:ascii="Arial Narrow" w:hAnsi="Arial Narrow" w:cs="Arial Narrow"/>
          <w:b/>
          <w:bCs/>
          <w:sz w:val="22"/>
          <w:szCs w:val="22"/>
        </w:rPr>
      </w:pPr>
    </w:p>
    <w:p w:rsidR="001E5B24" w:rsidRPr="00F770F0" w:rsidP="001E5B24">
      <w:pPr>
        <w:bidi w:val="0"/>
        <w:jc w:val="both"/>
        <w:rPr>
          <w:rFonts w:ascii="Arial Narrow" w:hAnsi="Arial Narrow" w:cs="Arial Narrow"/>
          <w:sz w:val="22"/>
          <w:szCs w:val="22"/>
        </w:rPr>
      </w:pPr>
      <w:r w:rsidRPr="00F162EB">
        <w:rPr>
          <w:rFonts w:ascii="Arial Narrow" w:hAnsi="Arial Narrow" w:cs="Arial Narrow"/>
          <w:b/>
          <w:bCs/>
          <w:sz w:val="22"/>
          <w:szCs w:val="22"/>
        </w:rPr>
        <w:tab/>
      </w:r>
      <w:r w:rsidRPr="00F770F0">
        <w:rPr>
          <w:rFonts w:ascii="Arial Narrow" w:hAnsi="Arial Narrow" w:cs="Arial Narrow"/>
          <w:sz w:val="22"/>
          <w:szCs w:val="22"/>
        </w:rPr>
        <w:t>Finančné prostriedky určené na financovanie projektov zo štrukturálnych fondov pre programovacie obdobie 2007 až 2013 a ich spolufinancovanie zo štátneho rozpočtu sú smerované do programov Operačný program Bratislavský kraj, Regionálny operačný program a Operačný program cezhraničnej spolupráce. Výdavky sú smerované na regeneráciu sídiel, regionálnu a mestskú hromadnú dopravu, inováciu a technologické transfery, informatizáciu spoločnosti, technickú pomoc, na financovanie kultúrneho potenciálu regiónov, sociálnu infraštruktúru, spoluprácu v cestovnom ruchu, podporu turizmu, spoluprácu v oblasti vedy, výskumu a inovácií, verejnú dopravu, vzdelávanie a pod. Prostriedky štátneho rozpočtu sú určené na činnosť Agentúry na podporu regionálneho rozvoja.</w:t>
      </w:r>
    </w:p>
    <w:p w:rsidR="001E5B24" w:rsidP="001E5B24">
      <w:pPr>
        <w:bidi w:val="0"/>
        <w:jc w:val="both"/>
        <w:rPr>
          <w:rFonts w:ascii="Arial Narrow" w:hAnsi="Arial Narrow" w:cs="Arial Narrow"/>
          <w:sz w:val="22"/>
          <w:szCs w:val="22"/>
        </w:rPr>
      </w:pPr>
    </w:p>
    <w:p w:rsidR="001E5B24" w:rsidRPr="00F770F0" w:rsidP="001E5B24">
      <w:pPr>
        <w:bidi w:val="0"/>
        <w:ind w:firstLine="708"/>
        <w:jc w:val="both"/>
        <w:rPr>
          <w:rFonts w:ascii="Arial Narrow" w:hAnsi="Arial Narrow" w:cs="Arial Narrow"/>
          <w:sz w:val="22"/>
          <w:szCs w:val="22"/>
        </w:rPr>
      </w:pPr>
      <w:r w:rsidRPr="00F770F0">
        <w:rPr>
          <w:rFonts w:ascii="Arial Narrow" w:hAnsi="Arial Narrow" w:cs="Arial Narrow"/>
          <w:sz w:val="22"/>
          <w:szCs w:val="22"/>
        </w:rPr>
        <w:t xml:space="preserve">Výdavky na regionálny rozvoj sú na rok 2011 rozpočtované vo výške 372 mil. eur, čo predstavuje oproti </w:t>
      </w:r>
      <w:r>
        <w:rPr>
          <w:rFonts w:ascii="Arial Narrow" w:hAnsi="Arial Narrow" w:cs="Arial Narrow"/>
          <w:sz w:val="22"/>
          <w:szCs w:val="22"/>
        </w:rPr>
        <w:t xml:space="preserve">schválenému rozpočtu </w:t>
      </w:r>
      <w:r w:rsidRPr="00CF0C4B">
        <w:rPr>
          <w:rFonts w:ascii="Arial Narrow" w:hAnsi="Arial Narrow" w:cs="Arial Narrow"/>
          <w:sz w:val="22"/>
          <w:szCs w:val="22"/>
        </w:rPr>
        <w:t xml:space="preserve">roku </w:t>
      </w:r>
      <w:r w:rsidRPr="002A5B9B">
        <w:rPr>
          <w:rFonts w:ascii="Arial Narrow" w:hAnsi="Arial Narrow" w:cs="Arial Narrow"/>
          <w:sz w:val="22"/>
          <w:szCs w:val="22"/>
        </w:rPr>
        <w:t xml:space="preserve">2010 </w:t>
      </w:r>
      <w:r w:rsidRPr="00F770F0">
        <w:rPr>
          <w:rFonts w:ascii="Arial Narrow" w:hAnsi="Arial Narrow" w:cs="Arial Narrow"/>
          <w:sz w:val="22"/>
          <w:szCs w:val="22"/>
        </w:rPr>
        <w:t>nárast 25,4 %.</w:t>
      </w:r>
    </w:p>
    <w:p w:rsidR="001E5B24" w:rsidRPr="00F162EB" w:rsidP="001E5B24">
      <w:pPr>
        <w:bidi w:val="0"/>
        <w:jc w:val="both"/>
        <w:rPr>
          <w:rFonts w:ascii="Arial Narrow" w:hAnsi="Arial Narrow" w:cs="Arial Narrow"/>
          <w:b/>
          <w:bCs/>
          <w:sz w:val="22"/>
          <w:szCs w:val="22"/>
        </w:rPr>
      </w:pPr>
    </w:p>
    <w:p w:rsidR="001E5B24" w:rsidRPr="00654552" w:rsidP="001E5B24">
      <w:pPr>
        <w:bidi w:val="0"/>
        <w:jc w:val="both"/>
        <w:rPr>
          <w:rFonts w:ascii="Arial Narrow" w:hAnsi="Arial Narrow" w:cs="Arial Narrow"/>
          <w:sz w:val="22"/>
          <w:szCs w:val="22"/>
        </w:rPr>
      </w:pPr>
      <w:r w:rsidRPr="00654552">
        <w:rPr>
          <w:rFonts w:ascii="Arial Narrow" w:hAnsi="Arial Narrow" w:cs="Arial Narrow"/>
          <w:sz w:val="22"/>
          <w:szCs w:val="22"/>
        </w:rPr>
        <w:t>Inštitucionálna podpora pôdohospodárstva</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79"/>
        <w:gridCol w:w="898"/>
        <w:gridCol w:w="953"/>
        <w:gridCol w:w="953"/>
        <w:gridCol w:w="953"/>
        <w:gridCol w:w="953"/>
        <w:gridCol w:w="953"/>
      </w:tblGrid>
      <w:tr>
        <w:tblPrEx>
          <w:tblW w:w="4962" w:type="pct"/>
          <w:tblInd w:w="70" w:type="dxa"/>
          <w:tblCellMar>
            <w:left w:w="70" w:type="dxa"/>
            <w:right w:w="70" w:type="dxa"/>
          </w:tblCellMar>
          <w:tblLook w:val="00A0"/>
        </w:tblPrEx>
        <w:trPr>
          <w:trHeight w:val="255"/>
        </w:trPr>
        <w:tc>
          <w:tcPr>
            <w:tcW w:w="19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9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1"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450"/>
        </w:trPr>
        <w:tc>
          <w:tcPr>
            <w:tcW w:w="1903" w:type="pct"/>
            <w:tcBorders>
              <w:top w:val="nil"/>
              <w:left w:val="single" w:sz="4" w:space="0" w:color="auto"/>
              <w:bottom w:val="single" w:sz="4" w:space="0" w:color="auto"/>
              <w:right w:val="single" w:sz="4" w:space="0" w:color="auto"/>
            </w:tcBorders>
            <w:shd w:val="clear" w:color="000000" w:fill="C0C0C0"/>
            <w:textDirection w:val="lrTb"/>
            <w:vAlign w:val="bottom"/>
          </w:tcPr>
          <w:p w:rsidR="001E5B24" w:rsidRPr="00AD2B41" w:rsidP="001E5B24">
            <w:pPr>
              <w:bidi w:val="0"/>
              <w:rPr>
                <w:rFonts w:ascii="Arial Narrow" w:hAnsi="Arial Narrow" w:cs="Arial Narrow"/>
                <w:b/>
                <w:bCs/>
                <w:sz w:val="16"/>
                <w:szCs w:val="16"/>
              </w:rPr>
            </w:pPr>
            <w:r w:rsidRPr="00AD2B41">
              <w:rPr>
                <w:rFonts w:ascii="Arial Narrow" w:hAnsi="Arial Narrow" w:cs="Arial Narrow"/>
                <w:b/>
                <w:bCs/>
                <w:sz w:val="16"/>
                <w:szCs w:val="16"/>
              </w:rPr>
              <w:t xml:space="preserve">Inštitucionálna podpora pôdohospodárstva celkom, </w:t>
              <w:br/>
              <w:t>v tom:</w:t>
            </w:r>
          </w:p>
        </w:tc>
        <w:tc>
          <w:tcPr>
            <w:tcW w:w="49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120 000</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175 459</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100 079</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105 343</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91 911</w:t>
            </w:r>
          </w:p>
        </w:tc>
        <w:tc>
          <w:tcPr>
            <w:tcW w:w="521" w:type="pct"/>
            <w:tcBorders>
              <w:top w:val="nil"/>
              <w:left w:val="nil"/>
              <w:bottom w:val="single" w:sz="4" w:space="0" w:color="auto"/>
              <w:right w:val="single" w:sz="4" w:space="0" w:color="auto"/>
            </w:tcBorders>
            <w:shd w:val="clear" w:color="000000" w:fill="C0C0C0"/>
            <w:noWrap/>
            <w:textDirection w:val="lrTb"/>
            <w:vAlign w:val="bottom"/>
          </w:tcPr>
          <w:p w:rsidR="001E5B24" w:rsidP="001E5B24">
            <w:pPr>
              <w:bidi w:val="0"/>
              <w:jc w:val="right"/>
              <w:rPr>
                <w:rFonts w:ascii="Arial Narrow" w:hAnsi="Arial Narrow" w:cs="Arial"/>
                <w:b/>
                <w:bCs/>
                <w:sz w:val="16"/>
                <w:szCs w:val="16"/>
              </w:rPr>
            </w:pPr>
            <w:r>
              <w:rPr>
                <w:rFonts w:ascii="Arial Narrow" w:hAnsi="Arial Narrow" w:cs="Arial"/>
                <w:b/>
                <w:bCs/>
                <w:sz w:val="16"/>
                <w:szCs w:val="16"/>
              </w:rPr>
              <w:t>91 911</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prostriedky ŠR </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107 049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161 162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100 079</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101 911</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91 911</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91 911</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transfer </w:t>
            </w:r>
            <w:r>
              <w:rPr>
                <w:rFonts w:ascii="Arial Narrow" w:hAnsi="Arial Narrow" w:cs="Arial Narrow"/>
                <w:sz w:val="16"/>
                <w:szCs w:val="16"/>
              </w:rPr>
              <w:t>od Slovenského pozemkového</w:t>
            </w:r>
            <w:r w:rsidRPr="00AD2B41">
              <w:rPr>
                <w:rFonts w:ascii="Arial Narrow" w:hAnsi="Arial Narrow" w:cs="Arial Narrow"/>
                <w:sz w:val="16"/>
                <w:szCs w:val="16"/>
              </w:rPr>
              <w:t xml:space="preserve"> fondu</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3 300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presun z min. rokov § 8</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4 667</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2 990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prostriedky EÚ </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68</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 xml:space="preserve">spolufinancovanie zo ŠR </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43</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r>
        <w:tblPrEx>
          <w:tblW w:w="4962" w:type="pct"/>
          <w:tblInd w:w="70" w:type="dxa"/>
          <w:tblCellMar>
            <w:left w:w="70" w:type="dxa"/>
            <w:right w:w="70" w:type="dxa"/>
          </w:tblCellMar>
          <w:tblLook w:val="00A0"/>
        </w:tblPrEx>
        <w:trPr>
          <w:trHeight w:val="255"/>
        </w:trPr>
        <w:tc>
          <w:tcPr>
            <w:tcW w:w="1903" w:type="pct"/>
            <w:tcBorders>
              <w:top w:val="nil"/>
              <w:left w:val="single" w:sz="4" w:space="0" w:color="auto"/>
              <w:bottom w:val="single" w:sz="4" w:space="0" w:color="auto"/>
              <w:right w:val="single" w:sz="4" w:space="0" w:color="auto"/>
            </w:tcBorders>
            <w:textDirection w:val="lrTb"/>
            <w:vAlign w:val="bottom"/>
          </w:tcPr>
          <w:p w:rsidR="001E5B24" w:rsidRPr="00AD2B41" w:rsidP="001E5B24">
            <w:pPr>
              <w:bidi w:val="0"/>
              <w:rPr>
                <w:rFonts w:ascii="Arial Narrow" w:hAnsi="Arial Narrow" w:cs="Arial Narrow"/>
                <w:sz w:val="16"/>
                <w:szCs w:val="16"/>
              </w:rPr>
            </w:pPr>
            <w:r w:rsidRPr="00AD2B41">
              <w:rPr>
                <w:rFonts w:ascii="Arial Narrow" w:hAnsi="Arial Narrow" w:cs="Arial Narrow"/>
                <w:sz w:val="16"/>
                <w:szCs w:val="16"/>
              </w:rPr>
              <w:t>iné zdroje*</w:t>
            </w:r>
          </w:p>
        </w:tc>
        <w:tc>
          <w:tcPr>
            <w:tcW w:w="49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8 173</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11 305</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132</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c>
          <w:tcPr>
            <w:tcW w:w="521"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0</w:t>
            </w:r>
          </w:p>
        </w:tc>
      </w:tr>
    </w:tbl>
    <w:p w:rsidR="001E5B24" w:rsidRPr="00BC30EE" w:rsidP="001E5B24">
      <w:pPr>
        <w:bidi w:val="0"/>
        <w:jc w:val="both"/>
        <w:rPr>
          <w:rFonts w:ascii="Arial Narrow" w:hAnsi="Arial Narrow" w:cs="Arial Narrow"/>
          <w:sz w:val="2"/>
          <w:szCs w:val="2"/>
        </w:rPr>
      </w:pPr>
      <w:r w:rsidRPr="005810B9">
        <w:rPr>
          <w:rFonts w:ascii="Arial Narrow" w:hAnsi="Arial Narrow" w:cs="Arial Narrow"/>
          <w:sz w:val="16"/>
          <w:szCs w:val="16"/>
        </w:rPr>
        <w:t>* zdroje EHP, NFM, vrátane príslušného spolufinancovania a iné zdroje</w:t>
      </w:r>
    </w:p>
    <w:p w:rsidR="001E5B24" w:rsidRPr="00F162EB"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9928E7">
        <w:rPr>
          <w:rFonts w:ascii="Arial Narrow" w:hAnsi="Arial Narrow" w:cs="Arial Narrow"/>
          <w:sz w:val="22"/>
          <w:szCs w:val="22"/>
        </w:rPr>
        <w:t xml:space="preserve">Celkové výdavky na inštitucionálnu podporu pôdohospodárstva sú určené na zabezpečenie plnenia úloh rozpočtových a príspevkových organizácií rezortu, financovanie DPH pre Program rozvoja vidieka SR 2007 – 2013 a na ďalšie výdavky ako sú napr. pozemkové úpravy, vyhotovenie lesných hospodárskych plánov, eradikácia chorôb, kontrola BSE, štatistický informačný systém, verejnoprospešné aktivity rozvoja vidieka, </w:t>
      </w:r>
      <w:r w:rsidRPr="007634CF">
        <w:rPr>
          <w:rFonts w:ascii="Arial Narrow" w:hAnsi="Arial Narrow" w:cs="Arial Narrow"/>
          <w:sz w:val="22"/>
          <w:szCs w:val="22"/>
        </w:rPr>
        <w:t>špecifické činnosti v lesnom hospodárstve, potravinový dozor a iné úlohy rezortu. V roku 2011 sa v rámci týchto výdavkov rozpočtujú aj prostriedky zo Slovenského pozemkového fondu vo výške 3,30 mil. eur na realizáciu pozemkových úprav – ROEPov. Výdavky na inštitucionálnu podporu pôdohospodárstva zo štátneho rozpočtu oproti schválenému rozpočtu na rok 2010 rastú o 1,83 %. Pri abstrahovaní od prostriedkov na financovanie DPH pre Program rozvoja vidieka SR 2007 – 2013 vo výške 10,0 mil. eur, výdavky medziročne klesajú o 8,16 %.</w:t>
      </w:r>
    </w:p>
    <w:p w:rsidR="001E5B24" w:rsidP="001E5B24">
      <w:pPr>
        <w:bidi w:val="0"/>
        <w:rPr>
          <w:rFonts w:ascii="Arial Narrow" w:hAnsi="Arial Narrow" w:cs="Arial Narrow"/>
          <w:b/>
          <w:bCs/>
          <w:sz w:val="22"/>
          <w:szCs w:val="22"/>
        </w:rPr>
      </w:pPr>
    </w:p>
    <w:p w:rsidR="00DB4442" w:rsidP="001E5B24">
      <w:pPr>
        <w:bidi w:val="0"/>
        <w:rPr>
          <w:rFonts w:ascii="Arial Narrow" w:hAnsi="Arial Narrow" w:cs="Arial Narrow"/>
          <w:b/>
          <w:bCs/>
          <w:sz w:val="22"/>
          <w:szCs w:val="22"/>
        </w:rPr>
      </w:pPr>
      <w:r>
        <w:rPr>
          <w:rFonts w:ascii="Arial Narrow" w:hAnsi="Arial Narrow" w:cs="Arial Narrow"/>
          <w:b/>
          <w:bCs/>
          <w:sz w:val="22"/>
          <w:szCs w:val="22"/>
        </w:rPr>
        <w:br w:type="page"/>
      </w:r>
    </w:p>
    <w:p w:rsidR="001E5B24" w:rsidP="001E5B24">
      <w:pPr>
        <w:pBdr>
          <w:bottom w:val="single" w:sz="4" w:space="1" w:color="auto"/>
        </w:pBdr>
        <w:bidi w:val="0"/>
        <w:rPr>
          <w:rFonts w:ascii="Arial Narrow" w:hAnsi="Arial Narrow" w:cs="Arial Narrow"/>
          <w:b/>
          <w:bCs/>
          <w:sz w:val="22"/>
          <w:szCs w:val="22"/>
        </w:rPr>
      </w:pPr>
      <w:r w:rsidRPr="00925A3C">
        <w:rPr>
          <w:rFonts w:ascii="Arial Narrow" w:hAnsi="Arial Narrow" w:cs="Arial Narrow"/>
          <w:b/>
          <w:bCs/>
          <w:sz w:val="22"/>
          <w:szCs w:val="22"/>
        </w:rPr>
        <w:t>Ministerstvo vnútra SR</w:t>
      </w:r>
    </w:p>
    <w:p w:rsidR="001E5B24" w:rsidP="001E5B24">
      <w:pPr>
        <w:bidi w:val="0"/>
        <w:rPr>
          <w:rFonts w:ascii="Arial Narrow" w:hAnsi="Arial Narrow" w:cs="Arial Narrow"/>
          <w:b/>
          <w:bCs/>
          <w:sz w:val="22"/>
          <w:szCs w:val="22"/>
        </w:rPr>
      </w:pPr>
    </w:p>
    <w:tbl>
      <w:tblPr>
        <w:tblStyle w:val="TableNormal"/>
        <w:tblW w:w="4962" w:type="pct"/>
        <w:tblInd w:w="70" w:type="dxa"/>
        <w:tblCellMar>
          <w:left w:w="70" w:type="dxa"/>
          <w:right w:w="70" w:type="dxa"/>
        </w:tblCellMar>
      </w:tblPr>
      <w:tblGrid>
        <w:gridCol w:w="3407"/>
        <w:gridCol w:w="957"/>
        <w:gridCol w:w="956"/>
        <w:gridCol w:w="956"/>
        <w:gridCol w:w="956"/>
        <w:gridCol w:w="956"/>
        <w:gridCol w:w="954"/>
      </w:tblGrid>
      <w:tr>
        <w:tblPrEx>
          <w:tblW w:w="4962" w:type="pct"/>
          <w:tblInd w:w="70" w:type="dxa"/>
          <w:tblCellMar>
            <w:left w:w="70" w:type="dxa"/>
            <w:right w:w="70" w:type="dxa"/>
          </w:tblCellMar>
        </w:tblPrEx>
        <w:trPr>
          <w:trHeight w:val="270"/>
        </w:trPr>
        <w:tc>
          <w:tcPr>
            <w:tcW w:w="186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57485E" w:rsidP="001E5B24">
            <w:pPr>
              <w:bidi w:val="0"/>
              <w:rPr>
                <w:rFonts w:ascii="Arial Narrow" w:hAnsi="Arial Narrow" w:cs="Arial Narrow"/>
                <w:b/>
                <w:bCs/>
                <w:sz w:val="16"/>
                <w:szCs w:val="16"/>
              </w:rPr>
            </w:pPr>
            <w:r w:rsidRPr="0057485E">
              <w:rPr>
                <w:rFonts w:ascii="Arial Narrow" w:hAnsi="Arial Narrow" w:cs="Arial Narrow"/>
                <w:b/>
                <w:bCs/>
                <w:sz w:val="16"/>
                <w:szCs w:val="16"/>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7485E" w:rsidP="001E5B24">
            <w:pPr>
              <w:bidi w:val="0"/>
              <w:jc w:val="center"/>
              <w:rPr>
                <w:rFonts w:ascii="Arial Narrow" w:hAnsi="Arial Narrow" w:cs="Arial Narrow"/>
                <w:b/>
                <w:bCs/>
                <w:sz w:val="16"/>
                <w:szCs w:val="16"/>
              </w:rPr>
            </w:pPr>
            <w:r w:rsidRPr="0057485E">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70"/>
        </w:trPr>
        <w:tc>
          <w:tcPr>
            <w:tcW w:w="1863"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925A3C" w:rsidP="001E5B24">
            <w:pPr>
              <w:bidi w:val="0"/>
              <w:rPr>
                <w:rFonts w:ascii="Arial Narrow" w:hAnsi="Arial Narrow" w:cs="Arial Narrow"/>
                <w:b/>
                <w:bCs/>
                <w:sz w:val="16"/>
                <w:szCs w:val="16"/>
              </w:rPr>
            </w:pPr>
            <w:r w:rsidRPr="00925A3C">
              <w:rPr>
                <w:rFonts w:ascii="Arial Narrow" w:hAnsi="Arial Narrow" w:cs="Arial Narrow"/>
                <w:b/>
                <w:bCs/>
                <w:sz w:val="16"/>
                <w:szCs w:val="16"/>
              </w:rPr>
              <w:t>Zdroje príslušnej kapitoly</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931 062</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1 014 167</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867 451</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888 414</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832 762</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25A3C" w:rsidP="001E5B24">
            <w:pPr>
              <w:bidi w:val="0"/>
              <w:jc w:val="right"/>
              <w:rPr>
                <w:rFonts w:ascii="Arial Narrow" w:hAnsi="Arial Narrow" w:cs="Arial Narrow"/>
                <w:b/>
                <w:bCs/>
                <w:sz w:val="16"/>
                <w:szCs w:val="16"/>
              </w:rPr>
            </w:pPr>
            <w:r w:rsidRPr="00925A3C">
              <w:rPr>
                <w:rFonts w:ascii="Arial Narrow" w:hAnsi="Arial Narrow" w:cs="Arial Narrow"/>
                <w:b/>
                <w:bCs/>
                <w:sz w:val="16"/>
                <w:szCs w:val="16"/>
              </w:rPr>
              <w:t>843 249</w:t>
            </w:r>
          </w:p>
        </w:tc>
      </w:tr>
      <w:tr>
        <w:tblPrEx>
          <w:tblW w:w="4962" w:type="pct"/>
          <w:tblInd w:w="70" w:type="dxa"/>
          <w:tblCellMar>
            <w:left w:w="70" w:type="dxa"/>
            <w:right w:w="70" w:type="dxa"/>
          </w:tblCellMar>
        </w:tblPrEx>
        <w:trPr>
          <w:trHeight w:val="270"/>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z toho:</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r>
      <w:tr>
        <w:tblPrEx>
          <w:tblW w:w="4962" w:type="pct"/>
          <w:tblInd w:w="70" w:type="dxa"/>
          <w:tblCellMar>
            <w:left w:w="70" w:type="dxa"/>
            <w:right w:w="70" w:type="dxa"/>
          </w:tblCellMar>
        </w:tblPrEx>
        <w:trPr>
          <w:trHeight w:val="270"/>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rozpočtové zdroje kapitoly</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869 885</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954 864</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838 575</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860 607</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803 871</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813 235</w:t>
            </w:r>
          </w:p>
        </w:tc>
      </w:tr>
      <w:tr>
        <w:tblPrEx>
          <w:tblW w:w="4962" w:type="pct"/>
          <w:tblInd w:w="70" w:type="dxa"/>
          <w:tblCellMar>
            <w:left w:w="70" w:type="dxa"/>
            <w:right w:w="70" w:type="dxa"/>
          </w:tblCellMar>
        </w:tblPrEx>
        <w:trPr>
          <w:trHeight w:val="270"/>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presun z min. rokov § 8</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21 436</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17 370</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r>
      <w:tr>
        <w:tblPrEx>
          <w:tblW w:w="4962" w:type="pct"/>
          <w:tblInd w:w="70" w:type="dxa"/>
          <w:tblCellMar>
            <w:left w:w="70" w:type="dxa"/>
            <w:right w:w="70" w:type="dxa"/>
          </w:tblCellMar>
        </w:tblPrEx>
        <w:trPr>
          <w:trHeight w:val="270"/>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 xml:space="preserve">zdroje EÚ vrátane spolufinancovania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1 230</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58</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Pr>
                <w:rFonts w:ascii="Arial Narrow" w:hAnsi="Arial Narrow" w:cs="Arial Narrow"/>
                <w:sz w:val="16"/>
                <w:szCs w:val="16"/>
              </w:rPr>
              <w:t>0</w:t>
            </w:r>
            <w:r w:rsidRPr="003C0DFC">
              <w:rPr>
                <w:rFonts w:ascii="Arial Narrow" w:hAnsi="Arial Narrow" w:cs="Arial Narrow"/>
                <w:sz w:val="16"/>
                <w:szCs w:val="16"/>
              </w:rPr>
              <w:t> </w:t>
            </w:r>
          </w:p>
        </w:tc>
      </w:tr>
      <w:tr>
        <w:tblPrEx>
          <w:tblW w:w="4962" w:type="pct"/>
          <w:tblInd w:w="70" w:type="dxa"/>
          <w:tblCellMar>
            <w:left w:w="70" w:type="dxa"/>
            <w:right w:w="70" w:type="dxa"/>
          </w:tblCellMar>
        </w:tblPrEx>
        <w:trPr>
          <w:trHeight w:val="270"/>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iné zdroje*</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38 511</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41 875</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28 876</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27 807</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28 891</w:t>
            </w:r>
          </w:p>
        </w:tc>
        <w:tc>
          <w:tcPr>
            <w:tcW w:w="523" w:type="pct"/>
            <w:tcBorders>
              <w:top w:val="nil"/>
              <w:left w:val="nil"/>
              <w:bottom w:val="single" w:sz="4" w:space="0" w:color="auto"/>
              <w:right w:val="single" w:sz="4" w:space="0" w:color="auto"/>
            </w:tcBorders>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30 014</w:t>
            </w:r>
          </w:p>
        </w:tc>
      </w:tr>
    </w:tbl>
    <w:p w:rsidR="001E5B24" w:rsidP="001E5B24">
      <w:pPr>
        <w:bidi w:val="0"/>
        <w:rPr>
          <w:rFonts w:ascii="Arial Narrow" w:hAnsi="Arial Narrow" w:cs="Arial Narrow"/>
          <w:sz w:val="16"/>
          <w:szCs w:val="16"/>
        </w:rPr>
      </w:pPr>
      <w:r>
        <w:rPr>
          <w:rFonts w:ascii="Arial Narrow" w:hAnsi="Arial Narrow" w:cs="Arial Narrow"/>
          <w:sz w:val="16"/>
          <w:szCs w:val="16"/>
        </w:rPr>
        <w:t>* odvod časti poistného, Solidarita a riadenie migračných tokov, Prechodný fond, Nórsky finančný  mechanizmus</w:t>
      </w:r>
    </w:p>
    <w:p w:rsidR="001E5B24" w:rsidP="001E5B24">
      <w:pPr>
        <w:bidi w:val="0"/>
        <w:rPr>
          <w:rFonts w:ascii="Arial" w:hAnsi="Arial" w:cs="Arial"/>
          <w:b/>
          <w:bCs/>
          <w:sz w:val="20"/>
          <w:szCs w:val="20"/>
        </w:rPr>
      </w:pPr>
    </w:p>
    <w:p w:rsidR="001E5B24" w:rsidP="001E5B24">
      <w:pPr>
        <w:bidi w:val="0"/>
        <w:ind w:firstLine="708"/>
        <w:jc w:val="both"/>
        <w:rPr>
          <w:rFonts w:ascii="Arial Narrow" w:hAnsi="Arial Narrow" w:cs="Arial Narrow"/>
          <w:sz w:val="22"/>
          <w:szCs w:val="22"/>
        </w:rPr>
      </w:pPr>
      <w:r w:rsidRPr="002B62DA">
        <w:rPr>
          <w:rFonts w:ascii="Arial Narrow" w:hAnsi="Arial Narrow" w:cs="Arial Narrow"/>
          <w:sz w:val="22"/>
          <w:szCs w:val="22"/>
        </w:rPr>
        <w:t xml:space="preserve">Rozpočtové prostriedky kapitoly v roku 2011 oproti </w:t>
      </w:r>
      <w:r>
        <w:rPr>
          <w:rFonts w:ascii="Arial Narrow" w:hAnsi="Arial Narrow" w:cs="Arial Narrow"/>
          <w:sz w:val="22"/>
          <w:szCs w:val="22"/>
        </w:rPr>
        <w:t>schválenému rozpočtu roka</w:t>
      </w:r>
      <w:r w:rsidRPr="002B62DA">
        <w:rPr>
          <w:rFonts w:ascii="Arial Narrow" w:hAnsi="Arial Narrow" w:cs="Arial Narrow"/>
          <w:sz w:val="22"/>
          <w:szCs w:val="22"/>
        </w:rPr>
        <w:t xml:space="preserve"> 2010 rastú o 22,0</w:t>
      </w:r>
      <w:r>
        <w:rPr>
          <w:rFonts w:ascii="Arial Narrow" w:hAnsi="Arial Narrow" w:cs="Arial Narrow"/>
          <w:sz w:val="22"/>
          <w:szCs w:val="22"/>
        </w:rPr>
        <w:t> mil. </w:t>
      </w:r>
      <w:r w:rsidRPr="002B62DA">
        <w:rPr>
          <w:rFonts w:ascii="Arial Narrow" w:hAnsi="Arial Narrow" w:cs="Arial Narrow"/>
          <w:sz w:val="22"/>
          <w:szCs w:val="22"/>
        </w:rPr>
        <w:t>eur</w:t>
      </w:r>
      <w:r>
        <w:rPr>
          <w:rFonts w:ascii="Arial Narrow" w:hAnsi="Arial Narrow" w:cs="Arial Narrow"/>
          <w:sz w:val="22"/>
          <w:szCs w:val="22"/>
        </w:rPr>
        <w:t>, čo predstavuje</w:t>
      </w:r>
      <w:r w:rsidRPr="002B62DA">
        <w:rPr>
          <w:rFonts w:ascii="Arial Narrow" w:hAnsi="Arial Narrow" w:cs="Arial Narrow"/>
          <w:sz w:val="22"/>
          <w:szCs w:val="22"/>
        </w:rPr>
        <w:t xml:space="preserve"> </w:t>
      </w:r>
      <w:r>
        <w:rPr>
          <w:rFonts w:ascii="Arial Narrow" w:hAnsi="Arial Narrow" w:cs="Arial Narrow"/>
          <w:sz w:val="22"/>
          <w:szCs w:val="22"/>
        </w:rPr>
        <w:t xml:space="preserve">nárast o </w:t>
      </w:r>
      <w:r w:rsidRPr="002B62DA">
        <w:rPr>
          <w:rFonts w:ascii="Arial Narrow" w:hAnsi="Arial Narrow" w:cs="Arial Narrow"/>
          <w:sz w:val="22"/>
          <w:szCs w:val="22"/>
        </w:rPr>
        <w:t>2,63</w:t>
      </w:r>
      <w:r>
        <w:rPr>
          <w:rFonts w:ascii="Arial Narrow" w:hAnsi="Arial Narrow" w:cs="Arial Narrow"/>
          <w:sz w:val="22"/>
          <w:szCs w:val="22"/>
        </w:rPr>
        <w:t xml:space="preserve"> %</w:t>
      </w:r>
      <w:r w:rsidRPr="002B62DA">
        <w:rPr>
          <w:rFonts w:ascii="Arial Narrow" w:hAnsi="Arial Narrow" w:cs="Arial Narrow"/>
          <w:sz w:val="22"/>
          <w:szCs w:val="22"/>
        </w:rPr>
        <w:t xml:space="preserve">. </w:t>
      </w:r>
      <w:r w:rsidRPr="006F783B">
        <w:rPr>
          <w:rFonts w:ascii="Arial Narrow" w:hAnsi="Arial Narrow" w:cs="Arial Narrow"/>
          <w:sz w:val="22"/>
          <w:szCs w:val="22"/>
        </w:rPr>
        <w:t>V porovnaní s upraveným rozpočtom roka 2010 dochádza k poklesu o 127 mil. eur, čo je 12,9% zníženie.</w:t>
      </w:r>
      <w:r>
        <w:rPr>
          <w:rFonts w:ascii="Arial Narrow" w:hAnsi="Arial Narrow" w:cs="Arial Narrow"/>
          <w:sz w:val="22"/>
          <w:szCs w:val="22"/>
        </w:rPr>
        <w:t xml:space="preserve"> V prípade nezabezpečenia dodatočných výdavkov v roku 2010 nad rámec schváleného rozpočtu by bolo ohrozené plnenie platných zmlúv, čím by sa kapitola vystavovala riziku súdnych sporov. Výška schváleného rozpočtu pre rok 2010 v oblasti prevádzkových nepokrývala najmä nároky na odmeny pre znalcov, čím sa prehlboval v rezorte dlh spôsobený neuhrádzaním faktúr.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Objem osobných výdavkov sa pre rok 2011 rozpočtuje na úrovni 585 mil. eur, čo v porovnaní s rokom 2010 predstavuje pokles 5,74 % (35,6 mil. eur). Medziročný pokles osobných výdavkov je ovplyvnený</w:t>
      </w:r>
      <w:r>
        <w:rPr>
          <w:rFonts w:ascii="Arial Narrow" w:hAnsi="Arial Narrow" w:cs="Arial Narrow"/>
        </w:rPr>
        <w:t xml:space="preserve"> </w:t>
      </w:r>
      <w:r>
        <w:rPr>
          <w:rFonts w:ascii="Arial Narrow" w:hAnsi="Arial Narrow" w:cs="Arial Narrow"/>
          <w:sz w:val="22"/>
          <w:szCs w:val="22"/>
        </w:rPr>
        <w:t xml:space="preserve">viazaním osobných výdavkov na úrovni 10 % </w:t>
      </w:r>
      <w:r w:rsidR="007C7DA8">
        <w:rPr>
          <w:rFonts w:ascii="Arial Narrow" w:hAnsi="Arial Narrow" w:cs="Arial Narrow"/>
          <w:sz w:val="22"/>
          <w:szCs w:val="22"/>
        </w:rPr>
        <w:t>pre</w:t>
      </w:r>
      <w:r>
        <w:rPr>
          <w:rFonts w:ascii="Arial Narrow" w:hAnsi="Arial Narrow" w:cs="Arial Narrow"/>
          <w:sz w:val="22"/>
          <w:szCs w:val="22"/>
        </w:rPr>
        <w:t xml:space="preserve"> štátnych zamestnancov a zamestnancov pri výkone práce vo verejnom záujme pri zohľadnení dopočtu 1 % valorizácie z roku 2010, 10 % viazaním osobných výdavkov ministra z úrovne roku 2010 a znížením o 1 miesto štátneho tajomníka. Zníženie o 10 % sa nedotklo pedagogických zamestnancov Akadémie PZ a stredných odborných škôl.</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Osobné výdavky pre policajtov boli znížené o 6 % (dopočet do 10 % zníženia predstavuje 19 mil. eur) a osobné výdavky pre hasičov a záchranárov boli znížené o 5 % (dopočet do zníženia 10 % predstavuje 3,7 mil. eur). Zároveň boli kapitole zvýšené osobné výdavky na prevenciu kriminality o 124 tis. eur, výdavky na jednotné kontaktné miesta o 130 tis. eur, osobné výdavky na dofinancovanie železničnej polície v sume 1,48 mil. eur. V roku 2011 sa taktiež nerozpočtujú osobné výdavky na zabezpečenie prípravy a konania volieb, ktoré boli v schválenom rozpočte roka 2010 rozpočtované v sume 3,83 mil. eur. Bez zohľadnenia vyššie uvedených špecifík, by osobné výdavky kapitoly v roku 2011 klesali oproti schválenému rozpočtu  na rok 2010 o 9,11 %.</w:t>
      </w:r>
    </w:p>
    <w:p w:rsidR="001E5B24" w:rsidP="001E5B24">
      <w:pPr>
        <w:bidi w:val="0"/>
        <w:ind w:firstLine="708"/>
        <w:jc w:val="both"/>
        <w:rPr>
          <w:rFonts w:ascii="Arial Narrow" w:hAnsi="Arial Narrow" w:cs="Arial Narrow"/>
          <w:sz w:val="22"/>
          <w:szCs w:val="22"/>
        </w:rPr>
      </w:pPr>
    </w:p>
    <w:p w:rsidR="001E5B24" w:rsidRPr="004A2973" w:rsidP="001E5B24">
      <w:pPr>
        <w:bidi w:val="0"/>
        <w:ind w:firstLine="708"/>
        <w:jc w:val="both"/>
        <w:rPr>
          <w:rFonts w:ascii="Arial Narrow" w:hAnsi="Arial Narrow" w:cs="Arial Narrow"/>
          <w:sz w:val="22"/>
          <w:szCs w:val="22"/>
        </w:rPr>
      </w:pPr>
      <w:r w:rsidRPr="004A2973">
        <w:rPr>
          <w:rFonts w:ascii="Arial Narrow" w:hAnsi="Arial Narrow" w:cs="Arial Narrow"/>
          <w:sz w:val="22"/>
          <w:szCs w:val="22"/>
        </w:rPr>
        <w:t xml:space="preserve">Výdavky na tovary a služby v roku 2011 oproti schválenému rozpočtu roka 2010 rastú o 33,6 mil. eur, čo predstavuje nárast o 20,0 %. Skutočné výdavky na financovanie prevádzkových potrieb kapitoly sa v rokoch 2008 a 2009 pohybovali na úrovni 215 mil. eur. V schválenom rozpočte roka 2010 boli prevádzkové výdavky rozpočtované v sume 168 mil. eur, čiže boli značne poddimenzované, pritom však </w:t>
      </w:r>
      <w:r>
        <w:rPr>
          <w:rFonts w:ascii="Arial Narrow" w:hAnsi="Arial Narrow" w:cs="Arial Narrow"/>
          <w:sz w:val="22"/>
          <w:szCs w:val="22"/>
        </w:rPr>
        <w:t>za predchádzajúcej vlády</w:t>
      </w:r>
      <w:r w:rsidRPr="004A2973">
        <w:rPr>
          <w:rFonts w:ascii="Arial Narrow" w:hAnsi="Arial Narrow" w:cs="Arial Narrow"/>
          <w:sz w:val="22"/>
          <w:szCs w:val="22"/>
        </w:rPr>
        <w:t xml:space="preserve"> neboli v rámci kapitoly prijaté žiadne </w:t>
      </w:r>
      <w:r>
        <w:rPr>
          <w:rFonts w:ascii="Arial Narrow" w:hAnsi="Arial Narrow" w:cs="Arial Narrow"/>
          <w:sz w:val="22"/>
          <w:szCs w:val="22"/>
        </w:rPr>
        <w:t xml:space="preserve">výrazné </w:t>
      </w:r>
      <w:r w:rsidRPr="004A2973">
        <w:rPr>
          <w:rFonts w:ascii="Arial Narrow" w:hAnsi="Arial Narrow" w:cs="Arial Narrow"/>
          <w:sz w:val="22"/>
          <w:szCs w:val="22"/>
        </w:rPr>
        <w:t>úsporné opatrenia. Úpravou schváleného rozpočtu na rok 2010 prostredníctvom zvýšenia limitu kapitoly na ich reálnu úroveň ich objem dosiahol 214 mil. eur. Návrh rozpočtu na rok 2011 v sume 202 mil. eur zohľadňuje potrebu úspor na strane prevádzkových výdavkov kapitoly, pretože dochádza k ich poklesu oproti upravenému rozpočtu roka 2010 o 1</w:t>
      </w:r>
      <w:r>
        <w:rPr>
          <w:rFonts w:ascii="Arial Narrow" w:hAnsi="Arial Narrow" w:cs="Arial Narrow"/>
          <w:sz w:val="22"/>
          <w:szCs w:val="22"/>
        </w:rPr>
        <w:t>1,9 mil. eur, čo predstavuje 5,5</w:t>
      </w:r>
      <w:r w:rsidRPr="004A2973">
        <w:rPr>
          <w:rFonts w:ascii="Arial Narrow" w:hAnsi="Arial Narrow" w:cs="Arial Narrow"/>
          <w:sz w:val="22"/>
          <w:szCs w:val="22"/>
        </w:rPr>
        <w:t xml:space="preserve">9 %. </w:t>
      </w:r>
    </w:p>
    <w:p w:rsidR="001E5B24" w:rsidRPr="0065747C" w:rsidP="001E5B24">
      <w:pPr>
        <w:bidi w:val="0"/>
        <w:ind w:firstLine="708"/>
        <w:jc w:val="both"/>
        <w:rPr>
          <w:rFonts w:ascii="Arial Narrow" w:hAnsi="Arial Narrow" w:cs="Arial Narrow"/>
          <w:sz w:val="22"/>
          <w:szCs w:val="22"/>
          <w:highlight w:val="yellow"/>
        </w:rPr>
      </w:pPr>
    </w:p>
    <w:p w:rsidR="001E5B24" w:rsidRPr="00DB4E0C" w:rsidP="001E5B24">
      <w:pPr>
        <w:bidi w:val="0"/>
        <w:ind w:firstLine="708"/>
        <w:jc w:val="both"/>
        <w:rPr>
          <w:rFonts w:ascii="Arial Narrow" w:hAnsi="Arial Narrow" w:cs="Arial Narrow"/>
          <w:sz w:val="22"/>
          <w:szCs w:val="22"/>
        </w:rPr>
      </w:pPr>
      <w:r w:rsidRPr="00DB4E0C">
        <w:rPr>
          <w:rFonts w:ascii="Arial Narrow" w:hAnsi="Arial Narrow" w:cs="Arial Narrow"/>
          <w:sz w:val="22"/>
          <w:szCs w:val="22"/>
        </w:rPr>
        <w:t xml:space="preserve">Výdavky na bežné transfery rozpočtované pre rok 2011 v sume 23,7 mil. eur sú oproti schválenému rozpočtu roka 2010 v sume 32,3 mil. eur nižšie o 8,66 mil. eur, čo predstavuje pokles o 26,8 %. Ten súvisí najmä s výdavkami na voľby, ktoré v roku 2011 oproti schválenému rozpočtu roka 2010 klesajú o 7,99 mil. eur. Po abstrahovaní od výdavkov na voľby dochádza v rámci bežných transferov k poklesu o 671 tis. eur, čo predstavuje zníženie o 2,78 %. Mierny pokles výdavkov v rámci bežných transferov súvisí </w:t>
      </w:r>
      <w:r>
        <w:rPr>
          <w:rFonts w:ascii="Arial Narrow" w:hAnsi="Arial Narrow" w:cs="Arial Narrow"/>
          <w:sz w:val="22"/>
          <w:szCs w:val="22"/>
        </w:rPr>
        <w:t xml:space="preserve">s </w:t>
      </w:r>
      <w:r w:rsidRPr="00DB4E0C">
        <w:rPr>
          <w:rFonts w:ascii="Arial Narrow" w:hAnsi="Arial Narrow" w:cs="Arial Narrow"/>
          <w:sz w:val="22"/>
          <w:szCs w:val="22"/>
        </w:rPr>
        <w:t xml:space="preserve">realizáciou mandatórnych výdavkov, ktorými sú výdavky </w:t>
      </w:r>
      <w:r>
        <w:rPr>
          <w:rFonts w:ascii="Arial Narrow" w:hAnsi="Arial Narrow" w:cs="Arial Narrow"/>
          <w:sz w:val="22"/>
          <w:szCs w:val="22"/>
        </w:rPr>
        <w:t xml:space="preserve">na </w:t>
      </w:r>
      <w:r w:rsidRPr="00DB4E0C">
        <w:rPr>
          <w:rFonts w:ascii="Arial Narrow" w:hAnsi="Arial Narrow" w:cs="Arial Narrow"/>
          <w:sz w:val="22"/>
          <w:szCs w:val="22"/>
        </w:rPr>
        <w:t>prenesený výkon štátnej správy,  výdavky na starostlivosť o vojnové hroby, výdavky na nemocenské, odchodné a odstupné, vyrovnávací príspevok a príplatky k dôchodku. Tieto výdavky sa každoročne rozpočtujú v zmysle platných právnych predpisov.</w:t>
      </w:r>
    </w:p>
    <w:p w:rsidR="001E5B24" w:rsidRPr="0065747C" w:rsidP="001E5B24">
      <w:pPr>
        <w:bidi w:val="0"/>
        <w:ind w:firstLine="708"/>
        <w:jc w:val="both"/>
        <w:rPr>
          <w:rFonts w:ascii="Arial Narrow" w:hAnsi="Arial Narrow" w:cs="Arial Narrow"/>
          <w:sz w:val="22"/>
          <w:szCs w:val="22"/>
          <w:highlight w:val="yellow"/>
        </w:rPr>
      </w:pPr>
    </w:p>
    <w:p w:rsidR="001E5B24" w:rsidP="001E5B24">
      <w:pPr>
        <w:bidi w:val="0"/>
        <w:ind w:firstLine="708"/>
        <w:jc w:val="both"/>
        <w:rPr>
          <w:rFonts w:ascii="Arial Narrow" w:hAnsi="Arial Narrow" w:cs="Arial Narrow"/>
          <w:sz w:val="22"/>
          <w:szCs w:val="22"/>
        </w:rPr>
      </w:pPr>
      <w:r w:rsidRPr="006239FF">
        <w:rPr>
          <w:rFonts w:ascii="Arial Narrow" w:hAnsi="Arial Narrow" w:cs="Arial Narrow"/>
          <w:sz w:val="22"/>
          <w:szCs w:val="22"/>
        </w:rPr>
        <w:t>Kapitálové výdavky dosahujú v roku 2011 sumu 50 mil. eur a oproti schválenému rozpočtu roka 2010 rastú o 32,7</w:t>
      </w:r>
      <w:r>
        <w:rPr>
          <w:rFonts w:ascii="Arial Narrow" w:hAnsi="Arial Narrow" w:cs="Arial Narrow"/>
          <w:sz w:val="22"/>
          <w:szCs w:val="22"/>
        </w:rPr>
        <w:t xml:space="preserve"> mil. eur, čo je 190% zvýšenie. </w:t>
      </w:r>
      <w:r w:rsidRPr="001823F2">
        <w:rPr>
          <w:rFonts w:ascii="Arial Narrow" w:hAnsi="Arial Narrow" w:cs="Arial Narrow"/>
          <w:sz w:val="22"/>
          <w:szCs w:val="22"/>
        </w:rPr>
        <w:t>Če</w:t>
      </w:r>
      <w:r>
        <w:rPr>
          <w:rFonts w:ascii="Arial Narrow" w:hAnsi="Arial Narrow" w:cs="Arial Narrow"/>
          <w:sz w:val="22"/>
          <w:szCs w:val="22"/>
        </w:rPr>
        <w:t xml:space="preserve">rpanie kapitálových výdavkov sa v rokoch 2008 a 2009 pohybovalo </w:t>
      </w:r>
      <w:r w:rsidRPr="001823F2">
        <w:rPr>
          <w:rFonts w:ascii="Arial Narrow" w:hAnsi="Arial Narrow" w:cs="Arial Narrow"/>
          <w:sz w:val="22"/>
          <w:szCs w:val="22"/>
        </w:rPr>
        <w:t>na úrovni 90 mil. eur. V schválenom rozpočte na rok 2010 boli rozpočtované v sume 17,3 mil. eur, čo obdobne ako pri tovaroch a službách neodzrkadľovalo ich reálnu potrebu. Po ich zreálnení dosahujú v upravenom rozpočte roka 2010 sumu 50,6 mil. eur. Návrh kapitálových výdavkov na rok 2011 v sume 50 mil. eur je v porovnaní s upraveným rozpočtom roka 2010 nižší o 1,11 %, pritom v roku 2011 je potrebné financovať prípravu projektov OPIS-u, v sume 17,3 mil. eur, ktoré neboli premietnuté v základni schváleného rozpočtu roka 2010.</w:t>
      </w:r>
    </w:p>
    <w:p w:rsidR="001E5B24" w:rsidP="001E5B24">
      <w:pPr>
        <w:bidi w:val="0"/>
        <w:jc w:val="both"/>
        <w:rPr>
          <w:rFonts w:ascii="Arial Narrow" w:hAnsi="Arial Narrow" w:cs="Arial Narrow"/>
          <w:sz w:val="22"/>
          <w:szCs w:val="22"/>
        </w:rPr>
      </w:pPr>
    </w:p>
    <w:p w:rsidR="001E5B24" w:rsidRPr="00D47ACB" w:rsidP="001E5B24">
      <w:pPr>
        <w:bidi w:val="0"/>
        <w:jc w:val="both"/>
        <w:rPr>
          <w:rFonts w:ascii="Arial Narrow" w:hAnsi="Arial Narrow" w:cs="Arial Narrow"/>
          <w:sz w:val="22"/>
          <w:szCs w:val="22"/>
        </w:rPr>
      </w:pPr>
      <w:r w:rsidRPr="00D47ACB">
        <w:rPr>
          <w:rFonts w:ascii="Arial Narrow" w:hAnsi="Arial Narrow" w:cs="Arial Narrow"/>
          <w:sz w:val="22"/>
          <w:szCs w:val="22"/>
        </w:rPr>
        <w:t>Ochrana verejného poriadku a bezpečnosti</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Pr>
      <w:tblGrid>
        <w:gridCol w:w="3404"/>
        <w:gridCol w:w="957"/>
        <w:gridCol w:w="957"/>
        <w:gridCol w:w="956"/>
        <w:gridCol w:w="956"/>
        <w:gridCol w:w="956"/>
        <w:gridCol w:w="956"/>
      </w:tblGrid>
      <w:tr>
        <w:tblPrEx>
          <w:tblW w:w="4962" w:type="pct"/>
          <w:tblInd w:w="70" w:type="dxa"/>
          <w:tblCellMar>
            <w:left w:w="70" w:type="dxa"/>
            <w:right w:w="70" w:type="dxa"/>
          </w:tblCellMar>
        </w:tblPrEx>
        <w:trPr>
          <w:trHeight w:val="255"/>
        </w:trPr>
        <w:tc>
          <w:tcPr>
            <w:tcW w:w="186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500261" w:rsidP="001E5B24">
            <w:pPr>
              <w:bidi w:val="0"/>
              <w:rPr>
                <w:rFonts w:ascii="Arial Narrow" w:hAnsi="Arial Narrow" w:cs="Arial Narrow"/>
                <w:b/>
                <w:bCs/>
                <w:sz w:val="16"/>
                <w:szCs w:val="16"/>
              </w:rPr>
            </w:pPr>
            <w:r w:rsidRPr="00500261">
              <w:rPr>
                <w:rFonts w:ascii="Arial Narrow" w:hAnsi="Arial Narrow" w:cs="Arial Narrow"/>
                <w:b/>
                <w:bCs/>
                <w:sz w:val="16"/>
                <w:szCs w:val="16"/>
              </w:rPr>
              <w:t>v</w:t>
            </w:r>
            <w:r>
              <w:rPr>
                <w:rFonts w:ascii="Arial Narrow" w:hAnsi="Arial Narrow" w:cs="Arial Narrow"/>
                <w:b/>
                <w:bCs/>
                <w:sz w:val="16"/>
                <w:szCs w:val="16"/>
              </w:rPr>
              <w:t> </w:t>
            </w:r>
            <w:r w:rsidRPr="00500261">
              <w:rPr>
                <w:rFonts w:ascii="Arial Narrow" w:hAnsi="Arial Narrow" w:cs="Arial Narrow"/>
                <w:b/>
                <w:bCs/>
                <w:sz w:val="16"/>
                <w:szCs w:val="16"/>
              </w:rPr>
              <w:t>tis</w:t>
            </w:r>
            <w:r>
              <w:rPr>
                <w:rFonts w:ascii="Arial Narrow" w:hAnsi="Arial Narrow" w:cs="Arial Narrow"/>
                <w:b/>
                <w:bCs/>
                <w:sz w:val="16"/>
                <w:szCs w:val="16"/>
              </w:rPr>
              <w:t>.</w:t>
            </w:r>
            <w:r w:rsidRPr="00500261">
              <w:rPr>
                <w:rFonts w:ascii="Arial Narrow" w:hAnsi="Arial Narrow" w:cs="Arial Narrow"/>
                <w:b/>
                <w:bCs/>
                <w:sz w:val="16"/>
                <w:szCs w:val="16"/>
              </w:rPr>
              <w:t xml:space="preserve"> eur</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500261" w:rsidP="001E5B24">
            <w:pPr>
              <w:bidi w:val="0"/>
              <w:jc w:val="center"/>
              <w:rPr>
                <w:rFonts w:ascii="Arial Narrow" w:hAnsi="Arial Narrow" w:cs="Arial Narrow"/>
                <w:b/>
                <w:bCs/>
                <w:sz w:val="16"/>
                <w:szCs w:val="16"/>
              </w:rPr>
            </w:pPr>
            <w:r w:rsidRPr="00500261">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C0C0C0"/>
            <w:textDirection w:val="lrTb"/>
            <w:vAlign w:val="bottom"/>
          </w:tcPr>
          <w:p w:rsidR="001E5B24" w:rsidRPr="0088621A" w:rsidP="001E5B24">
            <w:pPr>
              <w:bidi w:val="0"/>
              <w:rPr>
                <w:rFonts w:ascii="Arial Narrow" w:hAnsi="Arial Narrow" w:cs="Arial Narrow"/>
                <w:b/>
                <w:bCs/>
                <w:sz w:val="16"/>
                <w:szCs w:val="16"/>
              </w:rPr>
            </w:pPr>
            <w:r w:rsidRPr="0088621A">
              <w:rPr>
                <w:rFonts w:ascii="Arial Narrow" w:hAnsi="Arial Narrow" w:cs="Arial Narrow"/>
                <w:b/>
                <w:bCs/>
                <w:sz w:val="16"/>
                <w:szCs w:val="16"/>
              </w:rPr>
              <w:t>Ochrana verejného poriadku a bezpečnosti</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691 889</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731 426</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641 175</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667 601</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629 755</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637 866</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rozpočtové zdroje kapitoly</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660 200</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707 649</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637 010</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663 294</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624 364</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631 351</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v tom: bežné výdavky</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584 735</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650 699</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619 746</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633 990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603 464</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603 951</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 xml:space="preserve">           kapitálové výdavky</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75 465</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56 950</w:t>
            </w:r>
          </w:p>
        </w:tc>
        <w:tc>
          <w:tcPr>
            <w:tcW w:w="523" w:type="pct"/>
            <w:tcBorders>
              <w:top w:val="nil"/>
              <w:left w:val="nil"/>
              <w:bottom w:val="single" w:sz="4" w:space="0" w:color="auto"/>
              <w:right w:val="single" w:sz="4" w:space="0" w:color="auto"/>
            </w:tcBorders>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17 264</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29 304</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20 900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27 400</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presun z min. rokov § 8</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19 623</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16 162</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 </w:t>
            </w:r>
          </w:p>
        </w:tc>
      </w:tr>
      <w:tr>
        <w:tblPrEx>
          <w:tblW w:w="4962" w:type="pct"/>
          <w:tblInd w:w="70" w:type="dxa"/>
          <w:tblCellMar>
            <w:left w:w="70" w:type="dxa"/>
            <w:right w:w="70" w:type="dxa"/>
          </w:tblCellMar>
        </w:tblPrEx>
        <w:trPr>
          <w:trHeight w:val="240"/>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mimorozpočtové zdroje (8 % a iné)</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12 066</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7 615</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4 165</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4 307</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5 391</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6 515</w:t>
            </w:r>
          </w:p>
        </w:tc>
      </w:tr>
    </w:tbl>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 V</w:t>
      </w:r>
      <w:r w:rsidRPr="00400142">
        <w:rPr>
          <w:rFonts w:ascii="Arial Narrow" w:hAnsi="Arial Narrow" w:cs="Arial Narrow"/>
          <w:sz w:val="22"/>
          <w:szCs w:val="22"/>
        </w:rPr>
        <w:t xml:space="preserve"> rámci uvedeného programu </w:t>
      </w:r>
      <w:r>
        <w:rPr>
          <w:rFonts w:ascii="Arial Narrow" w:hAnsi="Arial Narrow" w:cs="Arial Narrow"/>
          <w:sz w:val="22"/>
          <w:szCs w:val="22"/>
        </w:rPr>
        <w:t xml:space="preserve">rozpočtové </w:t>
      </w:r>
      <w:r w:rsidRPr="00400142">
        <w:rPr>
          <w:rFonts w:ascii="Arial Narrow" w:hAnsi="Arial Narrow" w:cs="Arial Narrow"/>
          <w:sz w:val="22"/>
          <w:szCs w:val="22"/>
        </w:rPr>
        <w:t xml:space="preserve">výdavky </w:t>
      </w:r>
      <w:r>
        <w:rPr>
          <w:rFonts w:ascii="Arial Narrow" w:hAnsi="Arial Narrow" w:cs="Arial Narrow"/>
          <w:sz w:val="22"/>
          <w:szCs w:val="22"/>
        </w:rPr>
        <w:t>na rok 2011 oproti schválenému rozpočtu roka 2010 rastú o </w:t>
      </w:r>
      <w:r w:rsidRPr="00E602A2">
        <w:rPr>
          <w:rFonts w:ascii="Arial Narrow" w:hAnsi="Arial Narrow" w:cs="Arial Narrow"/>
          <w:sz w:val="22"/>
          <w:szCs w:val="22"/>
        </w:rPr>
        <w:t>26,3 mil. eur, čo predstavuje 4,13% nárast. Oproti</w:t>
      </w:r>
      <w:r>
        <w:rPr>
          <w:rFonts w:ascii="Arial Narrow" w:hAnsi="Arial Narrow" w:cs="Arial Narrow"/>
          <w:sz w:val="22"/>
          <w:szCs w:val="22"/>
        </w:rPr>
        <w:t xml:space="preserve"> upravenému rozpočtu roka 2010 klesajú výdavky na ochranu verejného poriadku a bezpečnosti v roku </w:t>
      </w:r>
      <w:r w:rsidRPr="008544E8">
        <w:rPr>
          <w:rFonts w:ascii="Arial Narrow" w:hAnsi="Arial Narrow" w:cs="Arial Narrow"/>
          <w:sz w:val="22"/>
          <w:szCs w:val="22"/>
        </w:rPr>
        <w:t>2011 o 66,8 mil. eur, čo je 9,1% zníženie</w:t>
      </w:r>
      <w:r>
        <w:rPr>
          <w:rFonts w:ascii="Arial Narrow" w:hAnsi="Arial Narrow" w:cs="Arial Narrow"/>
          <w:sz w:val="22"/>
          <w:szCs w:val="22"/>
        </w:rPr>
        <w:t>.</w:t>
      </w:r>
    </w:p>
    <w:p w:rsidR="001E5B24" w:rsidRPr="00400142" w:rsidP="001E5B24">
      <w:pPr>
        <w:bidi w:val="0"/>
        <w:jc w:val="both"/>
        <w:rPr>
          <w:rFonts w:ascii="Arial Narrow" w:hAnsi="Arial Narrow" w:cs="Arial Narrow"/>
          <w:sz w:val="22"/>
          <w:szCs w:val="22"/>
        </w:rPr>
      </w:pPr>
    </w:p>
    <w:p w:rsidR="001E5B24" w:rsidRPr="00400142" w:rsidP="001E5B24">
      <w:pPr>
        <w:bidi w:val="0"/>
        <w:ind w:firstLine="708"/>
        <w:jc w:val="both"/>
        <w:rPr>
          <w:rFonts w:ascii="Arial Narrow" w:hAnsi="Arial Narrow" w:cs="Arial Narrow"/>
          <w:sz w:val="22"/>
          <w:szCs w:val="22"/>
        </w:rPr>
      </w:pPr>
      <w:r w:rsidRPr="00400142">
        <w:rPr>
          <w:rFonts w:ascii="Arial Narrow" w:hAnsi="Arial Narrow" w:cs="Arial Narrow"/>
          <w:sz w:val="22"/>
          <w:szCs w:val="22"/>
        </w:rPr>
        <w:t xml:space="preserve">Rozpočtované prostriedky slúžia na zabezpečenie základných úloh na úseku poriadkovej polície, justičnej a kriminálnej polície, dopravnej polície, inšpekčnej služby PZ, Kriminalisticko-expertízneho ústavu PZ, cudzineckej a hraničnej polície, špecializovaných útvarov polície a Migračného úradu Ministerstva vnútra SR. Ďalej sú tu rozpočtované výdavky na zabezpečenie výučby základného policajného vzdelania, prípravu nižších policajných dôstojníkov a špecializovaného vzdelania pre priamy výkon policajnej služby. Túto prípravu zabezpečujú stredné odborné školy PZ. Vyšší stupeň prípravy policajtov a bezpečnostných služieb a ďalšie vzdelávanie, vrátane vedeckého poznania a výchovy zabezpečuje Akadémia PZ. </w:t>
      </w:r>
    </w:p>
    <w:p w:rsidR="001E5B24" w:rsidRPr="00C84A55" w:rsidP="001E5B24">
      <w:pPr>
        <w:bidi w:val="0"/>
        <w:jc w:val="both"/>
        <w:rPr>
          <w:rFonts w:ascii="Arial" w:hAnsi="Arial" w:cs="Arial"/>
          <w:sz w:val="20"/>
          <w:szCs w:val="20"/>
        </w:rPr>
      </w:pPr>
    </w:p>
    <w:p w:rsidR="001E5B24" w:rsidRPr="00D47ACB" w:rsidP="001E5B24">
      <w:pPr>
        <w:bidi w:val="0"/>
        <w:jc w:val="both"/>
        <w:rPr>
          <w:rFonts w:ascii="Arial Narrow" w:hAnsi="Arial Narrow" w:cs="Arial Narrow"/>
          <w:sz w:val="22"/>
          <w:szCs w:val="22"/>
        </w:rPr>
      </w:pPr>
      <w:r w:rsidRPr="00D47ACB">
        <w:rPr>
          <w:rFonts w:ascii="Arial Narrow" w:hAnsi="Arial Narrow" w:cs="Arial Narrow"/>
          <w:sz w:val="22"/>
          <w:szCs w:val="22"/>
        </w:rPr>
        <w:t>Záchranné zložky</w:t>
      </w:r>
    </w:p>
    <w:p w:rsidR="001E5B24" w:rsidP="001E5B24">
      <w:pPr>
        <w:bidi w:val="0"/>
        <w:jc w:val="both"/>
        <w:rPr>
          <w:rFonts w:ascii="Arial" w:hAnsi="Arial" w:cs="Arial"/>
          <w:sz w:val="20"/>
          <w:szCs w:val="20"/>
        </w:rPr>
      </w:pPr>
    </w:p>
    <w:tbl>
      <w:tblPr>
        <w:tblStyle w:val="TableNormal"/>
        <w:tblW w:w="4962" w:type="pct"/>
        <w:tblInd w:w="70" w:type="dxa"/>
        <w:tblCellMar>
          <w:left w:w="70" w:type="dxa"/>
          <w:right w:w="70" w:type="dxa"/>
        </w:tblCellMar>
      </w:tblPr>
      <w:tblGrid>
        <w:gridCol w:w="3404"/>
        <w:gridCol w:w="957"/>
        <w:gridCol w:w="957"/>
        <w:gridCol w:w="956"/>
        <w:gridCol w:w="956"/>
        <w:gridCol w:w="956"/>
        <w:gridCol w:w="956"/>
      </w:tblGrid>
      <w:tr>
        <w:tblPrEx>
          <w:tblW w:w="4962" w:type="pct"/>
          <w:tblInd w:w="70" w:type="dxa"/>
          <w:tblCellMar>
            <w:left w:w="70" w:type="dxa"/>
            <w:right w:w="70" w:type="dxa"/>
          </w:tblCellMar>
        </w:tblPrEx>
        <w:trPr>
          <w:trHeight w:val="255"/>
        </w:trPr>
        <w:tc>
          <w:tcPr>
            <w:tcW w:w="186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66AF6" w:rsidP="001E5B24">
            <w:pPr>
              <w:bidi w:val="0"/>
              <w:rPr>
                <w:rFonts w:ascii="Arial Narrow" w:hAnsi="Arial Narrow" w:cs="Arial Narrow"/>
                <w:b/>
                <w:bCs/>
                <w:sz w:val="16"/>
                <w:szCs w:val="16"/>
              </w:rPr>
            </w:pPr>
            <w:r w:rsidRPr="00C66AF6">
              <w:rPr>
                <w:rFonts w:ascii="Arial Narrow" w:hAnsi="Arial Narrow" w:cs="Arial Narrow"/>
                <w:b/>
                <w:bCs/>
                <w:sz w:val="16"/>
                <w:szCs w:val="16"/>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C66AF6" w:rsidP="001E5B24">
            <w:pPr>
              <w:bidi w:val="0"/>
              <w:jc w:val="center"/>
              <w:rPr>
                <w:rFonts w:ascii="Arial Narrow" w:hAnsi="Arial Narrow" w:cs="Arial Narrow"/>
                <w:b/>
                <w:bCs/>
                <w:sz w:val="16"/>
                <w:szCs w:val="16"/>
              </w:rPr>
            </w:pPr>
            <w:r w:rsidRPr="00C66AF6">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55"/>
        </w:trPr>
        <w:tc>
          <w:tcPr>
            <w:tcW w:w="1861" w:type="pct"/>
            <w:tcBorders>
              <w:top w:val="nil"/>
              <w:left w:val="single" w:sz="4" w:space="0" w:color="auto"/>
              <w:bottom w:val="single" w:sz="4" w:space="0" w:color="auto"/>
              <w:right w:val="single" w:sz="4" w:space="0" w:color="auto"/>
            </w:tcBorders>
            <w:shd w:val="clear" w:color="auto" w:fill="C0C0C0"/>
            <w:textDirection w:val="lrTb"/>
            <w:vAlign w:val="bottom"/>
          </w:tcPr>
          <w:p w:rsidR="001E5B24" w:rsidRPr="0088621A" w:rsidP="001E5B24">
            <w:pPr>
              <w:bidi w:val="0"/>
              <w:rPr>
                <w:rFonts w:ascii="Arial Narrow" w:hAnsi="Arial Narrow" w:cs="Arial Narrow"/>
                <w:b/>
                <w:bCs/>
                <w:sz w:val="16"/>
                <w:szCs w:val="16"/>
              </w:rPr>
            </w:pPr>
            <w:r w:rsidRPr="0088621A">
              <w:rPr>
                <w:rFonts w:ascii="Arial Narrow" w:hAnsi="Arial Narrow" w:cs="Arial Narrow"/>
                <w:b/>
                <w:bCs/>
                <w:sz w:val="16"/>
                <w:szCs w:val="16"/>
              </w:rPr>
              <w:t>Záchranné zložky</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111 910</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154 110</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115 050</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111 746</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108 046</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108 046</w:t>
            </w:r>
          </w:p>
        </w:tc>
      </w:tr>
      <w:tr>
        <w:tblPrEx>
          <w:tblW w:w="4962" w:type="pct"/>
          <w:tblInd w:w="70" w:type="dxa"/>
          <w:tblCellMar>
            <w:left w:w="70" w:type="dxa"/>
            <w:right w:w="70" w:type="dxa"/>
          </w:tblCellMar>
        </w:tblPrEx>
        <w:trPr>
          <w:trHeight w:val="255"/>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rozpočtové zdroje kapitoly</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88 527</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121 186</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90 339</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88 246</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84 546</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84 546</w:t>
            </w:r>
          </w:p>
        </w:tc>
      </w:tr>
      <w:tr>
        <w:tblPrEx>
          <w:tblW w:w="4962" w:type="pct"/>
          <w:tblInd w:w="70" w:type="dxa"/>
          <w:tblCellMar>
            <w:left w:w="70" w:type="dxa"/>
            <w:right w:w="70" w:type="dxa"/>
          </w:tblCellMar>
        </w:tblPrEx>
        <w:trPr>
          <w:trHeight w:val="255"/>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presun z min. rokov § 8</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221</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540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r>
      <w:tr>
        <w:tblPrEx>
          <w:tblW w:w="4962" w:type="pct"/>
          <w:tblInd w:w="70" w:type="dxa"/>
          <w:tblCellMar>
            <w:left w:w="70" w:type="dxa"/>
            <w:right w:w="70" w:type="dxa"/>
          </w:tblCellMar>
        </w:tblPrEx>
        <w:trPr>
          <w:trHeight w:val="255"/>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zdroje EÚ vrátane spolufinancovania</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621</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0</w:t>
            </w:r>
          </w:p>
        </w:tc>
      </w:tr>
      <w:tr>
        <w:tblPrEx>
          <w:tblW w:w="4962" w:type="pct"/>
          <w:tblInd w:w="70" w:type="dxa"/>
          <w:tblCellMar>
            <w:left w:w="70" w:type="dxa"/>
            <w:right w:w="70" w:type="dxa"/>
          </w:tblCellMar>
        </w:tblPrEx>
        <w:trPr>
          <w:trHeight w:val="255"/>
        </w:trPr>
        <w:tc>
          <w:tcPr>
            <w:tcW w:w="1861" w:type="pct"/>
            <w:tcBorders>
              <w:top w:val="nil"/>
              <w:left w:val="single" w:sz="4" w:space="0" w:color="auto"/>
              <w:bottom w:val="single" w:sz="4" w:space="0" w:color="auto"/>
              <w:right w:val="single" w:sz="4" w:space="0" w:color="auto"/>
            </w:tcBorders>
            <w:shd w:val="clear" w:color="auto" w:fill="FFFFFF"/>
            <w:textDirection w:val="lrTb"/>
            <w:vAlign w:val="bottom"/>
          </w:tcPr>
          <w:p w:rsidR="001E5B24" w:rsidRPr="003C0DFC" w:rsidP="001E5B24">
            <w:pPr>
              <w:bidi w:val="0"/>
              <w:rPr>
                <w:rFonts w:ascii="Arial Narrow" w:hAnsi="Arial Narrow" w:cs="Arial Narrow"/>
                <w:sz w:val="16"/>
                <w:szCs w:val="16"/>
              </w:rPr>
            </w:pPr>
            <w:r w:rsidRPr="003C0DFC">
              <w:rPr>
                <w:rFonts w:ascii="Arial Narrow" w:hAnsi="Arial Narrow" w:cs="Arial Narrow"/>
                <w:sz w:val="16"/>
                <w:szCs w:val="16"/>
              </w:rPr>
              <w:t>mimorozpočtové zdroje (8 % a iné)</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22 541</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32 384</w:t>
            </w:r>
          </w:p>
        </w:tc>
        <w:tc>
          <w:tcPr>
            <w:tcW w:w="523" w:type="pct"/>
            <w:tcBorders>
              <w:top w:val="nil"/>
              <w:left w:val="nil"/>
              <w:bottom w:val="single" w:sz="4" w:space="0" w:color="auto"/>
              <w:right w:val="single" w:sz="4" w:space="0" w:color="auto"/>
            </w:tcBorders>
            <w:shd w:val="clear" w:color="auto" w:fill="FFFFFF"/>
            <w:noWrap/>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24 711</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23 500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23 500</w:t>
            </w:r>
          </w:p>
        </w:tc>
        <w:tc>
          <w:tcPr>
            <w:tcW w:w="523" w:type="pct"/>
            <w:tcBorders>
              <w:top w:val="nil"/>
              <w:left w:val="nil"/>
              <w:bottom w:val="single" w:sz="4" w:space="0" w:color="auto"/>
              <w:right w:val="single" w:sz="4" w:space="0" w:color="auto"/>
            </w:tcBorders>
            <w:shd w:val="clear" w:color="auto" w:fill="FFFFFF"/>
            <w:textDirection w:val="lrTb"/>
            <w:vAlign w:val="bottom"/>
          </w:tcPr>
          <w:p w:rsidR="001E5B24" w:rsidRPr="003C0DFC" w:rsidP="001E5B24">
            <w:pPr>
              <w:bidi w:val="0"/>
              <w:jc w:val="right"/>
              <w:rPr>
                <w:rFonts w:ascii="Arial Narrow" w:hAnsi="Arial Narrow" w:cs="Arial Narrow"/>
                <w:sz w:val="16"/>
                <w:szCs w:val="16"/>
              </w:rPr>
            </w:pPr>
            <w:r w:rsidRPr="003C0DFC">
              <w:rPr>
                <w:rFonts w:ascii="Arial Narrow" w:hAnsi="Arial Narrow" w:cs="Arial Narrow"/>
                <w:sz w:val="16"/>
                <w:szCs w:val="16"/>
              </w:rPr>
              <w:t>23 500</w:t>
            </w:r>
          </w:p>
        </w:tc>
      </w:tr>
    </w:tbl>
    <w:p w:rsidR="001E5B24" w:rsidP="001E5B24">
      <w:pPr>
        <w:bidi w:val="0"/>
        <w:jc w:val="both"/>
        <w:rPr>
          <w:rFonts w:ascii="Arial" w:hAnsi="Arial" w:cs="Arial"/>
          <w:sz w:val="20"/>
          <w:szCs w:val="20"/>
        </w:rPr>
      </w:pPr>
    </w:p>
    <w:p w:rsidR="001E5B24" w:rsidRPr="00400142" w:rsidP="001E5B24">
      <w:pPr>
        <w:bidi w:val="0"/>
        <w:ind w:firstLine="708"/>
        <w:jc w:val="both"/>
        <w:rPr>
          <w:rFonts w:ascii="Arial Narrow" w:hAnsi="Arial Narrow" w:cs="Arial Narrow"/>
          <w:sz w:val="22"/>
          <w:szCs w:val="22"/>
        </w:rPr>
      </w:pPr>
      <w:r w:rsidRPr="00400142">
        <w:rPr>
          <w:rFonts w:ascii="Arial Narrow" w:hAnsi="Arial Narrow" w:cs="Arial Narrow"/>
          <w:sz w:val="22"/>
          <w:szCs w:val="22"/>
        </w:rPr>
        <w:t>Rozpočtované prostriedky slúžia na zabezpečenie plnenia základných úloh na úseku ochrany pred požiarmi vrátane štátneho požiarneho dozoru a vedecko-technického rozvoja, na realizáciu úloh pri zdolávaní požiarov, pri záchranných prácach pri haváriách a živelných pohromách, na plnenie úloh v oblasti výchovy, vzdelávania a odbornej prípravy na úseku ochrany pred požiarmi. Zároveň sú v rámci záchranných zložiek rozpočtované výdavky pre plnenie úloh Horskej záchrannej služby.</w:t>
      </w:r>
    </w:p>
    <w:p w:rsidR="001E5B24" w:rsidRPr="00400142" w:rsidP="001E5B24">
      <w:pPr>
        <w:bidi w:val="0"/>
        <w:jc w:val="both"/>
        <w:rPr>
          <w:rFonts w:ascii="Arial Narrow" w:hAnsi="Arial Narrow" w:cs="Arial Narrow"/>
          <w:sz w:val="22"/>
          <w:szCs w:val="22"/>
        </w:rPr>
      </w:pPr>
    </w:p>
    <w:p w:rsidR="001E5B24" w:rsidRPr="002B62DA" w:rsidP="001E5B24">
      <w:pPr>
        <w:bidi w:val="0"/>
        <w:ind w:firstLine="708"/>
        <w:jc w:val="both"/>
        <w:rPr>
          <w:rFonts w:ascii="Arial Narrow" w:hAnsi="Arial Narrow" w:cs="Arial Narrow"/>
          <w:sz w:val="22"/>
          <w:szCs w:val="22"/>
        </w:rPr>
      </w:pPr>
      <w:r w:rsidRPr="002B62DA">
        <w:rPr>
          <w:rFonts w:ascii="Arial Narrow" w:hAnsi="Arial Narrow" w:cs="Arial Narrow"/>
          <w:sz w:val="22"/>
          <w:szCs w:val="22"/>
        </w:rPr>
        <w:t>V rámci uvedeného programu rozpočtové výdavky na rok 2011 oproti schválenému rozpočtu roka 2010 klesajú o 2,09 mil. eur</w:t>
      </w:r>
      <w:r>
        <w:rPr>
          <w:rFonts w:ascii="Arial Narrow" w:hAnsi="Arial Narrow" w:cs="Arial Narrow"/>
          <w:sz w:val="22"/>
          <w:szCs w:val="22"/>
        </w:rPr>
        <w:t xml:space="preserve">, čo je </w:t>
      </w:r>
      <w:r w:rsidRPr="002B62DA">
        <w:rPr>
          <w:rFonts w:ascii="Arial Narrow" w:hAnsi="Arial Narrow" w:cs="Arial Narrow"/>
          <w:sz w:val="22"/>
          <w:szCs w:val="22"/>
        </w:rPr>
        <w:t>2,32%</w:t>
      </w:r>
      <w:r>
        <w:rPr>
          <w:rFonts w:ascii="Arial Narrow" w:hAnsi="Arial Narrow" w:cs="Arial Narrow"/>
          <w:sz w:val="22"/>
          <w:szCs w:val="22"/>
        </w:rPr>
        <w:t xml:space="preserve"> zníženie. </w:t>
      </w:r>
      <w:r w:rsidRPr="006F783B">
        <w:rPr>
          <w:rFonts w:ascii="Arial Narrow" w:hAnsi="Arial Narrow" w:cs="Arial Narrow"/>
          <w:sz w:val="22"/>
          <w:szCs w:val="22"/>
        </w:rPr>
        <w:t>Oproti upravenému rozpočtu roka 2010 klesajú výdavky záchranných zložiek na rok 2011 o 19,7 mil. eur, čo je 18,3% zníženie.</w:t>
      </w:r>
    </w:p>
    <w:p w:rsidR="001E5B24" w:rsidRPr="00400142" w:rsidP="001E5B24">
      <w:pPr>
        <w:bidi w:val="0"/>
        <w:jc w:val="both"/>
        <w:rPr>
          <w:rFonts w:ascii="Arial Narrow" w:hAnsi="Arial Narrow" w:cs="Arial Narrow"/>
          <w:sz w:val="22"/>
          <w:szCs w:val="22"/>
        </w:rPr>
      </w:pPr>
    </w:p>
    <w:p w:rsidR="001E5B24" w:rsidP="00DB4442">
      <w:pPr>
        <w:bidi w:val="0"/>
        <w:ind w:firstLine="708"/>
        <w:jc w:val="both"/>
        <w:rPr>
          <w:rFonts w:ascii="Arial Narrow" w:hAnsi="Arial Narrow" w:cs="Arial Narrow"/>
          <w:sz w:val="22"/>
          <w:szCs w:val="22"/>
        </w:rPr>
      </w:pPr>
      <w:r w:rsidRPr="00400142">
        <w:rPr>
          <w:rFonts w:ascii="Arial Narrow" w:hAnsi="Arial Narrow" w:cs="Arial Narrow"/>
          <w:sz w:val="22"/>
          <w:szCs w:val="22"/>
        </w:rPr>
        <w:t xml:space="preserve">Nad rámec rozpočtovaných zdrojov sa v oblasti bezpečnosti (pre PZ a Hasičský a záchranný zbor) uvažuje s povinným odvodom vo výške 8 % výberu z povinného zmluvného poistenia motorových vozidiel za predchádzajúci rok. </w:t>
      </w:r>
      <w:r w:rsidRPr="0088621A">
        <w:rPr>
          <w:rFonts w:ascii="Arial Narrow" w:hAnsi="Arial Narrow" w:cs="Arial Narrow"/>
          <w:sz w:val="22"/>
          <w:szCs w:val="22"/>
        </w:rPr>
        <w:t>Keďže svojou konštrukciou je tento odvod naviazaný na príjmy poisťovní za predchádzajúci kalendárny rok z definovaného produktu neživotného poistenia, pokles v roku 2010 oproti roku 2009 súvisí so znížením príjmov poisťovní, pod ktorý sa podpísal vývoj v danom segmente služieb ovplyvnený cenovou politikou poisťovní a samotný negatívny vývoj ekonomiky v roku 2009.</w:t>
      </w:r>
    </w:p>
    <w:p w:rsidR="001E5B24" w:rsidRPr="00E14B17" w:rsidP="001E5B24">
      <w:pPr>
        <w:bidi w:val="0"/>
        <w:ind w:firstLine="708"/>
        <w:jc w:val="both"/>
        <w:rPr>
          <w:rFonts w:ascii="Arial Narrow" w:hAnsi="Arial Narrow" w:cs="Arial Narrow"/>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404"/>
        <w:gridCol w:w="957"/>
        <w:gridCol w:w="957"/>
        <w:gridCol w:w="956"/>
        <w:gridCol w:w="956"/>
        <w:gridCol w:w="956"/>
        <w:gridCol w:w="956"/>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trPr>
        <w:tc>
          <w:tcPr>
            <w:tcW w:w="1861"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rPr>
                <w:rFonts w:ascii="Arial Narrow" w:hAnsi="Arial Narrow" w:cs="Arial Narrow"/>
                <w:b/>
                <w:bCs/>
                <w:sz w:val="16"/>
                <w:szCs w:val="16"/>
              </w:rPr>
            </w:pPr>
            <w:r w:rsidRPr="00200D60">
              <w:rPr>
                <w:rFonts w:ascii="Arial Narrow" w:hAnsi="Arial Narrow" w:cs="Arial Narrow"/>
                <w:b/>
                <w:bCs/>
                <w:sz w:val="16"/>
                <w:szCs w:val="16"/>
              </w:rPr>
              <w:t>v tis. eur</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2008 S</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2009 S</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2010 S</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2011 P</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2012 P</w:t>
            </w:r>
          </w:p>
        </w:tc>
        <w:tc>
          <w:tcPr>
            <w:tcW w:w="523" w:type="pct"/>
            <w:tcBorders>
              <w:top w:val="single" w:sz="4" w:space="0" w:color="auto"/>
              <w:left w:val="single" w:sz="4" w:space="0" w:color="auto"/>
              <w:bottom w:val="single" w:sz="4" w:space="0" w:color="auto"/>
              <w:right w:val="single" w:sz="4" w:space="0" w:color="auto"/>
            </w:tcBorders>
            <w:textDirection w:val="lrTb"/>
            <w:vAlign w:val="center"/>
          </w:tcPr>
          <w:p w:rsidR="001E5B24" w:rsidRPr="00200D60" w:rsidP="001E5B24">
            <w:pPr>
              <w:bidi w:val="0"/>
              <w:jc w:val="center"/>
              <w:rPr>
                <w:rFonts w:ascii="Arial Narrow" w:hAnsi="Arial Narrow" w:cs="Arial Narrow"/>
                <w:b/>
                <w:bCs/>
                <w:sz w:val="16"/>
                <w:szCs w:val="16"/>
              </w:rPr>
            </w:pPr>
            <w:r w:rsidRPr="00200D60">
              <w:rPr>
                <w:rFonts w:ascii="Arial Narrow" w:hAnsi="Arial Narrow" w:cs="Arial Narrow"/>
                <w:b/>
                <w:bCs/>
                <w:sz w:val="16"/>
                <w:szCs w:val="16"/>
              </w:rPr>
              <w:t>2013 P</w:t>
            </w:r>
          </w:p>
        </w:tc>
      </w:tr>
      <w:tr>
        <w:tblPrEx>
          <w:tblW w:w="4962" w:type="pct"/>
          <w:tblInd w:w="70" w:type="dxa"/>
          <w:tblCellMar>
            <w:left w:w="70" w:type="dxa"/>
            <w:right w:w="70" w:type="dxa"/>
          </w:tblCellMar>
        </w:tblPrEx>
        <w:trPr>
          <w:trHeight w:val="227"/>
        </w:trPr>
        <w:tc>
          <w:tcPr>
            <w:tcW w:w="1861" w:type="pct"/>
            <w:tcBorders>
              <w:top w:val="single" w:sz="4" w:space="0" w:color="auto"/>
              <w:left w:val="single" w:sz="4" w:space="0" w:color="auto"/>
              <w:bottom w:val="single" w:sz="4" w:space="0" w:color="auto"/>
              <w:right w:val="single" w:sz="4" w:space="0" w:color="auto"/>
            </w:tcBorders>
            <w:textDirection w:val="lrTb"/>
            <w:vAlign w:val="bottom"/>
          </w:tcPr>
          <w:p w:rsidR="001E5B24" w:rsidRPr="00400142" w:rsidP="001E5B24">
            <w:pPr>
              <w:bidi w:val="0"/>
              <w:rPr>
                <w:rFonts w:ascii="Arial Narrow" w:hAnsi="Arial Narrow" w:cs="Arial Narrow"/>
                <w:sz w:val="16"/>
                <w:szCs w:val="16"/>
              </w:rPr>
            </w:pPr>
            <w:r w:rsidRPr="00400142">
              <w:rPr>
                <w:rFonts w:ascii="Arial Narrow" w:hAnsi="Arial Narrow" w:cs="Arial Narrow"/>
                <w:sz w:val="16"/>
                <w:szCs w:val="16"/>
              </w:rPr>
              <w:t>odvod 8 % poistného</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400142" w:rsidP="001E5B24">
            <w:pPr>
              <w:bidi w:val="0"/>
              <w:jc w:val="right"/>
              <w:rPr>
                <w:rFonts w:ascii="Arial Narrow" w:hAnsi="Arial Narrow" w:cs="Arial Narrow"/>
                <w:sz w:val="16"/>
                <w:szCs w:val="16"/>
              </w:rPr>
            </w:pPr>
            <w:r w:rsidRPr="00400142">
              <w:rPr>
                <w:rFonts w:ascii="Arial Narrow" w:hAnsi="Arial Narrow" w:cs="Arial Narrow"/>
                <w:sz w:val="16"/>
                <w:szCs w:val="16"/>
              </w:rPr>
              <w:t>24 27</w:t>
            </w:r>
            <w:r>
              <w:rPr>
                <w:rFonts w:ascii="Arial Narrow" w:hAnsi="Arial Narrow" w:cs="Arial Narrow"/>
                <w:sz w:val="16"/>
                <w:szCs w:val="16"/>
              </w:rPr>
              <w:t>8</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400142" w:rsidP="001E5B24">
            <w:pPr>
              <w:bidi w:val="0"/>
              <w:jc w:val="right"/>
              <w:rPr>
                <w:rFonts w:ascii="Arial Narrow" w:hAnsi="Arial Narrow" w:cs="Arial Narrow"/>
                <w:sz w:val="16"/>
                <w:szCs w:val="16"/>
              </w:rPr>
            </w:pPr>
            <w:r w:rsidRPr="00400142">
              <w:rPr>
                <w:rFonts w:ascii="Arial Narrow" w:hAnsi="Arial Narrow" w:cs="Arial Narrow"/>
                <w:sz w:val="16"/>
                <w:szCs w:val="16"/>
              </w:rPr>
              <w:t>24 98</w:t>
            </w:r>
            <w:r>
              <w:rPr>
                <w:rFonts w:ascii="Arial Narrow" w:hAnsi="Arial Narrow" w:cs="Arial Narrow"/>
                <w:sz w:val="16"/>
                <w:szCs w:val="16"/>
              </w:rPr>
              <w:t>7</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400142" w:rsidP="001E5B24">
            <w:pPr>
              <w:bidi w:val="0"/>
              <w:jc w:val="right"/>
              <w:rPr>
                <w:rFonts w:ascii="Arial Narrow" w:hAnsi="Arial Narrow" w:cs="Arial Narrow"/>
                <w:sz w:val="16"/>
                <w:szCs w:val="16"/>
                <w:highlight w:val="yellow"/>
              </w:rPr>
            </w:pPr>
            <w:r w:rsidRPr="00400142">
              <w:rPr>
                <w:rFonts w:ascii="Arial Narrow" w:hAnsi="Arial Narrow" w:cs="Arial Narrow"/>
                <w:sz w:val="16"/>
                <w:szCs w:val="16"/>
              </w:rPr>
              <w:t>23 293</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400142" w:rsidP="001E5B24">
            <w:pPr>
              <w:bidi w:val="0"/>
              <w:jc w:val="right"/>
              <w:rPr>
                <w:rFonts w:ascii="Arial Narrow" w:hAnsi="Arial Narrow" w:cs="Arial Narrow"/>
                <w:sz w:val="16"/>
                <w:szCs w:val="16"/>
                <w:highlight w:val="yellow"/>
              </w:rPr>
            </w:pPr>
            <w:r w:rsidRPr="00400142">
              <w:rPr>
                <w:rFonts w:ascii="Arial Narrow" w:hAnsi="Arial Narrow" w:cs="Arial Narrow"/>
                <w:sz w:val="16"/>
                <w:szCs w:val="16"/>
              </w:rPr>
              <w:t>23 500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400142" w:rsidP="001E5B24">
            <w:pPr>
              <w:bidi w:val="0"/>
              <w:jc w:val="right"/>
              <w:rPr>
                <w:rFonts w:ascii="Arial Narrow" w:hAnsi="Arial Narrow" w:cs="Arial Narrow"/>
                <w:sz w:val="16"/>
                <w:szCs w:val="16"/>
                <w:highlight w:val="yellow"/>
              </w:rPr>
            </w:pPr>
            <w:r w:rsidRPr="00400142">
              <w:rPr>
                <w:rFonts w:ascii="Arial Narrow" w:hAnsi="Arial Narrow" w:cs="Arial Narrow"/>
                <w:sz w:val="16"/>
                <w:szCs w:val="16"/>
              </w:rPr>
              <w:t>23 500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400142" w:rsidP="001E5B24">
            <w:pPr>
              <w:bidi w:val="0"/>
              <w:jc w:val="right"/>
              <w:rPr>
                <w:rFonts w:ascii="Arial Narrow" w:hAnsi="Arial Narrow" w:cs="Arial Narrow"/>
                <w:sz w:val="16"/>
                <w:szCs w:val="16"/>
              </w:rPr>
            </w:pPr>
            <w:r w:rsidRPr="00400142">
              <w:rPr>
                <w:rFonts w:ascii="Arial Narrow" w:hAnsi="Arial Narrow" w:cs="Arial Narrow"/>
                <w:sz w:val="16"/>
                <w:szCs w:val="16"/>
              </w:rPr>
              <w:t>23 500</w:t>
            </w:r>
          </w:p>
        </w:tc>
      </w:tr>
    </w:tbl>
    <w:p w:rsidR="001E5B24" w:rsidP="001E5B24">
      <w:pPr>
        <w:bidi w:val="0"/>
        <w:jc w:val="both"/>
        <w:rPr>
          <w:rFonts w:ascii="Arial Narrow" w:hAnsi="Arial Narrow" w:cs="Arial Narrow"/>
          <w:b/>
          <w:bCs/>
          <w:sz w:val="22"/>
          <w:szCs w:val="22"/>
        </w:rPr>
      </w:pPr>
    </w:p>
    <w:p w:rsidR="001E5B24" w:rsidRPr="00D47ACB" w:rsidP="001E5B24">
      <w:pPr>
        <w:bidi w:val="0"/>
        <w:jc w:val="both"/>
        <w:rPr>
          <w:rFonts w:ascii="Arial Narrow" w:hAnsi="Arial Narrow" w:cs="Arial Narrow"/>
          <w:sz w:val="22"/>
          <w:szCs w:val="22"/>
        </w:rPr>
      </w:pPr>
      <w:r w:rsidRPr="00D47ACB">
        <w:rPr>
          <w:rFonts w:ascii="Arial Narrow" w:hAnsi="Arial Narrow" w:cs="Arial Narrow"/>
          <w:sz w:val="22"/>
          <w:szCs w:val="22"/>
        </w:rPr>
        <w:t>Verejná správa</w:t>
      </w:r>
    </w:p>
    <w:p w:rsidR="001E5B24" w:rsidP="001E5B24">
      <w:pPr>
        <w:bidi w:val="0"/>
        <w:jc w:val="both"/>
        <w:rPr>
          <w:rFonts w:ascii="Arial" w:hAnsi="Arial" w:cs="Arial"/>
          <w:b/>
          <w:bCs/>
          <w:sz w:val="20"/>
          <w:szCs w:val="20"/>
        </w:rPr>
      </w:pPr>
    </w:p>
    <w:tbl>
      <w:tblPr>
        <w:tblStyle w:val="TableNormal"/>
        <w:tblW w:w="4962" w:type="pct"/>
        <w:tblInd w:w="70" w:type="dxa"/>
        <w:tblCellMar>
          <w:left w:w="70" w:type="dxa"/>
          <w:right w:w="70" w:type="dxa"/>
        </w:tblCellMar>
      </w:tblPr>
      <w:tblGrid>
        <w:gridCol w:w="3404"/>
        <w:gridCol w:w="957"/>
        <w:gridCol w:w="957"/>
        <w:gridCol w:w="956"/>
        <w:gridCol w:w="956"/>
        <w:gridCol w:w="956"/>
        <w:gridCol w:w="956"/>
      </w:tblGrid>
      <w:tr>
        <w:tblPrEx>
          <w:tblW w:w="4962" w:type="pct"/>
          <w:tblInd w:w="70" w:type="dxa"/>
          <w:tblCellMar>
            <w:left w:w="70" w:type="dxa"/>
            <w:right w:w="70" w:type="dxa"/>
          </w:tblCellMar>
        </w:tblPrEx>
        <w:trPr>
          <w:trHeight w:val="270"/>
        </w:trPr>
        <w:tc>
          <w:tcPr>
            <w:tcW w:w="1861" w:type="pct"/>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rPr>
                <w:rFonts w:ascii="Arial Narrow" w:hAnsi="Arial Narrow" w:cs="Arial Narrow"/>
                <w:b/>
                <w:bCs/>
                <w:sz w:val="16"/>
                <w:szCs w:val="16"/>
              </w:rPr>
            </w:pPr>
            <w:r>
              <w:rPr>
                <w:rFonts w:ascii="Arial Narrow" w:hAnsi="Arial Narrow" w:cs="Arial Narrow"/>
                <w:b/>
                <w:bCs/>
                <w:sz w:val="16"/>
                <w:szCs w:val="16"/>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textDirection w:val="lrTb"/>
            <w:vAlign w:val="bottom"/>
          </w:tcPr>
          <w:p w:rsidR="001E5B24" w:rsidP="001E5B24">
            <w:pPr>
              <w:bidi w:val="0"/>
              <w:jc w:val="center"/>
              <w:rPr>
                <w:rFonts w:ascii="Arial Narrow" w:hAnsi="Arial Narrow" w:cs="Arial Narrow"/>
                <w:b/>
                <w:bCs/>
                <w:sz w:val="16"/>
                <w:szCs w:val="16"/>
              </w:rPr>
            </w:pPr>
            <w:r>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70"/>
        </w:trPr>
        <w:tc>
          <w:tcPr>
            <w:tcW w:w="1861" w:type="pct"/>
            <w:tcBorders>
              <w:top w:val="nil"/>
              <w:left w:val="single" w:sz="4" w:space="0" w:color="auto"/>
              <w:bottom w:val="single" w:sz="4" w:space="0" w:color="auto"/>
              <w:right w:val="single" w:sz="4" w:space="0" w:color="auto"/>
            </w:tcBorders>
            <w:shd w:val="clear" w:color="auto" w:fill="C0C0C0"/>
            <w:noWrap/>
            <w:textDirection w:val="lrTb"/>
            <w:vAlign w:val="bottom"/>
          </w:tcPr>
          <w:p w:rsidR="001E5B24" w:rsidRPr="0088621A" w:rsidP="001E5B24">
            <w:pPr>
              <w:bidi w:val="0"/>
              <w:rPr>
                <w:rFonts w:ascii="Arial Narrow" w:hAnsi="Arial Narrow" w:cs="Arial Narrow"/>
                <w:b/>
                <w:bCs/>
                <w:sz w:val="16"/>
                <w:szCs w:val="16"/>
              </w:rPr>
            </w:pPr>
            <w:r w:rsidRPr="0088621A">
              <w:rPr>
                <w:rFonts w:ascii="Arial Narrow" w:hAnsi="Arial Narrow" w:cs="Arial Narrow"/>
                <w:b/>
                <w:bCs/>
                <w:sz w:val="16"/>
                <w:szCs w:val="16"/>
              </w:rPr>
              <w:t>Verejná správa</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71 713</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92 250</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73 803</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54 700</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54 094</w:t>
            </w:r>
          </w:p>
        </w:tc>
        <w:tc>
          <w:tcPr>
            <w:tcW w:w="523"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62 680</w:t>
            </w:r>
          </w:p>
        </w:tc>
      </w:tr>
      <w:tr>
        <w:tblPrEx>
          <w:tblW w:w="4962" w:type="pct"/>
          <w:tblInd w:w="70" w:type="dxa"/>
          <w:tblCellMar>
            <w:left w:w="70" w:type="dxa"/>
            <w:right w:w="70" w:type="dxa"/>
          </w:tblCellMar>
        </w:tblPrEx>
        <w:trPr>
          <w:trHeight w:val="270"/>
        </w:trPr>
        <w:tc>
          <w:tcPr>
            <w:tcW w:w="1861" w:type="pct"/>
            <w:tcBorders>
              <w:top w:val="nil"/>
              <w:left w:val="single" w:sz="4" w:space="0" w:color="auto"/>
              <w:bottom w:val="single" w:sz="4" w:space="0" w:color="auto"/>
              <w:right w:val="single" w:sz="4" w:space="0" w:color="auto"/>
            </w:tcBorders>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Riadenie a výkon obvodných úradov</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62 970</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60 964</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50 661</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47 322</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47 238</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47 065</w:t>
            </w:r>
          </w:p>
        </w:tc>
      </w:tr>
      <w:tr>
        <w:tblPrEx>
          <w:tblW w:w="4962" w:type="pct"/>
          <w:tblInd w:w="70" w:type="dxa"/>
          <w:tblCellMar>
            <w:left w:w="70" w:type="dxa"/>
            <w:right w:w="70" w:type="dxa"/>
          </w:tblCellMar>
        </w:tblPrEx>
        <w:trPr>
          <w:trHeight w:val="270"/>
        </w:trPr>
        <w:tc>
          <w:tcPr>
            <w:tcW w:w="1861" w:type="pct"/>
            <w:tcBorders>
              <w:top w:val="nil"/>
              <w:left w:val="single" w:sz="4" w:space="0" w:color="auto"/>
              <w:bottom w:val="single" w:sz="4" w:space="0" w:color="auto"/>
              <w:right w:val="single" w:sz="4" w:space="0" w:color="auto"/>
            </w:tcBorders>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Archívnictvo</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8 645</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8 020</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7 060</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6 608</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6 392</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6 392</w:t>
            </w:r>
          </w:p>
        </w:tc>
      </w:tr>
      <w:tr>
        <w:tblPrEx>
          <w:tblW w:w="4962" w:type="pct"/>
          <w:tblInd w:w="70" w:type="dxa"/>
          <w:tblCellMar>
            <w:left w:w="70" w:type="dxa"/>
            <w:right w:w="70" w:type="dxa"/>
          </w:tblCellMar>
        </w:tblPrEx>
        <w:trPr>
          <w:trHeight w:val="270"/>
        </w:trPr>
        <w:tc>
          <w:tcPr>
            <w:tcW w:w="1861" w:type="pct"/>
            <w:tcBorders>
              <w:top w:val="nil"/>
              <w:left w:val="single" w:sz="4" w:space="0" w:color="auto"/>
              <w:bottom w:val="single" w:sz="4" w:space="0" w:color="auto"/>
              <w:right w:val="single" w:sz="4" w:space="0" w:color="auto"/>
            </w:tcBorders>
            <w:noWrap/>
            <w:textDirection w:val="lrTb"/>
            <w:vAlign w:val="bottom"/>
          </w:tcPr>
          <w:p w:rsidR="001E5B24" w:rsidP="001E5B24">
            <w:pPr>
              <w:bidi w:val="0"/>
              <w:rPr>
                <w:rFonts w:ascii="Arial Narrow" w:hAnsi="Arial Narrow" w:cs="Arial Narrow"/>
                <w:sz w:val="16"/>
                <w:szCs w:val="16"/>
              </w:rPr>
            </w:pPr>
            <w:r>
              <w:rPr>
                <w:rFonts w:ascii="Arial Narrow" w:hAnsi="Arial Narrow" w:cs="Arial Narrow"/>
                <w:sz w:val="16"/>
                <w:szCs w:val="16"/>
              </w:rPr>
              <w:t>Voľby</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98</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23 267</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16 082</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770</w:t>
            </w:r>
          </w:p>
        </w:tc>
        <w:tc>
          <w:tcPr>
            <w:tcW w:w="523"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465</w:t>
            </w:r>
          </w:p>
        </w:tc>
        <w:tc>
          <w:tcPr>
            <w:tcW w:w="523" w:type="pct"/>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9 224</w:t>
            </w:r>
          </w:p>
        </w:tc>
      </w:tr>
    </w:tbl>
    <w:p w:rsidR="001E5B24" w:rsidP="001E5B24">
      <w:pPr>
        <w:bidi w:val="0"/>
        <w:jc w:val="both"/>
        <w:rPr>
          <w:rFonts w:ascii="Arial" w:hAnsi="Arial" w:cs="Arial"/>
          <w:b/>
          <w:bCs/>
          <w:sz w:val="20"/>
          <w:szCs w:val="20"/>
        </w:rPr>
      </w:pPr>
    </w:p>
    <w:p w:rsidR="001E5B24" w:rsidRPr="002B62DA" w:rsidP="001E5B24">
      <w:pPr>
        <w:bidi w:val="0"/>
        <w:ind w:firstLine="708"/>
        <w:jc w:val="both"/>
        <w:rPr>
          <w:rFonts w:ascii="Arial Narrow" w:hAnsi="Arial Narrow" w:cs="Arial Narrow"/>
          <w:sz w:val="22"/>
          <w:szCs w:val="22"/>
        </w:rPr>
      </w:pPr>
      <w:r w:rsidRPr="002B62DA">
        <w:rPr>
          <w:rFonts w:ascii="Arial Narrow" w:hAnsi="Arial Narrow" w:cs="Arial Narrow"/>
          <w:sz w:val="22"/>
          <w:szCs w:val="22"/>
        </w:rPr>
        <w:t xml:space="preserve">V rámci uvedeného programu je pre objektívne porovnávanie potrebné </w:t>
      </w:r>
      <w:r>
        <w:rPr>
          <w:rFonts w:ascii="Arial Narrow" w:hAnsi="Arial Narrow" w:cs="Arial Narrow"/>
          <w:sz w:val="22"/>
          <w:szCs w:val="22"/>
        </w:rPr>
        <w:t>upraviť</w:t>
      </w:r>
      <w:r w:rsidRPr="002B62DA">
        <w:rPr>
          <w:rFonts w:ascii="Arial Narrow" w:hAnsi="Arial Narrow" w:cs="Arial Narrow"/>
          <w:sz w:val="22"/>
          <w:szCs w:val="22"/>
        </w:rPr>
        <w:t xml:space="preserve"> v oboch rokoch </w:t>
      </w:r>
      <w:r>
        <w:rPr>
          <w:rFonts w:ascii="Arial Narrow" w:hAnsi="Arial Narrow" w:cs="Arial Narrow"/>
          <w:sz w:val="22"/>
          <w:szCs w:val="22"/>
        </w:rPr>
        <w:t xml:space="preserve">celkové výdavky o </w:t>
      </w:r>
      <w:r w:rsidRPr="002B62DA">
        <w:rPr>
          <w:rFonts w:ascii="Arial Narrow" w:hAnsi="Arial Narrow" w:cs="Arial Narrow"/>
          <w:sz w:val="22"/>
          <w:szCs w:val="22"/>
        </w:rPr>
        <w:t>výdavky na voľby</w:t>
      </w:r>
      <w:r>
        <w:rPr>
          <w:rFonts w:ascii="Arial Narrow" w:hAnsi="Arial Narrow" w:cs="Arial Narrow"/>
          <w:sz w:val="22"/>
          <w:szCs w:val="22"/>
        </w:rPr>
        <w:t xml:space="preserve"> a o výdavky na prenesený výkon štátnej správy</w:t>
      </w:r>
      <w:r w:rsidRPr="002B62DA">
        <w:rPr>
          <w:rFonts w:ascii="Arial Narrow" w:hAnsi="Arial Narrow" w:cs="Arial Narrow"/>
          <w:sz w:val="22"/>
          <w:szCs w:val="22"/>
        </w:rPr>
        <w:t xml:space="preserve">. Potom celkové výdavky </w:t>
      </w:r>
      <w:r>
        <w:rPr>
          <w:rFonts w:ascii="Arial Narrow" w:hAnsi="Arial Narrow" w:cs="Arial Narrow"/>
          <w:sz w:val="22"/>
          <w:szCs w:val="22"/>
        </w:rPr>
        <w:t xml:space="preserve">v roku 2011 oproti schválenému rozpočtu roka 2010 </w:t>
      </w:r>
      <w:r w:rsidRPr="002B62DA">
        <w:rPr>
          <w:rFonts w:ascii="Arial Narrow" w:hAnsi="Arial Narrow" w:cs="Arial Narrow"/>
          <w:sz w:val="22"/>
          <w:szCs w:val="22"/>
        </w:rPr>
        <w:t>klesajú o</w:t>
      </w:r>
      <w:r>
        <w:rPr>
          <w:rFonts w:ascii="Arial Narrow" w:hAnsi="Arial Narrow" w:cs="Arial Narrow"/>
          <w:sz w:val="22"/>
          <w:szCs w:val="22"/>
        </w:rPr>
        <w:t> 4,1</w:t>
      </w:r>
      <w:r w:rsidRPr="002B62DA">
        <w:rPr>
          <w:rFonts w:ascii="Arial Narrow" w:hAnsi="Arial Narrow" w:cs="Arial Narrow"/>
          <w:sz w:val="22"/>
          <w:szCs w:val="22"/>
        </w:rPr>
        <w:t xml:space="preserve"> mil. eur</w:t>
      </w:r>
      <w:r>
        <w:rPr>
          <w:rFonts w:ascii="Arial Narrow" w:hAnsi="Arial Narrow" w:cs="Arial Narrow"/>
          <w:sz w:val="22"/>
          <w:szCs w:val="22"/>
        </w:rPr>
        <w:t>, čo je 8,1% zníženie.</w:t>
      </w:r>
    </w:p>
    <w:p w:rsidR="001E5B24" w:rsidP="001E5B24">
      <w:pPr>
        <w:bidi w:val="0"/>
        <w:ind w:firstLine="708"/>
        <w:jc w:val="both"/>
        <w:rPr>
          <w:rFonts w:ascii="Arial Narrow" w:hAnsi="Arial Narrow" w:cs="Arial Narrow"/>
          <w:sz w:val="22"/>
          <w:szCs w:val="22"/>
        </w:rPr>
      </w:pPr>
    </w:p>
    <w:p w:rsidR="001E5B24" w:rsidRPr="002B62DA" w:rsidP="001E5B24">
      <w:pPr>
        <w:bidi w:val="0"/>
        <w:ind w:firstLine="708"/>
        <w:jc w:val="both"/>
        <w:rPr>
          <w:rFonts w:ascii="Arial Narrow" w:hAnsi="Arial Narrow" w:cs="Arial Narrow"/>
          <w:sz w:val="22"/>
          <w:szCs w:val="22"/>
        </w:rPr>
      </w:pPr>
      <w:r w:rsidRPr="002B62DA">
        <w:rPr>
          <w:rFonts w:ascii="Arial Narrow" w:hAnsi="Arial Narrow" w:cs="Arial Narrow"/>
          <w:sz w:val="22"/>
          <w:szCs w:val="22"/>
        </w:rPr>
        <w:t xml:space="preserve">Na prenesený výkon štátnej správy sa tu rozpočtujú výdavky na úseku matrík v sume 5,84 mil. eur a na úseku hlásenia pobytu občanov a registra obyvateľov v sume 1,80 mil. eur. </w:t>
      </w:r>
      <w:r w:rsidRPr="00542B3A">
        <w:rPr>
          <w:rFonts w:ascii="Arial Narrow" w:hAnsi="Arial Narrow" w:cs="Arial Narrow"/>
          <w:sz w:val="22"/>
          <w:szCs w:val="22"/>
        </w:rPr>
        <w:t>Výdavky na prenesený výkon štátnej správy sa v roku 2011 rozpočtujú v</w:t>
      </w:r>
      <w:r>
        <w:rPr>
          <w:rFonts w:ascii="Arial Narrow" w:hAnsi="Arial Narrow" w:cs="Arial Narrow"/>
          <w:sz w:val="22"/>
          <w:szCs w:val="22"/>
        </w:rPr>
        <w:t> sume 7,64 mil. eur, čo je voči schválenému rozpočtu roka 2010 nárast o 288 tis. eur (3,92 %).</w:t>
      </w:r>
    </w:p>
    <w:p w:rsidR="001E5B24"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404"/>
        <w:gridCol w:w="957"/>
        <w:gridCol w:w="957"/>
        <w:gridCol w:w="956"/>
        <w:gridCol w:w="956"/>
        <w:gridCol w:w="956"/>
        <w:gridCol w:w="956"/>
      </w:tblGrid>
      <w:tr>
        <w:tblPrEx>
          <w:tblW w:w="4962" w:type="pct"/>
          <w:tblInd w:w="70" w:type="dxa"/>
          <w:tblCellMar>
            <w:left w:w="70" w:type="dxa"/>
            <w:right w:w="70" w:type="dxa"/>
          </w:tblCellMar>
        </w:tblPrEx>
        <w:trPr>
          <w:trHeight w:val="270"/>
        </w:trPr>
        <w:tc>
          <w:tcPr>
            <w:tcW w:w="186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0F3285" w:rsidP="001E5B24">
            <w:pPr>
              <w:bidi w:val="0"/>
              <w:rPr>
                <w:rFonts w:ascii="Arial Narrow" w:hAnsi="Arial Narrow" w:cs="Arial Narrow"/>
                <w:b/>
                <w:bCs/>
                <w:sz w:val="16"/>
                <w:szCs w:val="16"/>
                <w:lang w:eastAsia="sk-SK"/>
              </w:rPr>
            </w:pPr>
            <w:r>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0F3285" w:rsidP="001E5B24">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70"/>
        </w:trPr>
        <w:tc>
          <w:tcPr>
            <w:tcW w:w="186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BB4354" w:rsidP="001E5B24">
            <w:pPr>
              <w:bidi w:val="0"/>
              <w:rPr>
                <w:rFonts w:ascii="Arial Narrow" w:hAnsi="Arial Narrow" w:cs="Arial Narrow"/>
                <w:sz w:val="16"/>
                <w:szCs w:val="16"/>
                <w:lang w:eastAsia="sk-SK"/>
              </w:rPr>
            </w:pPr>
            <w:r>
              <w:rPr>
                <w:rFonts w:ascii="Arial Narrow" w:hAnsi="Arial Narrow" w:cs="Arial Narrow"/>
                <w:sz w:val="16"/>
                <w:szCs w:val="16"/>
                <w:lang w:eastAsia="sk-SK"/>
              </w:rPr>
              <w:t>prenesený výkon ŠS</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7 081</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7 314</w:t>
            </w:r>
          </w:p>
        </w:tc>
        <w:tc>
          <w:tcPr>
            <w:tcW w:w="523" w:type="pct"/>
            <w:tcBorders>
              <w:top w:val="single" w:sz="4" w:space="0" w:color="auto"/>
              <w:left w:val="nil"/>
              <w:bottom w:val="single" w:sz="4" w:space="0" w:color="auto"/>
              <w:right w:val="single" w:sz="4" w:space="0" w:color="auto"/>
            </w:tcBorders>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7 351</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7 639</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7 839</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BB4354" w:rsidP="001E5B24">
            <w:pPr>
              <w:bidi w:val="0"/>
              <w:jc w:val="center"/>
              <w:rPr>
                <w:rFonts w:ascii="Arial Narrow" w:hAnsi="Arial Narrow" w:cs="Arial Narrow"/>
                <w:sz w:val="16"/>
                <w:szCs w:val="16"/>
                <w:lang w:eastAsia="sk-SK"/>
              </w:rPr>
            </w:pPr>
            <w:r>
              <w:rPr>
                <w:rFonts w:ascii="Arial Narrow" w:hAnsi="Arial Narrow" w:cs="Arial Narrow"/>
                <w:sz w:val="16"/>
                <w:szCs w:val="16"/>
                <w:lang w:eastAsia="sk-SK"/>
              </w:rPr>
              <w:t>7 839</w:t>
            </w:r>
          </w:p>
        </w:tc>
      </w:tr>
    </w:tbl>
    <w:p w:rsidR="001E5B24" w:rsidRPr="00400142"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E602A2">
        <w:rPr>
          <w:rFonts w:ascii="Arial Narrow" w:hAnsi="Arial Narrow" w:cs="Arial Narrow"/>
          <w:sz w:val="22"/>
          <w:szCs w:val="22"/>
        </w:rPr>
        <w:t>Rozpočtované výdavky pre rok 2011 určené na riadenie a výkon obvodných úradov klesajú oproti schválenému rozpočtu roka 2010 po odpočítaní výdavkov na prenesený výkon štátnej správy o 3,63 mil. eur, čo je 8,37 % pokles.</w:t>
      </w:r>
      <w:r>
        <w:rPr>
          <w:rFonts w:ascii="Arial Narrow" w:hAnsi="Arial Narrow" w:cs="Arial Narrow"/>
          <w:sz w:val="22"/>
          <w:szCs w:val="22"/>
        </w:rPr>
        <w:t xml:space="preserve"> </w:t>
      </w:r>
      <w:r w:rsidRPr="002B62DA">
        <w:rPr>
          <w:rFonts w:ascii="Arial Narrow" w:hAnsi="Arial Narrow" w:cs="Arial Narrow"/>
          <w:sz w:val="22"/>
          <w:szCs w:val="22"/>
        </w:rPr>
        <w:t xml:space="preserve">Obvodné úrady zabezpečujú najmä plnenie úloh v oblasti všeobecnej vnútornej správy, živnostenského podnikania a civilnej ochrany a krízového manažmentu. V rámci všeobecnej vnútornej správy sa plnia úlohy na úseku priestupkov, matrík, na úseku územného a správneho usporiadania, štátnych symbolov, verejných zbierok a sčítania obyvateľov, na úseku volieb a referenda, na úseku hlásenia pobytu občanov a registra obyvateľov, na úseku registrácie, na úseku vydávania osobitných označení vozidiel a preukazov osobitných označení vozidiel a na úseku štátneho občianstva. </w:t>
      </w:r>
    </w:p>
    <w:p w:rsidR="001E5B24" w:rsidP="001E5B24">
      <w:pPr>
        <w:bidi w:val="0"/>
        <w:ind w:firstLine="708"/>
        <w:jc w:val="both"/>
        <w:rPr>
          <w:rFonts w:ascii="Arial Narrow" w:hAnsi="Arial Narrow" w:cs="Arial Narrow"/>
          <w:sz w:val="22"/>
          <w:szCs w:val="22"/>
        </w:rPr>
      </w:pPr>
    </w:p>
    <w:p w:rsidR="001E5B24" w:rsidRPr="002B62DA" w:rsidP="001E5B24">
      <w:pPr>
        <w:bidi w:val="0"/>
        <w:ind w:firstLine="708"/>
        <w:jc w:val="both"/>
        <w:rPr>
          <w:rFonts w:ascii="Arial Narrow" w:hAnsi="Arial Narrow" w:cs="Arial Narrow"/>
          <w:sz w:val="22"/>
          <w:szCs w:val="22"/>
        </w:rPr>
      </w:pPr>
      <w:r w:rsidRPr="002B62DA">
        <w:rPr>
          <w:rFonts w:ascii="Arial Narrow" w:hAnsi="Arial Narrow" w:cs="Arial Narrow"/>
          <w:sz w:val="22"/>
          <w:szCs w:val="22"/>
        </w:rPr>
        <w:t xml:space="preserve">Na plnenie úloh štátnej správy na úseku archívov a registratúr sú v pôsobnosti rezortu vnútra zriadené 2 štátne ústredné archívy a 8 štátnych archívov s územnou regionálnou pôsobnosťou, ktoré zabezpečujú starostlivosť o archívne dokumenty, ich odborné a vedecké spracovanie a sprístupnenie, ako aj využívanie na vedecké a iné účely. V súčasnej dobe dochádza k postupnej digitalizácii archivovaných materiálov, avšak ich prevedenie do elektronickej formy je závislé od limitovaných finančných zdrojov a personálnych kapacít. </w:t>
      </w:r>
    </w:p>
    <w:p w:rsidR="001E5B24" w:rsidRPr="00FC4375" w:rsidP="001E5B24">
      <w:pPr>
        <w:bidi w:val="0"/>
        <w:ind w:firstLine="708"/>
        <w:jc w:val="both"/>
        <w:rPr>
          <w:rFonts w:ascii="Arial" w:hAnsi="Arial" w:cs="Arial"/>
          <w:sz w:val="20"/>
          <w:szCs w:val="20"/>
        </w:rPr>
      </w:pPr>
    </w:p>
    <w:p w:rsidR="001E5B24" w:rsidRPr="002B62DA" w:rsidP="001E5B24">
      <w:pPr>
        <w:bidi w:val="0"/>
        <w:ind w:firstLine="708"/>
        <w:jc w:val="both"/>
        <w:rPr>
          <w:rFonts w:ascii="Arial Narrow" w:hAnsi="Arial Narrow" w:cs="Arial Narrow"/>
          <w:sz w:val="22"/>
          <w:szCs w:val="22"/>
          <w:highlight w:val="yellow"/>
        </w:rPr>
      </w:pPr>
      <w:r w:rsidRPr="002B62DA">
        <w:rPr>
          <w:rFonts w:ascii="Arial Narrow" w:hAnsi="Arial Narrow" w:cs="Arial Narrow"/>
          <w:sz w:val="22"/>
          <w:szCs w:val="22"/>
        </w:rPr>
        <w:t>Na zabezpečenie doplňujúcich volieb do orgánov samosprávy obcí a krajov sa v roku 2011 rozpočtujú výdavky v sume 770 tis. eur.</w:t>
      </w:r>
    </w:p>
    <w:p w:rsidR="001E5B24" w:rsidP="001E5B24">
      <w:pPr>
        <w:bidi w:val="0"/>
        <w:jc w:val="both"/>
        <w:rPr>
          <w:rFonts w:ascii="Arial Narrow" w:hAnsi="Arial Narrow" w:cs="Arial Narrow"/>
          <w:sz w:val="22"/>
          <w:szCs w:val="22"/>
        </w:rPr>
      </w:pPr>
    </w:p>
    <w:p w:rsidR="001E5B24" w:rsidRPr="00D47ACB" w:rsidP="001E5B24">
      <w:pPr>
        <w:bidi w:val="0"/>
        <w:jc w:val="both"/>
        <w:rPr>
          <w:rFonts w:ascii="Arial Narrow" w:hAnsi="Arial Narrow" w:cs="Arial Narrow"/>
          <w:sz w:val="22"/>
          <w:szCs w:val="22"/>
        </w:rPr>
      </w:pPr>
      <w:r w:rsidRPr="00D47ACB">
        <w:rPr>
          <w:rFonts w:ascii="Arial Narrow" w:hAnsi="Arial Narrow" w:cs="Arial Narrow"/>
          <w:sz w:val="22"/>
          <w:szCs w:val="22"/>
        </w:rPr>
        <w:t>Administratívne a iné činnosti</w:t>
      </w:r>
    </w:p>
    <w:p w:rsidR="001E5B24" w:rsidRPr="00400142" w:rsidP="001E5B24">
      <w:pPr>
        <w:bidi w:val="0"/>
        <w:jc w:val="both"/>
        <w:rPr>
          <w:rFonts w:ascii="Arial Narrow" w:hAnsi="Arial Narrow" w:cs="Arial Narrow"/>
          <w:b/>
          <w:bCs/>
          <w:sz w:val="22"/>
          <w:szCs w:val="22"/>
        </w:rPr>
      </w:pPr>
    </w:p>
    <w:p w:rsidR="00DB4442" w:rsidP="001E5B24">
      <w:pPr>
        <w:bidi w:val="0"/>
        <w:ind w:firstLine="708"/>
        <w:jc w:val="both"/>
        <w:rPr>
          <w:rFonts w:ascii="Arial Narrow" w:hAnsi="Arial Narrow" w:cs="Arial Narrow"/>
          <w:sz w:val="22"/>
          <w:szCs w:val="22"/>
        </w:rPr>
      </w:pPr>
      <w:r w:rsidRPr="002D5035" w:rsidR="001E5B24">
        <w:rPr>
          <w:rFonts w:ascii="Arial Narrow" w:hAnsi="Arial Narrow" w:cs="Arial Narrow"/>
          <w:sz w:val="22"/>
          <w:szCs w:val="22"/>
        </w:rPr>
        <w:t>V danej oblasti sú rozpočtované výdavky na aparát, výdavky pre príspevkovú organizáciu Inštitútu verejnej správy Bratislava a výdavky na medzirezortné programy. V roku 2011 dochádza k nárastu oproti schválenému rozpočtu roka 2010 o</w:t>
      </w:r>
      <w:r w:rsidR="001E5B24">
        <w:rPr>
          <w:rFonts w:ascii="Arial Narrow" w:hAnsi="Arial Narrow" w:cs="Arial Narrow"/>
          <w:sz w:val="22"/>
          <w:szCs w:val="22"/>
        </w:rPr>
        <w:t xml:space="preserve"> 16,9 mil. eur, čo je </w:t>
      </w:r>
      <w:r w:rsidRPr="002D5035" w:rsidR="001E5B24">
        <w:rPr>
          <w:rFonts w:ascii="Arial Narrow" w:hAnsi="Arial Narrow" w:cs="Arial Narrow"/>
          <w:sz w:val="22"/>
          <w:szCs w:val="22"/>
        </w:rPr>
        <w:t>39,4%</w:t>
      </w:r>
      <w:r w:rsidR="001E5B24">
        <w:rPr>
          <w:rFonts w:ascii="Arial Narrow" w:hAnsi="Arial Narrow" w:cs="Arial Narrow"/>
          <w:sz w:val="22"/>
          <w:szCs w:val="22"/>
        </w:rPr>
        <w:t xml:space="preserve"> zvýšenie</w:t>
      </w:r>
      <w:r w:rsidRPr="002D5035" w:rsidR="001E5B24">
        <w:rPr>
          <w:rFonts w:ascii="Arial Narrow" w:hAnsi="Arial Narrow" w:cs="Arial Narrow"/>
          <w:sz w:val="22"/>
          <w:szCs w:val="22"/>
        </w:rPr>
        <w:t>. T</w:t>
      </w:r>
      <w:r w:rsidR="001E5B24">
        <w:rPr>
          <w:rFonts w:ascii="Arial Narrow" w:hAnsi="Arial Narrow" w:cs="Arial Narrow"/>
          <w:sz w:val="22"/>
          <w:szCs w:val="22"/>
        </w:rPr>
        <w:t>o je spôsobené</w:t>
      </w:r>
      <w:r w:rsidRPr="002D5035" w:rsidR="001E5B24">
        <w:rPr>
          <w:rFonts w:ascii="Arial Narrow" w:hAnsi="Arial Narrow" w:cs="Arial Narrow"/>
          <w:sz w:val="22"/>
          <w:szCs w:val="22"/>
        </w:rPr>
        <w:t xml:space="preserve"> rozpočtovaním </w:t>
      </w:r>
      <w:r w:rsidR="001E5B24">
        <w:rPr>
          <w:rFonts w:ascii="Arial Narrow" w:hAnsi="Arial Narrow" w:cs="Arial Narrow"/>
          <w:sz w:val="22"/>
          <w:szCs w:val="22"/>
        </w:rPr>
        <w:t xml:space="preserve">17,3 mil. eur </w:t>
      </w:r>
      <w:r w:rsidRPr="002D5035" w:rsidR="001E5B24">
        <w:rPr>
          <w:rFonts w:ascii="Arial Narrow" w:hAnsi="Arial Narrow" w:cs="Arial Narrow"/>
          <w:sz w:val="22"/>
          <w:szCs w:val="22"/>
        </w:rPr>
        <w:t xml:space="preserve">na </w:t>
      </w:r>
      <w:r w:rsidR="001E5B24">
        <w:rPr>
          <w:rFonts w:ascii="Arial Narrow" w:hAnsi="Arial Narrow" w:cs="Arial Narrow"/>
          <w:sz w:val="22"/>
          <w:szCs w:val="22"/>
        </w:rPr>
        <w:t>prípravu projektov OPIS-u</w:t>
      </w:r>
      <w:r w:rsidRPr="002D5035" w:rsidR="001E5B24">
        <w:rPr>
          <w:rFonts w:ascii="Arial Narrow" w:hAnsi="Arial Narrow" w:cs="Arial Narrow"/>
          <w:sz w:val="22"/>
          <w:szCs w:val="22"/>
        </w:rPr>
        <w:t xml:space="preserve"> (e-matrika, register adries, elektronická identifikačná karta).</w:t>
      </w:r>
    </w:p>
    <w:p w:rsidR="001E5B24" w:rsidP="001E5B24">
      <w:pPr>
        <w:bidi w:val="0"/>
        <w:ind w:firstLine="708"/>
        <w:jc w:val="both"/>
        <w:rPr>
          <w:rFonts w:ascii="Arial Narrow" w:hAnsi="Arial Narrow" w:cs="Arial Narrow"/>
          <w:sz w:val="22"/>
          <w:szCs w:val="22"/>
        </w:rPr>
      </w:pPr>
      <w:r w:rsidR="00DB4442">
        <w:rPr>
          <w:rFonts w:ascii="Arial Narrow" w:hAnsi="Arial Narrow" w:cs="Arial Narrow"/>
          <w:sz w:val="22"/>
          <w:szCs w:val="22"/>
        </w:rPr>
        <w:br w:type="page"/>
      </w:r>
    </w:p>
    <w:p w:rsidR="001E5B24" w:rsidP="001E5B24">
      <w:pPr>
        <w:bidi w:val="0"/>
        <w:ind w:firstLine="708"/>
        <w:jc w:val="both"/>
        <w:rPr>
          <w:rFonts w:ascii="Arial Narrow" w:hAnsi="Arial Narrow" w:cs="Arial Narrow"/>
          <w:sz w:val="22"/>
          <w:szCs w:val="22"/>
        </w:rPr>
      </w:pPr>
    </w:p>
    <w:tbl>
      <w:tblPr>
        <w:tblStyle w:val="TableNormal"/>
        <w:tblW w:w="5001" w:type="pct"/>
        <w:tblInd w:w="70" w:type="dxa"/>
        <w:tblLayout w:type="fixed"/>
        <w:tblCellMar>
          <w:left w:w="70" w:type="dxa"/>
          <w:right w:w="70" w:type="dxa"/>
        </w:tblCellMar>
      </w:tblPr>
      <w:tblGrid>
        <w:gridCol w:w="3403"/>
        <w:gridCol w:w="968"/>
        <w:gridCol w:w="969"/>
        <w:gridCol w:w="969"/>
        <w:gridCol w:w="969"/>
        <w:gridCol w:w="969"/>
        <w:gridCol w:w="967"/>
      </w:tblGrid>
      <w:tr>
        <w:tblPrEx>
          <w:tblW w:w="5001" w:type="pct"/>
          <w:tblInd w:w="70" w:type="dxa"/>
          <w:tblLayout w:type="fixed"/>
          <w:tblCellMar>
            <w:left w:w="70" w:type="dxa"/>
            <w:right w:w="70" w:type="dxa"/>
          </w:tblCellMar>
        </w:tblPrEx>
        <w:trPr>
          <w:trHeight w:val="255"/>
        </w:trPr>
        <w:tc>
          <w:tcPr>
            <w:tcW w:w="1846"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F2D8E" w:rsidP="001E5B24">
            <w:pPr>
              <w:bidi w:val="0"/>
              <w:rPr>
                <w:rFonts w:ascii="Arial Narrow" w:hAnsi="Arial Narrow" w:cs="Arial Narrow"/>
                <w:b/>
                <w:bCs/>
                <w:sz w:val="16"/>
                <w:szCs w:val="16"/>
              </w:rPr>
            </w:pPr>
            <w:r w:rsidRPr="00FF2D8E">
              <w:rPr>
                <w:rFonts w:ascii="Arial Narrow" w:hAnsi="Arial Narrow" w:cs="Arial Narrow"/>
                <w:b/>
                <w:bCs/>
                <w:sz w:val="16"/>
                <w:szCs w:val="16"/>
              </w:rPr>
              <w:t>v tis. eur</w:t>
            </w:r>
          </w:p>
        </w:tc>
        <w:tc>
          <w:tcPr>
            <w:tcW w:w="525" w:type="pct"/>
            <w:tcBorders>
              <w:top w:val="single" w:sz="4" w:space="0" w:color="auto"/>
              <w:left w:val="nil"/>
              <w:bottom w:val="single" w:sz="4" w:space="0" w:color="auto"/>
              <w:right w:val="single" w:sz="4" w:space="0" w:color="auto"/>
            </w:tcBorders>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2008 S</w:t>
            </w:r>
          </w:p>
        </w:tc>
        <w:tc>
          <w:tcPr>
            <w:tcW w:w="526" w:type="pct"/>
            <w:tcBorders>
              <w:top w:val="single" w:sz="4" w:space="0" w:color="auto"/>
              <w:left w:val="nil"/>
              <w:bottom w:val="single" w:sz="4" w:space="0" w:color="auto"/>
              <w:right w:val="single" w:sz="4" w:space="0" w:color="auto"/>
            </w:tcBorders>
            <w:noWrap/>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2009 S</w:t>
            </w:r>
          </w:p>
        </w:tc>
        <w:tc>
          <w:tcPr>
            <w:tcW w:w="526" w:type="pct"/>
            <w:tcBorders>
              <w:top w:val="single" w:sz="4" w:space="0" w:color="auto"/>
              <w:left w:val="nil"/>
              <w:bottom w:val="single" w:sz="4" w:space="0" w:color="auto"/>
              <w:right w:val="single" w:sz="4" w:space="0" w:color="auto"/>
            </w:tcBorders>
            <w:noWrap/>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2010 R</w:t>
            </w:r>
          </w:p>
        </w:tc>
        <w:tc>
          <w:tcPr>
            <w:tcW w:w="526" w:type="pct"/>
            <w:tcBorders>
              <w:top w:val="single" w:sz="4" w:space="0" w:color="auto"/>
              <w:left w:val="nil"/>
              <w:bottom w:val="single" w:sz="4" w:space="0" w:color="auto"/>
              <w:right w:val="single" w:sz="4" w:space="0" w:color="auto"/>
            </w:tcBorders>
            <w:noWrap/>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2011 N</w:t>
            </w:r>
          </w:p>
        </w:tc>
        <w:tc>
          <w:tcPr>
            <w:tcW w:w="526" w:type="pct"/>
            <w:tcBorders>
              <w:top w:val="single" w:sz="4" w:space="0" w:color="auto"/>
              <w:left w:val="nil"/>
              <w:bottom w:val="single" w:sz="4" w:space="0" w:color="auto"/>
              <w:right w:val="single" w:sz="4" w:space="0" w:color="auto"/>
            </w:tcBorders>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2012 N</w:t>
            </w:r>
          </w:p>
        </w:tc>
        <w:tc>
          <w:tcPr>
            <w:tcW w:w="526" w:type="pct"/>
            <w:tcBorders>
              <w:top w:val="single" w:sz="4" w:space="0" w:color="auto"/>
              <w:left w:val="nil"/>
              <w:bottom w:val="single" w:sz="4" w:space="0" w:color="auto"/>
              <w:right w:val="single" w:sz="4" w:space="0" w:color="auto"/>
            </w:tcBorders>
            <w:noWrap/>
            <w:textDirection w:val="lrTb"/>
            <w:vAlign w:val="bottom"/>
          </w:tcPr>
          <w:p w:rsidR="001E5B24" w:rsidRPr="00FF2D8E" w:rsidP="001E5B24">
            <w:pPr>
              <w:bidi w:val="0"/>
              <w:jc w:val="center"/>
              <w:rPr>
                <w:rFonts w:ascii="Arial Narrow" w:hAnsi="Arial Narrow" w:cs="Arial Narrow"/>
                <w:b/>
                <w:bCs/>
                <w:sz w:val="16"/>
                <w:szCs w:val="16"/>
              </w:rPr>
            </w:pPr>
            <w:r w:rsidRPr="00FF2D8E">
              <w:rPr>
                <w:rFonts w:ascii="Arial Narrow" w:hAnsi="Arial Narrow" w:cs="Arial Narrow"/>
                <w:b/>
                <w:bCs/>
                <w:sz w:val="16"/>
                <w:szCs w:val="16"/>
              </w:rPr>
              <w:t>2013 N</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shd w:val="clear" w:color="auto" w:fill="C0C0C0"/>
            <w:noWrap/>
            <w:textDirection w:val="lrTb"/>
            <w:vAlign w:val="bottom"/>
          </w:tcPr>
          <w:p w:rsidR="001E5B24" w:rsidRPr="0088621A" w:rsidP="001E5B24">
            <w:pPr>
              <w:bidi w:val="0"/>
              <w:rPr>
                <w:rFonts w:ascii="Arial Narrow" w:hAnsi="Arial Narrow" w:cs="Arial Narrow"/>
                <w:b/>
                <w:bCs/>
                <w:sz w:val="16"/>
                <w:szCs w:val="16"/>
              </w:rPr>
            </w:pPr>
            <w:r w:rsidRPr="0088621A">
              <w:rPr>
                <w:rFonts w:ascii="Arial Narrow" w:hAnsi="Arial Narrow" w:cs="Arial Narrow"/>
                <w:b/>
                <w:bCs/>
                <w:sz w:val="16"/>
                <w:szCs w:val="16"/>
              </w:rPr>
              <w:t>Ostatné činnosti</w:t>
            </w:r>
          </w:p>
        </w:tc>
        <w:tc>
          <w:tcPr>
            <w:tcW w:w="525"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55 551</w:t>
            </w:r>
          </w:p>
        </w:tc>
        <w:tc>
          <w:tcPr>
            <w:tcW w:w="526"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36 381</w:t>
            </w:r>
          </w:p>
        </w:tc>
        <w:tc>
          <w:tcPr>
            <w:tcW w:w="526"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37 423</w:t>
            </w:r>
          </w:p>
        </w:tc>
        <w:tc>
          <w:tcPr>
            <w:tcW w:w="526"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54 368</w:t>
            </w:r>
          </w:p>
        </w:tc>
        <w:tc>
          <w:tcPr>
            <w:tcW w:w="526"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40 866</w:t>
            </w:r>
          </w:p>
        </w:tc>
        <w:tc>
          <w:tcPr>
            <w:tcW w:w="526" w:type="pct"/>
            <w:tcBorders>
              <w:top w:val="nil"/>
              <w:left w:val="nil"/>
              <w:bottom w:val="single" w:sz="4" w:space="0" w:color="auto"/>
              <w:right w:val="single" w:sz="4" w:space="0" w:color="auto"/>
            </w:tcBorders>
            <w:shd w:val="clear" w:color="auto" w:fill="C0C0C0"/>
            <w:textDirection w:val="lrTb"/>
            <w:vAlign w:val="bottom"/>
          </w:tcPr>
          <w:p w:rsidR="001E5B24" w:rsidRPr="0088621A" w:rsidP="001E5B24">
            <w:pPr>
              <w:bidi w:val="0"/>
              <w:jc w:val="right"/>
              <w:rPr>
                <w:rFonts w:ascii="Arial Narrow" w:hAnsi="Arial Narrow" w:cs="Arial Narrow"/>
                <w:b/>
                <w:bCs/>
                <w:sz w:val="16"/>
                <w:szCs w:val="16"/>
              </w:rPr>
            </w:pPr>
            <w:r w:rsidRPr="0088621A">
              <w:rPr>
                <w:rFonts w:ascii="Arial Narrow" w:hAnsi="Arial Narrow" w:cs="Arial Narrow"/>
                <w:b/>
                <w:bCs/>
                <w:sz w:val="16"/>
                <w:szCs w:val="16"/>
              </w:rPr>
              <w:t>34 658</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z toho:</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 </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Riadiaca a kontrolná činnosť MV SR</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53 691</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35 330</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37 013</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36 654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40 452</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34 244</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Civilné núdzové plánovanie</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12</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13</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15</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15</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Oficiálna humanitárna pomoc do zahraničia</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510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254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78</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65</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65</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65</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Hospodárska mobilizácia</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284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124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58</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52</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47</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47</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Príspevky do MO</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428</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434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254</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272</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272</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272</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 xml:space="preserve">Elektronizácia VS a rozvoj elektronických služieb </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17 300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0</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Protidrogová politika</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Ochrana kritickej infraštruktúry</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10</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10</w:t>
            </w:r>
          </w:p>
        </w:tc>
        <w:tc>
          <w:tcPr>
            <w:tcW w:w="526" w:type="pct"/>
            <w:tcBorders>
              <w:top w:val="nil"/>
              <w:left w:val="nil"/>
              <w:bottom w:val="single" w:sz="4" w:space="0" w:color="auto"/>
              <w:right w:val="single" w:sz="4" w:space="0" w:color="auto"/>
            </w:tcBorders>
            <w:noWrap/>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10</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Ďalší rozvoj ochrany obyvateľov Slovenskej republiky proti chemickým zbraniam</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17</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66</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 xml:space="preserve">Aktívna politika trhu práce a zvýšenie zamestnateľnosti </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609</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58</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r>
      <w:tr>
        <w:tblPrEx>
          <w:tblW w:w="5001" w:type="pct"/>
          <w:tblInd w:w="70" w:type="dxa"/>
          <w:tblLayout w:type="fixed"/>
          <w:tblCellMar>
            <w:left w:w="70" w:type="dxa"/>
            <w:right w:w="70" w:type="dxa"/>
          </w:tblCellMar>
        </w:tblPrEx>
        <w:trPr>
          <w:trHeight w:val="255"/>
        </w:trPr>
        <w:tc>
          <w:tcPr>
            <w:tcW w:w="1846" w:type="pct"/>
            <w:tcBorders>
              <w:top w:val="nil"/>
              <w:left w:val="single" w:sz="4" w:space="0" w:color="auto"/>
              <w:bottom w:val="single" w:sz="4" w:space="0" w:color="auto"/>
              <w:right w:val="single" w:sz="4" w:space="0" w:color="auto"/>
            </w:tcBorders>
            <w:noWrap/>
            <w:textDirection w:val="lrTb"/>
            <w:vAlign w:val="bottom"/>
          </w:tcPr>
          <w:p w:rsidR="001E5B24" w:rsidRPr="001C7941" w:rsidP="001E5B24">
            <w:pPr>
              <w:bidi w:val="0"/>
              <w:rPr>
                <w:rFonts w:ascii="Arial Narrow" w:hAnsi="Arial Narrow" w:cs="Arial Narrow"/>
                <w:sz w:val="16"/>
                <w:szCs w:val="16"/>
              </w:rPr>
            </w:pPr>
            <w:r w:rsidRPr="001C7941">
              <w:rPr>
                <w:rFonts w:ascii="Arial Narrow" w:hAnsi="Arial Narrow" w:cs="Arial Narrow"/>
                <w:sz w:val="16"/>
                <w:szCs w:val="16"/>
              </w:rPr>
              <w:t>Podpora obrany</w:t>
            </w:r>
          </w:p>
        </w:tc>
        <w:tc>
          <w:tcPr>
            <w:tcW w:w="525"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sidRPr="001C7941">
              <w:rPr>
                <w:rFonts w:ascii="Arial Narrow" w:hAnsi="Arial Narrow" w:cs="Arial Narrow"/>
                <w:sz w:val="16"/>
                <w:szCs w:val="16"/>
              </w:rPr>
              <w:t>102</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c>
          <w:tcPr>
            <w:tcW w:w="526" w:type="pct"/>
            <w:tcBorders>
              <w:top w:val="nil"/>
              <w:left w:val="nil"/>
              <w:bottom w:val="single" w:sz="4" w:space="0" w:color="auto"/>
              <w:right w:val="single" w:sz="4" w:space="0" w:color="auto"/>
            </w:tcBorders>
            <w:textDirection w:val="lrTb"/>
            <w:vAlign w:val="bottom"/>
          </w:tcPr>
          <w:p w:rsidR="001E5B24" w:rsidRPr="001C7941" w:rsidP="001E5B24">
            <w:pPr>
              <w:bidi w:val="0"/>
              <w:jc w:val="right"/>
              <w:rPr>
                <w:rFonts w:ascii="Arial Narrow" w:hAnsi="Arial Narrow" w:cs="Arial Narrow"/>
                <w:sz w:val="16"/>
                <w:szCs w:val="16"/>
              </w:rPr>
            </w:pPr>
            <w:r>
              <w:rPr>
                <w:rFonts w:ascii="Arial Narrow" w:hAnsi="Arial Narrow" w:cs="Arial Narrow"/>
                <w:sz w:val="16"/>
                <w:szCs w:val="16"/>
              </w:rPr>
              <w:t xml:space="preserve">  0</w:t>
            </w:r>
            <w:r w:rsidRPr="001C7941">
              <w:rPr>
                <w:rFonts w:ascii="Arial Narrow" w:hAnsi="Arial Narrow" w:cs="Arial Narrow"/>
                <w:sz w:val="16"/>
                <w:szCs w:val="16"/>
              </w:rPr>
              <w:t> </w:t>
            </w:r>
          </w:p>
        </w:tc>
      </w:tr>
    </w:tbl>
    <w:p w:rsidR="001E5B24" w:rsidRPr="00684945" w:rsidP="001E5B24">
      <w:pPr>
        <w:bidi w:val="0"/>
        <w:jc w:val="both"/>
        <w:rPr>
          <w:rFonts w:ascii="Arial" w:hAnsi="Arial" w:cs="Arial"/>
          <w:sz w:val="20"/>
          <w:szCs w:val="20"/>
        </w:rPr>
      </w:pPr>
    </w:p>
    <w:p w:rsidR="001E5B24" w:rsidP="001E5B24">
      <w:pPr>
        <w:bidi w:val="0"/>
        <w:ind w:firstLine="708"/>
        <w:jc w:val="both"/>
        <w:rPr>
          <w:rFonts w:ascii="Arial Narrow" w:hAnsi="Arial Narrow" w:cs="Arial Narrow"/>
          <w:sz w:val="22"/>
          <w:szCs w:val="22"/>
        </w:rPr>
      </w:pPr>
      <w:r w:rsidRPr="000E3F67">
        <w:rPr>
          <w:rFonts w:ascii="Arial Narrow" w:hAnsi="Arial Narrow" w:cs="Arial Narrow"/>
          <w:sz w:val="22"/>
          <w:szCs w:val="22"/>
        </w:rPr>
        <w:t>Výdavky na riadiacu a kontrolnú činnosť ministerstva vnútra klesajú v roku 2011 oproti schválenému rozpočtu roka 2010 o</w:t>
      </w:r>
      <w:r>
        <w:rPr>
          <w:rFonts w:ascii="Arial Narrow" w:hAnsi="Arial Narrow" w:cs="Arial Narrow"/>
          <w:sz w:val="22"/>
          <w:szCs w:val="22"/>
        </w:rPr>
        <w:t> 359 tis. eur, čo je 1% pokles</w:t>
      </w:r>
      <w:r w:rsidRPr="000E3F67">
        <w:rPr>
          <w:rFonts w:ascii="Arial Narrow" w:hAnsi="Arial Narrow" w:cs="Arial Narrow"/>
          <w:sz w:val="22"/>
          <w:szCs w:val="22"/>
        </w:rPr>
        <w:t xml:space="preserve">, pričom osobné výdavky v sume </w:t>
      </w:r>
      <w:r>
        <w:rPr>
          <w:rFonts w:ascii="Arial Narrow" w:hAnsi="Arial Narrow" w:cs="Arial Narrow"/>
          <w:sz w:val="22"/>
          <w:szCs w:val="22"/>
        </w:rPr>
        <w:t xml:space="preserve">28,0 mil. eur </w:t>
      </w:r>
      <w:r w:rsidRPr="000E3F67">
        <w:rPr>
          <w:rFonts w:ascii="Arial Narrow" w:hAnsi="Arial Narrow" w:cs="Arial Narrow"/>
          <w:sz w:val="22"/>
          <w:szCs w:val="22"/>
        </w:rPr>
        <w:t>klesajú o</w:t>
      </w:r>
      <w:r>
        <w:rPr>
          <w:rFonts w:ascii="Arial Narrow" w:hAnsi="Arial Narrow" w:cs="Arial Narrow"/>
          <w:sz w:val="22"/>
          <w:szCs w:val="22"/>
        </w:rPr>
        <w:t> 3,11 </w:t>
      </w:r>
      <w:r w:rsidRPr="000E3F67">
        <w:rPr>
          <w:rFonts w:ascii="Arial Narrow" w:hAnsi="Arial Narrow" w:cs="Arial Narrow"/>
          <w:sz w:val="22"/>
          <w:szCs w:val="22"/>
        </w:rPr>
        <w:t xml:space="preserve">%, prevádzkové výdavky v sume </w:t>
      </w:r>
      <w:r>
        <w:rPr>
          <w:rFonts w:ascii="Arial Narrow" w:hAnsi="Arial Narrow" w:cs="Arial Narrow"/>
          <w:sz w:val="22"/>
          <w:szCs w:val="22"/>
        </w:rPr>
        <w:t xml:space="preserve">4,78 </w:t>
      </w:r>
      <w:r w:rsidRPr="000E3F67">
        <w:rPr>
          <w:rFonts w:ascii="Arial Narrow" w:hAnsi="Arial Narrow" w:cs="Arial Narrow"/>
          <w:sz w:val="22"/>
          <w:szCs w:val="22"/>
        </w:rPr>
        <w:t>mil</w:t>
      </w:r>
      <w:r>
        <w:rPr>
          <w:rFonts w:ascii="Arial Narrow" w:hAnsi="Arial Narrow" w:cs="Arial Narrow"/>
          <w:sz w:val="22"/>
          <w:szCs w:val="22"/>
        </w:rPr>
        <w:t xml:space="preserve">. </w:t>
      </w:r>
      <w:r w:rsidRPr="000E3F67">
        <w:rPr>
          <w:rFonts w:ascii="Arial Narrow" w:hAnsi="Arial Narrow" w:cs="Arial Narrow"/>
          <w:sz w:val="22"/>
          <w:szCs w:val="22"/>
        </w:rPr>
        <w:t>eur rastú o</w:t>
      </w:r>
      <w:r>
        <w:rPr>
          <w:rFonts w:ascii="Arial Narrow" w:hAnsi="Arial Narrow" w:cs="Arial Narrow"/>
          <w:sz w:val="22"/>
          <w:szCs w:val="22"/>
        </w:rPr>
        <w:t xml:space="preserve"> 30,4 </w:t>
      </w:r>
      <w:r w:rsidRPr="000E3F67">
        <w:rPr>
          <w:rFonts w:ascii="Arial Narrow" w:hAnsi="Arial Narrow" w:cs="Arial Narrow"/>
          <w:sz w:val="22"/>
          <w:szCs w:val="22"/>
        </w:rPr>
        <w:t xml:space="preserve">%, bežné transfery v sume </w:t>
      </w:r>
      <w:r>
        <w:rPr>
          <w:rFonts w:ascii="Arial Narrow" w:hAnsi="Arial Narrow" w:cs="Arial Narrow"/>
          <w:sz w:val="22"/>
          <w:szCs w:val="22"/>
        </w:rPr>
        <w:t>3,35</w:t>
      </w:r>
      <w:r w:rsidRPr="000E3F67">
        <w:rPr>
          <w:rFonts w:ascii="Arial Narrow" w:hAnsi="Arial Narrow" w:cs="Arial Narrow"/>
          <w:sz w:val="22"/>
          <w:szCs w:val="22"/>
        </w:rPr>
        <w:t xml:space="preserve"> mil</w:t>
      </w:r>
      <w:r>
        <w:rPr>
          <w:rFonts w:ascii="Arial Narrow" w:hAnsi="Arial Narrow" w:cs="Arial Narrow"/>
          <w:sz w:val="22"/>
          <w:szCs w:val="22"/>
        </w:rPr>
        <w:t>.</w:t>
      </w:r>
      <w:r w:rsidRPr="000E3F67">
        <w:rPr>
          <w:rFonts w:ascii="Arial Narrow" w:hAnsi="Arial Narrow" w:cs="Arial Narrow"/>
          <w:sz w:val="22"/>
          <w:szCs w:val="22"/>
        </w:rPr>
        <w:t xml:space="preserve"> eur klesajú o</w:t>
      </w:r>
      <w:r>
        <w:rPr>
          <w:rFonts w:ascii="Arial Narrow" w:hAnsi="Arial Narrow" w:cs="Arial Narrow"/>
          <w:sz w:val="22"/>
          <w:szCs w:val="22"/>
        </w:rPr>
        <w:t xml:space="preserve"> 24,2 </w:t>
      </w:r>
      <w:r w:rsidRPr="000E3F67">
        <w:rPr>
          <w:rFonts w:ascii="Arial Narrow" w:hAnsi="Arial Narrow" w:cs="Arial Narrow"/>
          <w:sz w:val="22"/>
          <w:szCs w:val="22"/>
        </w:rPr>
        <w:t xml:space="preserve">% a kapitálové výdavky </w:t>
      </w:r>
      <w:r>
        <w:rPr>
          <w:rFonts w:ascii="Arial Narrow" w:hAnsi="Arial Narrow" w:cs="Arial Narrow"/>
          <w:sz w:val="22"/>
          <w:szCs w:val="22"/>
        </w:rPr>
        <w:t xml:space="preserve">sa rozpočtujú </w:t>
      </w:r>
      <w:r w:rsidRPr="000E3F67">
        <w:rPr>
          <w:rFonts w:ascii="Arial Narrow" w:hAnsi="Arial Narrow" w:cs="Arial Narrow"/>
          <w:sz w:val="22"/>
          <w:szCs w:val="22"/>
        </w:rPr>
        <w:t xml:space="preserve">v sume </w:t>
      </w:r>
      <w:r>
        <w:rPr>
          <w:rFonts w:ascii="Arial Narrow" w:hAnsi="Arial Narrow" w:cs="Arial Narrow"/>
          <w:sz w:val="22"/>
          <w:szCs w:val="22"/>
        </w:rPr>
        <w:t xml:space="preserve">496 tis. eur, pričom v roku 2010 neboli rozpočtované. Pokles transferov súvisí s nižším objemom plánovaných dotácií a výdavkov pre zamestnancov. </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Ministerstvo životného prostredia SR</w:t>
      </w:r>
    </w:p>
    <w:p w:rsidR="001E5B24" w:rsidRPr="002120D0"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Kapitola </w:t>
      </w:r>
      <w:r w:rsidRPr="00BB4B53">
        <w:rPr>
          <w:rFonts w:ascii="Arial Narrow" w:hAnsi="Arial Narrow" w:cs="Arial Narrow"/>
          <w:sz w:val="22"/>
          <w:szCs w:val="22"/>
        </w:rPr>
        <w:t xml:space="preserve"> bude mať v roku 2011 k dispozícii výdavky vo výške 835 mil. eur</w:t>
      </w:r>
      <w:r>
        <w:rPr>
          <w:rFonts w:ascii="Arial Narrow" w:hAnsi="Arial Narrow" w:cs="Arial Narrow"/>
          <w:sz w:val="22"/>
          <w:szCs w:val="22"/>
        </w:rPr>
        <w:t>, čím v porovnaní so schváleným rozpočtom na rok</w:t>
      </w:r>
      <w:r w:rsidRPr="00BB4B53">
        <w:rPr>
          <w:rFonts w:ascii="Arial Narrow" w:hAnsi="Arial Narrow" w:cs="Arial Narrow"/>
          <w:sz w:val="22"/>
          <w:szCs w:val="22"/>
        </w:rPr>
        <w:t xml:space="preserve"> 2010 zdr</w:t>
      </w:r>
      <w:r>
        <w:rPr>
          <w:rFonts w:ascii="Arial Narrow" w:hAnsi="Arial Narrow" w:cs="Arial Narrow"/>
          <w:sz w:val="22"/>
          <w:szCs w:val="22"/>
        </w:rPr>
        <w:t>oje smerujúce do kapitoly</w:t>
      </w:r>
      <w:r w:rsidRPr="00BB4B53">
        <w:rPr>
          <w:rFonts w:ascii="Arial Narrow" w:hAnsi="Arial Narrow" w:cs="Arial Narrow"/>
          <w:sz w:val="22"/>
          <w:szCs w:val="22"/>
        </w:rPr>
        <w:t xml:space="preserve">  </w:t>
      </w:r>
      <w:r w:rsidRPr="002120D0">
        <w:rPr>
          <w:rFonts w:ascii="Arial Narrow" w:hAnsi="Arial Narrow" w:cs="Arial Narrow"/>
          <w:sz w:val="22"/>
          <w:szCs w:val="22"/>
        </w:rPr>
        <w:t>rastú</w:t>
      </w:r>
      <w:r w:rsidRPr="00BB4B53">
        <w:rPr>
          <w:rFonts w:ascii="Arial Narrow" w:hAnsi="Arial Narrow" w:cs="Arial Narrow"/>
          <w:sz w:val="22"/>
          <w:szCs w:val="22"/>
        </w:rPr>
        <w:t xml:space="preserve"> v roku 2011 </w:t>
      </w:r>
      <w:r w:rsidRPr="002120D0">
        <w:rPr>
          <w:rFonts w:ascii="Arial Narrow" w:hAnsi="Arial Narrow" w:cs="Arial Narrow"/>
          <w:sz w:val="22"/>
          <w:szCs w:val="22"/>
        </w:rPr>
        <w:t xml:space="preserve">o 148 %. </w:t>
      </w:r>
      <w:r>
        <w:rPr>
          <w:rFonts w:ascii="Arial Narrow" w:hAnsi="Arial Narrow" w:cs="Arial Narrow"/>
          <w:sz w:val="22"/>
          <w:szCs w:val="22"/>
        </w:rPr>
        <w:t xml:space="preserve"> </w:t>
      </w:r>
      <w:r w:rsidRPr="002120D0">
        <w:rPr>
          <w:rFonts w:ascii="Arial Narrow" w:hAnsi="Arial Narrow" w:cs="Arial Narrow"/>
          <w:sz w:val="22"/>
          <w:szCs w:val="22"/>
        </w:rPr>
        <w:t>Uvedený rast je spôsobený najmä medziročným nárastom alokácie EÚ prostriedkov a spolufinancovania.</w:t>
      </w:r>
    </w:p>
    <w:p w:rsidR="001E5B24" w:rsidP="001E5B24">
      <w:pPr>
        <w:bidi w:val="0"/>
        <w:ind w:right="-851"/>
        <w:rPr>
          <w:rFonts w:ascii="Arial Narrow" w:hAnsi="Arial Narrow" w:cs="Arial Narrow"/>
          <w:sz w:val="16"/>
          <w:szCs w:val="16"/>
        </w:rPr>
      </w:pPr>
    </w:p>
    <w:tbl>
      <w:tblPr>
        <w:tblStyle w:val="TableNormal"/>
        <w:tblW w:w="9015" w:type="dxa"/>
        <w:tblInd w:w="55" w:type="dxa"/>
        <w:tblLayout w:type="fixed"/>
        <w:tblCellMar>
          <w:left w:w="70" w:type="dxa"/>
          <w:right w:w="70" w:type="dxa"/>
        </w:tblCellMar>
        <w:tblLook w:val="00A0"/>
      </w:tblPr>
      <w:tblGrid>
        <w:gridCol w:w="2920"/>
        <w:gridCol w:w="1015"/>
        <w:gridCol w:w="1016"/>
        <w:gridCol w:w="1016"/>
        <w:gridCol w:w="1016"/>
        <w:gridCol w:w="1016"/>
        <w:gridCol w:w="1016"/>
      </w:tblGrid>
      <w:tr>
        <w:tblPrEx>
          <w:tblW w:w="9015" w:type="dxa"/>
          <w:tblInd w:w="55" w:type="dxa"/>
          <w:tblLayout w:type="fixed"/>
          <w:tblCellMar>
            <w:left w:w="70" w:type="dxa"/>
            <w:right w:w="70" w:type="dxa"/>
          </w:tblCellMar>
          <w:tblLook w:val="00A0"/>
        </w:tblPrEx>
        <w:trPr>
          <w:trHeight w:val="255"/>
        </w:trPr>
        <w:tc>
          <w:tcPr>
            <w:tcW w:w="2920"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1015" w:type="dxa"/>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1016" w:type="dxa"/>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1016" w:type="dxa"/>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1016" w:type="dxa"/>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1016" w:type="dxa"/>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1016" w:type="dxa"/>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rPr>
                <w:rFonts w:ascii="Arial Narrow" w:hAnsi="Arial Narrow" w:cs="Arial Narrow"/>
                <w:b/>
                <w:bCs/>
                <w:color w:val="000000"/>
                <w:sz w:val="16"/>
                <w:szCs w:val="16"/>
              </w:rPr>
            </w:pPr>
            <w:r w:rsidRPr="0012043D">
              <w:rPr>
                <w:rFonts w:ascii="Arial Narrow" w:hAnsi="Arial Narrow" w:cs="Arial Narrow"/>
                <w:b/>
                <w:bCs/>
                <w:color w:val="000000"/>
                <w:sz w:val="16"/>
                <w:szCs w:val="16"/>
              </w:rPr>
              <w:t>Zdroje príslušnej kapitoly</w:t>
            </w:r>
          </w:p>
        </w:tc>
        <w:tc>
          <w:tcPr>
            <w:tcW w:w="1015"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265 054</w:t>
            </w:r>
          </w:p>
        </w:tc>
        <w:tc>
          <w:tcPr>
            <w:tcW w:w="1016"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250 758</w:t>
            </w:r>
          </w:p>
        </w:tc>
        <w:tc>
          <w:tcPr>
            <w:tcW w:w="1016"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336 288</w:t>
            </w:r>
          </w:p>
        </w:tc>
        <w:tc>
          <w:tcPr>
            <w:tcW w:w="1016"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835 122</w:t>
            </w:r>
          </w:p>
        </w:tc>
        <w:tc>
          <w:tcPr>
            <w:tcW w:w="1016"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318 831</w:t>
            </w:r>
          </w:p>
        </w:tc>
        <w:tc>
          <w:tcPr>
            <w:tcW w:w="1016" w:type="dxa"/>
            <w:tcBorders>
              <w:top w:val="nil"/>
              <w:left w:val="nil"/>
              <w:bottom w:val="single" w:sz="4" w:space="0" w:color="auto"/>
              <w:right w:val="single" w:sz="4" w:space="0" w:color="auto"/>
            </w:tcBorders>
            <w:shd w:val="clear" w:color="000000" w:fill="C0C0C0"/>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319 478</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z toho:</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 </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 xml:space="preserve">rozpočtové zdroje kapitoly </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109 800</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78 613</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57 007</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62 924</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53 083</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53 083</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presun z min. rokov § 8</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904</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0</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0</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0</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0</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0</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 xml:space="preserve">zdroje EÚ </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122 231</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140 679</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235 993</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670 179</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226 006</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225 759</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spolufinancovanie</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32 031</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31 240</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36 601</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98 312</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36 034</w:t>
            </w:r>
          </w:p>
        </w:tc>
        <w:tc>
          <w:tcPr>
            <w:tcW w:w="1016" w:type="dxa"/>
            <w:tcBorders>
              <w:top w:val="nil"/>
              <w:left w:val="nil"/>
              <w:bottom w:val="single" w:sz="4" w:space="0" w:color="auto"/>
              <w:right w:val="single" w:sz="4" w:space="0" w:color="auto"/>
            </w:tcBorders>
            <w:noWrap/>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36 747</w:t>
            </w:r>
          </w:p>
        </w:tc>
      </w:tr>
      <w:tr>
        <w:tblPrEx>
          <w:tblW w:w="9015" w:type="dxa"/>
          <w:tblInd w:w="55" w:type="dxa"/>
          <w:tblLayout w:type="fixed"/>
          <w:tblCellMar>
            <w:left w:w="70" w:type="dxa"/>
            <w:right w:w="70" w:type="dxa"/>
          </w:tblCellMar>
          <w:tblLook w:val="00A0"/>
        </w:tblPrEx>
        <w:trPr>
          <w:trHeight w:val="255"/>
        </w:trPr>
        <w:tc>
          <w:tcPr>
            <w:tcW w:w="2920" w:type="dxa"/>
            <w:tcBorders>
              <w:top w:val="nil"/>
              <w:left w:val="single" w:sz="4" w:space="0" w:color="auto"/>
              <w:bottom w:val="single" w:sz="4" w:space="0" w:color="auto"/>
              <w:right w:val="single" w:sz="4" w:space="0" w:color="auto"/>
            </w:tcBorders>
            <w:noWrap/>
            <w:textDirection w:val="lrTb"/>
            <w:vAlign w:val="bottom"/>
          </w:tcPr>
          <w:p w:rsidR="001E5B24" w:rsidRPr="0012043D" w:rsidP="001E5B24">
            <w:pPr>
              <w:bidi w:val="0"/>
              <w:rPr>
                <w:rFonts w:ascii="Arial Narrow" w:hAnsi="Arial Narrow" w:cs="Arial Narrow"/>
                <w:color w:val="000000"/>
                <w:sz w:val="16"/>
                <w:szCs w:val="16"/>
              </w:rPr>
            </w:pPr>
            <w:r w:rsidRPr="0012043D">
              <w:rPr>
                <w:rFonts w:ascii="Arial Narrow" w:hAnsi="Arial Narrow" w:cs="Arial Narrow"/>
                <w:color w:val="000000"/>
                <w:sz w:val="16"/>
                <w:szCs w:val="16"/>
              </w:rPr>
              <w:t>iné zdroje*</w:t>
            </w:r>
          </w:p>
        </w:tc>
        <w:tc>
          <w:tcPr>
            <w:tcW w:w="1015"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87</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225</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6 687</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3 707</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3 708</w:t>
            </w:r>
          </w:p>
        </w:tc>
        <w:tc>
          <w:tcPr>
            <w:tcW w:w="1016" w:type="dxa"/>
            <w:tcBorders>
              <w:top w:val="nil"/>
              <w:left w:val="nil"/>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color w:val="000000"/>
                <w:sz w:val="16"/>
                <w:szCs w:val="16"/>
              </w:rPr>
            </w:pPr>
            <w:r w:rsidRPr="0012043D">
              <w:rPr>
                <w:rFonts w:ascii="Arial Narrow" w:hAnsi="Arial Narrow" w:cs="Arial Narrow"/>
                <w:color w:val="000000"/>
                <w:sz w:val="16"/>
                <w:szCs w:val="16"/>
              </w:rPr>
              <w:t>3 889</w:t>
            </w:r>
          </w:p>
        </w:tc>
      </w:tr>
    </w:tbl>
    <w:p w:rsidR="001E5B24" w:rsidP="001E5B24">
      <w:pPr>
        <w:bidi w:val="0"/>
        <w:ind w:right="-851"/>
        <w:rPr>
          <w:rFonts w:ascii="Arial Narrow" w:hAnsi="Arial Narrow" w:cs="Arial Narrow"/>
          <w:sz w:val="16"/>
          <w:szCs w:val="16"/>
        </w:rPr>
      </w:pPr>
      <w:r w:rsidRPr="00EE7AF6">
        <w:rPr>
          <w:rFonts w:ascii="Arial Narrow" w:hAnsi="Arial Narrow" w:cs="Arial Narrow"/>
          <w:sz w:val="16"/>
          <w:szCs w:val="16"/>
        </w:rPr>
        <w:t xml:space="preserve">*   ISPA,  LIFE+, Finančný mechanizmus EHP, Nórsky finančný mechanizmus  a iné             </w:t>
        <w:tab/>
      </w:r>
    </w:p>
    <w:p w:rsidR="001E5B24" w:rsidP="001E5B24">
      <w:pPr>
        <w:bidi w:val="0"/>
        <w:ind w:right="-851"/>
        <w:rPr>
          <w:rFonts w:ascii="Arial Narrow" w:hAnsi="Arial Narrow" w:cs="Arial Narrow"/>
          <w:sz w:val="22"/>
          <w:szCs w:val="22"/>
        </w:rPr>
      </w:pPr>
    </w:p>
    <w:p w:rsidR="001E5B24" w:rsidRPr="00D5612C" w:rsidP="001E5B24">
      <w:pPr>
        <w:bidi w:val="0"/>
        <w:ind w:firstLine="708"/>
        <w:jc w:val="both"/>
        <w:rPr>
          <w:rFonts w:ascii="Arial Narrow" w:hAnsi="Arial Narrow" w:cs="Arial Narrow"/>
          <w:sz w:val="22"/>
          <w:szCs w:val="22"/>
        </w:rPr>
      </w:pPr>
      <w:r w:rsidRPr="00D5612C">
        <w:rPr>
          <w:rFonts w:ascii="Arial Narrow" w:hAnsi="Arial Narrow" w:cs="Arial Narrow"/>
          <w:sz w:val="22"/>
          <w:szCs w:val="22"/>
        </w:rPr>
        <w:t>Výdavky EÚ predstavujú sumu 670 mil. eur a spolufinancovanie zo štátneho rozpočtu 98,3 mil. eur. V porovnaní so schváleným rozpočtom na rok 2010  rastú v roku 2011 výdavky EU o 184% a spolufinancovanie o  167%.</w:t>
      </w:r>
    </w:p>
    <w:p w:rsidR="001E5B24" w:rsidRPr="00D5612C" w:rsidP="001E5B24">
      <w:pPr>
        <w:bidi w:val="0"/>
        <w:ind w:firstLine="708"/>
        <w:jc w:val="both"/>
        <w:rPr>
          <w:rFonts w:ascii="Arial Narrow" w:hAnsi="Arial Narrow" w:cs="Arial Narrow"/>
          <w:sz w:val="22"/>
          <w:szCs w:val="22"/>
        </w:rPr>
      </w:pPr>
      <w:r w:rsidRPr="00D5612C">
        <w:rPr>
          <w:rFonts w:ascii="Arial Narrow" w:hAnsi="Arial Narrow" w:cs="Arial Narrow"/>
          <w:sz w:val="22"/>
          <w:szCs w:val="22"/>
        </w:rPr>
        <w:t>Rozpočtované prostriedky štátneho rozpočtu v roku 2011 predstavujú sumu 62,9 mil. eur a v porovnaní so schváleným rozpočtom roku 2010 rastú o 10,4 %, čo je spôsobené čiastočným zohľadnením priorít kapitoly vo výške 10 mil. eur, urče</w:t>
      </w:r>
      <w:r>
        <w:rPr>
          <w:rFonts w:ascii="Arial Narrow" w:hAnsi="Arial Narrow" w:cs="Arial Narrow"/>
          <w:sz w:val="22"/>
          <w:szCs w:val="22"/>
        </w:rPr>
        <w:t xml:space="preserve">ných na čistiarne odpadových vôd, po očistení o tento jednorazový výdavok prostriedky štátneho rozpočtu klesajú o 7,16 %. </w:t>
      </w:r>
    </w:p>
    <w:p w:rsidR="001E5B24" w:rsidRPr="00C96826" w:rsidP="001E5B24">
      <w:pPr>
        <w:bidi w:val="0"/>
        <w:ind w:firstLine="708"/>
        <w:jc w:val="both"/>
        <w:rPr>
          <w:rFonts w:ascii="Arial Narrow" w:hAnsi="Arial Narrow" w:cs="Arial Narrow"/>
          <w:sz w:val="22"/>
          <w:szCs w:val="22"/>
        </w:rPr>
      </w:pPr>
    </w:p>
    <w:p w:rsidR="001E5B24" w:rsidRPr="00D13B30" w:rsidP="001E5B24">
      <w:pPr>
        <w:bidi w:val="0"/>
        <w:ind w:firstLine="708"/>
        <w:jc w:val="both"/>
        <w:rPr>
          <w:rFonts w:ascii="Arial Narrow" w:hAnsi="Arial Narrow" w:cs="Arial Narrow"/>
          <w:sz w:val="22"/>
          <w:szCs w:val="22"/>
        </w:rPr>
      </w:pPr>
      <w:r w:rsidRPr="00D13B30">
        <w:rPr>
          <w:rFonts w:ascii="Arial Narrow" w:hAnsi="Arial Narrow" w:cs="Arial Narrow"/>
          <w:sz w:val="22"/>
          <w:szCs w:val="22"/>
        </w:rPr>
        <w:t xml:space="preserve">V oblasti osobných výdavkov sa ich objem pre rok 2011 rozpočtuje na úrovni 18,6 mil. eur, čo v porovnaní so schváleným rozpočtom na rok 2010 predstavuje pokles o 8,74 % (1,78 mil. eur). Medziročný pokles osobných výdavkov je ovplyvnený viazaním osobných výdavkov na úrovni 10 % </w:t>
      </w:r>
      <w:r w:rsidR="007C7DA8">
        <w:rPr>
          <w:rFonts w:ascii="Arial Narrow" w:hAnsi="Arial Narrow" w:cs="Arial Narrow"/>
          <w:sz w:val="22"/>
          <w:szCs w:val="22"/>
        </w:rPr>
        <w:t>pre</w:t>
      </w:r>
      <w:r w:rsidRPr="00D13B30">
        <w:rPr>
          <w:rFonts w:ascii="Arial Narrow" w:hAnsi="Arial Narrow" w:cs="Arial Narrow"/>
          <w:sz w:val="22"/>
          <w:szCs w:val="22"/>
        </w:rPr>
        <w:t xml:space="preserve"> štátnych zamestnancov, zamestnancov pri výkone práce vo verejnom záujme a osobných výdavkov ministra z úrovne roku 2010, a zároveň je zohľadnený dopočet a teda nárast 1% z dôvodu valorizácie z roku 2010. V limite počtu zamestnancov je premietnuté zníženie o 1 miesto štátneho tajomníka. </w:t>
      </w:r>
      <w:r>
        <w:rPr>
          <w:rFonts w:ascii="Arial Narrow" w:hAnsi="Arial Narrow" w:cs="Arial Narrow"/>
          <w:sz w:val="22"/>
          <w:szCs w:val="22"/>
        </w:rPr>
        <w:t>Kapitola nepremietla pokles výdavkov na poistnom v plnej miere, čím vznikol rozdiel 63 tis. eur, po zohľadnení tohto rozdielu by osobné výdavky klesali o 9,11 %.</w:t>
      </w:r>
    </w:p>
    <w:p w:rsidR="001E5B24" w:rsidRPr="00D13B30" w:rsidP="001E5B24">
      <w:pPr>
        <w:bidi w:val="0"/>
        <w:ind w:firstLine="708"/>
        <w:jc w:val="both"/>
        <w:rPr>
          <w:rFonts w:ascii="Arial Narrow" w:hAnsi="Arial Narrow" w:cs="Arial Narrow"/>
          <w:sz w:val="22"/>
          <w:szCs w:val="22"/>
        </w:rPr>
      </w:pPr>
    </w:p>
    <w:p w:rsidR="001E5B24" w:rsidRPr="00D13B30" w:rsidP="001E5B24">
      <w:pPr>
        <w:tabs>
          <w:tab w:val="left" w:pos="709"/>
        </w:tabs>
        <w:bidi w:val="0"/>
        <w:jc w:val="both"/>
        <w:rPr>
          <w:rFonts w:ascii="Arial Narrow" w:hAnsi="Arial Narrow" w:cs="Arial Narrow"/>
          <w:sz w:val="22"/>
          <w:szCs w:val="22"/>
        </w:rPr>
      </w:pPr>
      <w:r w:rsidRPr="00D13B30">
        <w:rPr>
          <w:rFonts w:ascii="Arial Narrow" w:hAnsi="Arial Narrow" w:cs="Arial Narrow"/>
          <w:sz w:val="22"/>
          <w:szCs w:val="22"/>
        </w:rPr>
        <w:tab/>
        <w:t xml:space="preserve">Výdavky štátneho rozpočtu v oblasti tovarov a služieb v porovnaní so schváleným rozpočtom pre rok 2010 klesajú o 4,3 % t. j. </w:t>
      </w:r>
      <w:r w:rsidR="007C7DA8">
        <w:rPr>
          <w:rFonts w:ascii="Arial Narrow" w:hAnsi="Arial Narrow" w:cs="Arial Narrow"/>
          <w:sz w:val="22"/>
          <w:szCs w:val="22"/>
        </w:rPr>
        <w:t xml:space="preserve">o </w:t>
      </w:r>
      <w:r w:rsidRPr="00D13B30">
        <w:rPr>
          <w:rFonts w:ascii="Arial Narrow" w:hAnsi="Arial Narrow" w:cs="Arial Narrow"/>
          <w:sz w:val="22"/>
          <w:szCs w:val="22"/>
        </w:rPr>
        <w:t>sumu 0,52 mil. eur. Pokles je spôsobený znížením  prevádzkových výdavkov štátneho rozpočtu o 10 %, ktoré si kapitola nepremietla v tejto kategórii v plnej výške, čo by predstavovalo sumu 1,</w:t>
      </w:r>
      <w:r>
        <w:rPr>
          <w:rFonts w:ascii="Arial Narrow" w:hAnsi="Arial Narrow" w:cs="Arial Narrow"/>
          <w:sz w:val="22"/>
          <w:szCs w:val="22"/>
        </w:rPr>
        <w:t>2</w:t>
      </w:r>
      <w:r w:rsidRPr="00D13B30">
        <w:rPr>
          <w:rFonts w:ascii="Arial Narrow" w:hAnsi="Arial Narrow" w:cs="Arial Narrow"/>
          <w:sz w:val="22"/>
          <w:szCs w:val="22"/>
        </w:rPr>
        <w:t xml:space="preserve"> mil. eur, ale k uvedenému nižšiemu poklesu o sumu 0,68 mil. eur  na úkor kategórie bežných transferov.</w:t>
      </w:r>
    </w:p>
    <w:p w:rsidR="001E5B24" w:rsidRPr="00D13B30" w:rsidP="001E5B24">
      <w:pPr>
        <w:tabs>
          <w:tab w:val="left" w:pos="709"/>
        </w:tabs>
        <w:bidi w:val="0"/>
        <w:jc w:val="both"/>
        <w:rPr>
          <w:rFonts w:ascii="Arial Narrow" w:hAnsi="Arial Narrow" w:cs="Arial Narrow"/>
          <w:sz w:val="22"/>
          <w:szCs w:val="22"/>
        </w:rPr>
      </w:pPr>
    </w:p>
    <w:p w:rsidR="001E5B24" w:rsidP="001E5B24">
      <w:pPr>
        <w:tabs>
          <w:tab w:val="left" w:pos="709"/>
        </w:tabs>
        <w:bidi w:val="0"/>
        <w:jc w:val="both"/>
        <w:rPr>
          <w:rFonts w:ascii="Arial Narrow" w:hAnsi="Arial Narrow" w:cs="Arial Narrow"/>
          <w:sz w:val="22"/>
          <w:szCs w:val="22"/>
        </w:rPr>
      </w:pPr>
      <w:r w:rsidR="007C7DA8">
        <w:rPr>
          <w:rFonts w:ascii="Arial Narrow" w:hAnsi="Arial Narrow" w:cs="Arial Narrow"/>
          <w:sz w:val="22"/>
          <w:szCs w:val="22"/>
        </w:rPr>
        <w:tab/>
        <w:t>Bežné transfery v limite</w:t>
      </w:r>
      <w:r w:rsidRPr="00D13B30">
        <w:rPr>
          <w:rFonts w:ascii="Arial Narrow" w:hAnsi="Arial Narrow" w:cs="Arial Narrow"/>
          <w:sz w:val="22"/>
          <w:szCs w:val="22"/>
        </w:rPr>
        <w:t xml:space="preserve"> kapitoly pre rok 2011 klesajú na zdroji štátneho rozpočtu v porovnaní so schváleným rozpočtom roku 2010  o 7,18%, transfery určené príspevkovým organizáciám boli krátené o   8,79 %, </w:t>
      </w:r>
      <w:r w:rsidR="007C7DA8">
        <w:rPr>
          <w:rFonts w:ascii="Arial Narrow" w:hAnsi="Arial Narrow" w:cs="Arial Narrow"/>
          <w:sz w:val="22"/>
          <w:szCs w:val="22"/>
        </w:rPr>
        <w:t>t. j.</w:t>
      </w:r>
      <w:r w:rsidRPr="00D13B30">
        <w:rPr>
          <w:rFonts w:ascii="Arial Narrow" w:hAnsi="Arial Narrow" w:cs="Arial Narrow"/>
          <w:sz w:val="22"/>
          <w:szCs w:val="22"/>
        </w:rPr>
        <w:t xml:space="preserve"> sumu </w:t>
      </w:r>
      <w:r w:rsidR="00475F5B">
        <w:rPr>
          <w:rFonts w:ascii="Arial Narrow" w:hAnsi="Arial Narrow" w:cs="Arial Narrow"/>
          <w:sz w:val="22"/>
          <w:szCs w:val="22"/>
        </w:rPr>
        <w:t xml:space="preserve">o </w:t>
      </w:r>
      <w:r w:rsidRPr="00D13B30">
        <w:rPr>
          <w:rFonts w:ascii="Arial Narrow" w:hAnsi="Arial Narrow" w:cs="Arial Narrow"/>
          <w:sz w:val="22"/>
          <w:szCs w:val="22"/>
        </w:rPr>
        <w:t>1,85 mil.</w:t>
      </w:r>
      <w:r>
        <w:rPr>
          <w:rFonts w:ascii="Arial Narrow" w:hAnsi="Arial Narrow" w:cs="Arial Narrow"/>
          <w:sz w:val="22"/>
          <w:szCs w:val="22"/>
        </w:rPr>
        <w:t xml:space="preserve"> </w:t>
      </w:r>
      <w:r w:rsidRPr="00D13B30">
        <w:rPr>
          <w:rFonts w:ascii="Arial Narrow" w:hAnsi="Arial Narrow" w:cs="Arial Narrow"/>
          <w:sz w:val="22"/>
          <w:szCs w:val="22"/>
        </w:rPr>
        <w:t>eur. Zvýšené krátenie v tejto kategórii kapitola premietla v prospech bežných výdavkov na tovary, služby a poistné.</w:t>
      </w:r>
    </w:p>
    <w:p w:rsidR="001E5B24" w:rsidRPr="006B3A85" w:rsidP="001E5B24">
      <w:pPr>
        <w:tabs>
          <w:tab w:val="left" w:pos="709"/>
        </w:tabs>
        <w:bidi w:val="0"/>
        <w:jc w:val="both"/>
        <w:rPr>
          <w:rFonts w:ascii="Arial Narrow" w:hAnsi="Arial Narrow" w:cs="Arial Narrow"/>
          <w:sz w:val="22"/>
          <w:szCs w:val="22"/>
        </w:rPr>
      </w:pPr>
    </w:p>
    <w:p w:rsidR="001E5B24" w:rsidRPr="00BB4B53" w:rsidP="001E5B24">
      <w:pPr>
        <w:bidi w:val="0"/>
        <w:ind w:firstLine="708"/>
        <w:jc w:val="both"/>
        <w:rPr>
          <w:rFonts w:ascii="Arial Narrow" w:hAnsi="Arial Narrow" w:cs="Arial Narrow"/>
          <w:sz w:val="22"/>
          <w:szCs w:val="22"/>
        </w:rPr>
      </w:pPr>
      <w:r w:rsidRPr="006B3A85">
        <w:rPr>
          <w:rFonts w:ascii="Arial Narrow" w:hAnsi="Arial Narrow" w:cs="Arial Narrow"/>
          <w:sz w:val="22"/>
          <w:szCs w:val="22"/>
        </w:rPr>
        <w:t xml:space="preserve">Nárast kapitálových výdavkov v porovnaní so schváleným rozpočtom na rok 2010 na zdroji štátneho rozpočtu je spôsobený čiastočným zohľadnením priorít kapitoly vo výške 10 mil. eur, určených na </w:t>
      </w:r>
      <w:r>
        <w:rPr>
          <w:rFonts w:ascii="Arial Narrow" w:hAnsi="Arial Narrow" w:cs="Arial Narrow"/>
          <w:sz w:val="22"/>
          <w:szCs w:val="22"/>
        </w:rPr>
        <w:t>čistiarne</w:t>
      </w:r>
      <w:r w:rsidRPr="006B3A85">
        <w:rPr>
          <w:rFonts w:ascii="Arial Narrow" w:hAnsi="Arial Narrow" w:cs="Arial Narrow"/>
          <w:sz w:val="22"/>
          <w:szCs w:val="22"/>
        </w:rPr>
        <w:t xml:space="preserve"> odpadových vôd.</w:t>
      </w:r>
    </w:p>
    <w:p w:rsidR="001E5B24" w:rsidRPr="00BB4B53" w:rsidP="001E5B24">
      <w:pPr>
        <w:bidi w:val="0"/>
        <w:jc w:val="both"/>
        <w:rPr>
          <w:rFonts w:ascii="Arial Narrow" w:hAnsi="Arial Narrow" w:cs="Arial Narrow"/>
          <w:sz w:val="22"/>
          <w:szCs w:val="22"/>
        </w:rPr>
      </w:pPr>
    </w:p>
    <w:p w:rsidR="001E5B24" w:rsidRPr="00EE7AF6" w:rsidP="001E5B24">
      <w:pPr>
        <w:bidi w:val="0"/>
        <w:ind w:firstLine="708"/>
        <w:jc w:val="both"/>
        <w:rPr>
          <w:rFonts w:ascii="Arial Narrow" w:hAnsi="Arial Narrow" w:cs="Arial Narrow"/>
          <w:sz w:val="22"/>
          <w:szCs w:val="22"/>
        </w:rPr>
      </w:pPr>
      <w:r w:rsidRPr="00EE7AF6">
        <w:rPr>
          <w:rFonts w:ascii="Arial Narrow" w:hAnsi="Arial Narrow" w:cs="Arial Narrow"/>
          <w:sz w:val="22"/>
          <w:szCs w:val="22"/>
        </w:rPr>
        <w:t>Výdavky kapitoly Ministerstva životného prostredia SR sú smerované do nasledujúcich oblastí</w:t>
      </w:r>
      <w:r>
        <w:rPr>
          <w:rFonts w:ascii="Arial Narrow" w:hAnsi="Arial Narrow" w:cs="Arial Narrow"/>
          <w:sz w:val="22"/>
          <w:szCs w:val="22"/>
        </w:rPr>
        <w:t>:</w:t>
      </w:r>
    </w:p>
    <w:p w:rsidR="001E5B24" w:rsidRPr="00EE7AF6" w:rsidP="001E5B24">
      <w:pPr>
        <w:bidi w:val="0"/>
        <w:jc w:val="both"/>
        <w:rPr>
          <w:rFonts w:ascii="Arial Narrow" w:hAnsi="Arial Narrow" w:cs="Arial Narrow"/>
          <w:b/>
          <w:bCs/>
          <w:sz w:val="22"/>
          <w:szCs w:val="22"/>
        </w:rPr>
      </w:pPr>
    </w:p>
    <w:p w:rsidR="001E5B24" w:rsidRPr="00252954" w:rsidP="001E5B24">
      <w:pPr>
        <w:bidi w:val="0"/>
        <w:jc w:val="both"/>
        <w:rPr>
          <w:rFonts w:ascii="Arial Narrow" w:hAnsi="Arial Narrow" w:cs="Arial Narrow"/>
          <w:sz w:val="22"/>
          <w:szCs w:val="22"/>
        </w:rPr>
      </w:pPr>
      <w:r w:rsidRPr="00252954">
        <w:rPr>
          <w:rFonts w:ascii="Arial Narrow" w:hAnsi="Arial Narrow" w:cs="Arial Narrow"/>
          <w:sz w:val="22"/>
          <w:szCs w:val="22"/>
        </w:rPr>
        <w:t xml:space="preserve"> Vodné hospodárstvo</w:t>
      </w:r>
    </w:p>
    <w:p w:rsidR="001E5B24" w:rsidRPr="000608CC" w:rsidP="001E5B24">
      <w:pPr>
        <w:bidi w:val="0"/>
        <w:jc w:val="both"/>
        <w:rPr>
          <w:rFonts w:ascii="Arial Narrow" w:hAnsi="Arial Narrow" w:cs="Arial Narrow"/>
          <w:b/>
          <w:bCs/>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417"/>
        <w:gridCol w:w="982"/>
        <w:gridCol w:w="1053"/>
        <w:gridCol w:w="1039"/>
        <w:gridCol w:w="883"/>
        <w:gridCol w:w="883"/>
        <w:gridCol w:w="885"/>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2043D" w:rsidP="001E5B24">
            <w:pPr>
              <w:bidi w:val="0"/>
              <w:jc w:val="both"/>
              <w:rPr>
                <w:rFonts w:ascii="Arial Narrow" w:hAnsi="Arial Narrow" w:cs="Arial Narrow"/>
                <w:sz w:val="16"/>
                <w:szCs w:val="16"/>
              </w:rPr>
            </w:pPr>
            <w:r w:rsidRPr="0012043D">
              <w:rPr>
                <w:rFonts w:ascii="Arial Narrow" w:hAnsi="Arial Narrow" w:cs="Arial Narrow"/>
                <w:sz w:val="16"/>
                <w:szCs w:val="16"/>
              </w:rPr>
              <w:t> </w:t>
            </w:r>
            <w:r w:rsidRPr="0012043D">
              <w:rPr>
                <w:rFonts w:ascii="Arial Narrow" w:hAnsi="Arial Narrow" w:cs="Arial Narrow"/>
                <w:b/>
                <w:bCs/>
                <w:sz w:val="16"/>
                <w:szCs w:val="16"/>
              </w:rPr>
              <w:t>v tis. eur</w:t>
            </w:r>
          </w:p>
        </w:tc>
        <w:tc>
          <w:tcPr>
            <w:tcW w:w="53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2008 S</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2009 S</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2010 R</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2011 N</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2012 N</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center"/>
              <w:rPr>
                <w:rFonts w:ascii="Arial Narrow" w:hAnsi="Arial Narrow" w:cs="Arial Narrow"/>
                <w:b/>
                <w:bCs/>
                <w:sz w:val="16"/>
                <w:szCs w:val="16"/>
              </w:rPr>
            </w:pPr>
            <w:r w:rsidRPr="0012043D">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rPr>
                <w:rFonts w:ascii="Arial Narrow" w:hAnsi="Arial Narrow" w:cs="Arial Narrow"/>
                <w:b/>
                <w:bCs/>
                <w:color w:val="000000"/>
                <w:sz w:val="16"/>
                <w:szCs w:val="16"/>
              </w:rPr>
            </w:pPr>
            <w:r w:rsidRPr="0012043D">
              <w:rPr>
                <w:rFonts w:ascii="Arial Narrow" w:hAnsi="Arial Narrow" w:cs="Arial Narrow"/>
                <w:b/>
                <w:bCs/>
                <w:color w:val="000000"/>
                <w:sz w:val="16"/>
                <w:szCs w:val="16"/>
              </w:rPr>
              <w:t xml:space="preserve"> </w:t>
            </w:r>
            <w:r>
              <w:rPr>
                <w:rFonts w:ascii="Arial Narrow" w:hAnsi="Arial Narrow" w:cs="Arial Narrow"/>
                <w:b/>
                <w:bCs/>
                <w:color w:val="000000"/>
                <w:sz w:val="16"/>
                <w:szCs w:val="16"/>
              </w:rPr>
              <w:t>V</w:t>
            </w:r>
            <w:r w:rsidRPr="0012043D">
              <w:rPr>
                <w:rFonts w:ascii="Arial Narrow" w:hAnsi="Arial Narrow" w:cs="Arial Narrow"/>
                <w:b/>
                <w:bCs/>
                <w:sz w:val="16"/>
                <w:szCs w:val="16"/>
              </w:rPr>
              <w:t>odné hospodárstvo</w:t>
            </w:r>
            <w:r>
              <w:rPr>
                <w:rFonts w:ascii="Arial Narrow" w:hAnsi="Arial Narrow" w:cs="Arial Narrow"/>
                <w:b/>
                <w:bCs/>
                <w:sz w:val="16"/>
                <w:szCs w:val="16"/>
              </w:rPr>
              <w:t xml:space="preserve"> celkom, z toho:</w:t>
            </w:r>
          </w:p>
        </w:tc>
        <w:tc>
          <w:tcPr>
            <w:tcW w:w="53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172 895</w:t>
            </w:r>
          </w:p>
        </w:tc>
        <w:tc>
          <w:tcPr>
            <w:tcW w:w="576"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145 898</w:t>
            </w:r>
          </w:p>
        </w:tc>
        <w:tc>
          <w:tcPr>
            <w:tcW w:w="568"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177 429</w:t>
            </w:r>
          </w:p>
        </w:tc>
        <w:tc>
          <w:tcPr>
            <w:tcW w:w="483"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428 690</w:t>
            </w:r>
          </w:p>
        </w:tc>
        <w:tc>
          <w:tcPr>
            <w:tcW w:w="483"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164 334</w:t>
            </w:r>
          </w:p>
        </w:tc>
        <w:tc>
          <w:tcPr>
            <w:tcW w:w="484"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12043D" w:rsidP="001E5B24">
            <w:pPr>
              <w:bidi w:val="0"/>
              <w:jc w:val="right"/>
              <w:rPr>
                <w:rFonts w:ascii="Arial Narrow" w:hAnsi="Arial Narrow" w:cs="Arial Narrow"/>
                <w:b/>
                <w:bCs/>
                <w:color w:val="000000"/>
                <w:sz w:val="16"/>
                <w:szCs w:val="16"/>
              </w:rPr>
            </w:pPr>
            <w:r w:rsidRPr="0012043D">
              <w:rPr>
                <w:rFonts w:ascii="Arial Narrow" w:hAnsi="Arial Narrow" w:cs="Arial Narrow"/>
                <w:b/>
                <w:bCs/>
                <w:color w:val="000000"/>
                <w:sz w:val="16"/>
                <w:szCs w:val="16"/>
              </w:rPr>
              <w:t>158 555</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rPr>
                <w:rFonts w:ascii="Arial Narrow" w:hAnsi="Arial Narrow" w:cs="Arial Narrow"/>
                <w:sz w:val="16"/>
                <w:szCs w:val="16"/>
              </w:rPr>
            </w:pPr>
            <w:r w:rsidRPr="0012043D">
              <w:rPr>
                <w:rFonts w:ascii="Arial Narrow" w:hAnsi="Arial Narrow" w:cs="Arial Narrow"/>
                <w:sz w:val="16"/>
                <w:szCs w:val="16"/>
              </w:rPr>
              <w:t>zdroj ŠR</w:t>
            </w:r>
          </w:p>
        </w:tc>
        <w:tc>
          <w:tcPr>
            <w:tcW w:w="537"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51 471</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17 976</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7 320</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14 876</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4 801</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4 801</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rPr>
                <w:rFonts w:ascii="Arial Narrow" w:hAnsi="Arial Narrow" w:cs="Arial Narrow"/>
                <w:sz w:val="16"/>
                <w:szCs w:val="16"/>
              </w:rPr>
            </w:pPr>
            <w:r w:rsidRPr="0012043D">
              <w:rPr>
                <w:rFonts w:ascii="Arial Narrow" w:hAnsi="Arial Narrow" w:cs="Arial Narrow"/>
                <w:sz w:val="16"/>
                <w:szCs w:val="16"/>
              </w:rPr>
              <w:t>presun z min. rokov § 8</w:t>
            </w:r>
          </w:p>
        </w:tc>
        <w:tc>
          <w:tcPr>
            <w:tcW w:w="537"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387</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rPr>
                <w:rFonts w:ascii="Arial Narrow" w:hAnsi="Arial Narrow" w:cs="Arial Narrow"/>
                <w:sz w:val="16"/>
                <w:szCs w:val="16"/>
              </w:rPr>
            </w:pPr>
            <w:r w:rsidRPr="0012043D">
              <w:rPr>
                <w:rFonts w:ascii="Arial Narrow" w:hAnsi="Arial Narrow" w:cs="Arial Narrow"/>
                <w:sz w:val="16"/>
                <w:szCs w:val="16"/>
              </w:rPr>
              <w:t>zdroj EU</w:t>
            </w:r>
          </w:p>
        </w:tc>
        <w:tc>
          <w:tcPr>
            <w:tcW w:w="537"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100 728</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104 166</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147 310</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367 294</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140 959</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135 764</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rPr>
                <w:rFonts w:ascii="Arial Narrow" w:hAnsi="Arial Narrow" w:cs="Arial Narrow"/>
                <w:sz w:val="16"/>
                <w:szCs w:val="16"/>
              </w:rPr>
            </w:pPr>
            <w:r w:rsidRPr="0012043D">
              <w:rPr>
                <w:rFonts w:ascii="Arial Narrow" w:hAnsi="Arial Narrow" w:cs="Arial Narrow"/>
                <w:sz w:val="16"/>
                <w:szCs w:val="16"/>
              </w:rPr>
              <w:t>spolufinancovanie</w:t>
            </w:r>
          </w:p>
        </w:tc>
        <w:tc>
          <w:tcPr>
            <w:tcW w:w="537"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20 309</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23 756</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19 775</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46 438</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18 574</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17 990</w:t>
            </w:r>
          </w:p>
        </w:tc>
      </w:tr>
      <w:tr>
        <w:tblPrEx>
          <w:tblW w:w="4962" w:type="pct"/>
          <w:tblInd w:w="70" w:type="dxa"/>
          <w:tblCellMar>
            <w:left w:w="70" w:type="dxa"/>
            <w:right w:w="70" w:type="dxa"/>
          </w:tblCellMar>
          <w:tblLook w:val="00A0"/>
        </w:tblPrEx>
        <w:trPr>
          <w:trHeight w:val="250"/>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rPr>
                <w:rFonts w:ascii="Arial Narrow" w:hAnsi="Arial Narrow" w:cs="Arial Narrow"/>
                <w:sz w:val="16"/>
                <w:szCs w:val="16"/>
              </w:rPr>
            </w:pPr>
            <w:r w:rsidRPr="0012043D">
              <w:rPr>
                <w:rFonts w:ascii="Arial Narrow" w:hAnsi="Arial Narrow" w:cs="Arial Narrow"/>
                <w:sz w:val="16"/>
                <w:szCs w:val="16"/>
              </w:rPr>
              <w:t>iné  zdroje*</w:t>
            </w:r>
          </w:p>
        </w:tc>
        <w:tc>
          <w:tcPr>
            <w:tcW w:w="537"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576"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3 024</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82</w:t>
            </w:r>
          </w:p>
        </w:tc>
        <w:tc>
          <w:tcPr>
            <w:tcW w:w="483"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c>
          <w:tcPr>
            <w:tcW w:w="484" w:type="pct"/>
            <w:tcBorders>
              <w:top w:val="single" w:sz="4" w:space="0" w:color="auto"/>
              <w:left w:val="single" w:sz="4" w:space="0" w:color="auto"/>
              <w:bottom w:val="single" w:sz="4" w:space="0" w:color="auto"/>
              <w:right w:val="single" w:sz="4" w:space="0" w:color="auto"/>
            </w:tcBorders>
            <w:textDirection w:val="lrTb"/>
            <w:vAlign w:val="bottom"/>
          </w:tcPr>
          <w:p w:rsidR="001E5B24" w:rsidRPr="0012043D" w:rsidP="001E5B24">
            <w:pPr>
              <w:bidi w:val="0"/>
              <w:jc w:val="right"/>
              <w:rPr>
                <w:rFonts w:ascii="Arial Narrow" w:hAnsi="Arial Narrow" w:cs="Arial Narrow"/>
                <w:sz w:val="16"/>
                <w:szCs w:val="16"/>
              </w:rPr>
            </w:pPr>
            <w:r w:rsidRPr="0012043D">
              <w:rPr>
                <w:rFonts w:ascii="Arial Narrow" w:hAnsi="Arial Narrow" w:cs="Arial Narrow"/>
                <w:sz w:val="16"/>
                <w:szCs w:val="16"/>
              </w:rPr>
              <w:t>0</w:t>
            </w:r>
          </w:p>
        </w:tc>
      </w:tr>
    </w:tbl>
    <w:p w:rsidR="001E5B24" w:rsidRPr="00EE7AF6" w:rsidP="001E5B24">
      <w:pPr>
        <w:bidi w:val="0"/>
        <w:jc w:val="both"/>
        <w:rPr>
          <w:rFonts w:ascii="Arial Narrow" w:hAnsi="Arial Narrow" w:cs="Arial Narrow"/>
          <w:sz w:val="16"/>
          <w:szCs w:val="16"/>
        </w:rPr>
      </w:pPr>
      <w:r w:rsidRPr="00EE7AF6">
        <w:rPr>
          <w:rFonts w:ascii="Arial Narrow" w:hAnsi="Arial Narrow" w:cs="Arial Narrow"/>
          <w:sz w:val="16"/>
          <w:szCs w:val="16"/>
        </w:rPr>
        <w:t xml:space="preserve"> *   ISPA, Interreg III B, LIFE+, Finančný mechanizmus EHP, Nórsky finančný mechanizmus  a iné             </w:t>
      </w:r>
    </w:p>
    <w:p w:rsidR="001E5B24" w:rsidRPr="00EE7AF6" w:rsidP="001E5B24">
      <w:pPr>
        <w:bidi w:val="0"/>
        <w:jc w:val="both"/>
        <w:rPr>
          <w:rFonts w:ascii="Arial Narrow" w:hAnsi="Arial Narrow" w:cs="Arial Narrow"/>
          <w:sz w:val="16"/>
          <w:szCs w:val="16"/>
        </w:rPr>
      </w:pPr>
    </w:p>
    <w:p w:rsidR="001E5B24" w:rsidRPr="00BB4B53" w:rsidP="001E5B24">
      <w:pPr>
        <w:bidi w:val="0"/>
        <w:ind w:firstLine="708"/>
        <w:jc w:val="both"/>
        <w:rPr>
          <w:rFonts w:ascii="Arial Narrow" w:hAnsi="Arial Narrow" w:cs="Arial Narrow"/>
          <w:sz w:val="22"/>
          <w:szCs w:val="22"/>
        </w:rPr>
      </w:pPr>
      <w:r w:rsidRPr="00BB4B53">
        <w:rPr>
          <w:rFonts w:ascii="Arial Narrow" w:hAnsi="Arial Narrow" w:cs="Arial Narrow"/>
          <w:sz w:val="22"/>
          <w:szCs w:val="22"/>
        </w:rPr>
        <w:t>Celkové výdavky smerujúce do vodného hospodárstv</w:t>
      </w:r>
      <w:r>
        <w:rPr>
          <w:rFonts w:ascii="Arial Narrow" w:hAnsi="Arial Narrow" w:cs="Arial Narrow"/>
          <w:sz w:val="22"/>
          <w:szCs w:val="22"/>
        </w:rPr>
        <w:t xml:space="preserve">a narastajú v porovnaní so schváleným rozpočtom  roku </w:t>
      </w:r>
      <w:r w:rsidRPr="00BB4B53">
        <w:rPr>
          <w:rFonts w:ascii="Arial Narrow" w:hAnsi="Arial Narrow" w:cs="Arial Narrow"/>
          <w:sz w:val="22"/>
          <w:szCs w:val="22"/>
        </w:rPr>
        <w:t>2010 o 142 %.</w:t>
      </w:r>
      <w:r>
        <w:rPr>
          <w:rFonts w:ascii="Arial Narrow" w:hAnsi="Arial Narrow" w:cs="Arial Narrow"/>
          <w:sz w:val="22"/>
          <w:szCs w:val="22"/>
        </w:rPr>
        <w:t xml:space="preserve"> Výdavky EÚ</w:t>
      </w:r>
      <w:r w:rsidRPr="00BB4B53">
        <w:rPr>
          <w:rFonts w:ascii="Arial Narrow" w:hAnsi="Arial Narrow" w:cs="Arial Narrow"/>
          <w:sz w:val="22"/>
          <w:szCs w:val="22"/>
        </w:rPr>
        <w:t xml:space="preserve"> rastú o 149 % a spolufinancovania narastajú medziročne o 135 %, výdavky štátneho rozpočtu narastajú o 103 %. Nárast je spôsobený premietnutím sumy 10 mil. eur do oblasti kapitálových výdavkov, určených na čističky odpadových vôd. Prostriedky celkovo smerujú hlavne na konkrétne projekty budovania a rekonštrukcie infraštruktúry vodného hospodárstva (preventívne protipovodňové opatrenia, dobudovanie a prevádzka povodňového varovného a predpovedného systému, zásobovanie vodou, odvádzanie a čistenie odpadových vôd).</w:t>
      </w:r>
    </w:p>
    <w:p w:rsidR="001E5B24" w:rsidRPr="00BB4B53" w:rsidP="001E5B24">
      <w:pPr>
        <w:bidi w:val="0"/>
        <w:jc w:val="both"/>
        <w:rPr>
          <w:rFonts w:ascii="Arial Narrow" w:hAnsi="Arial Narrow" w:cs="Arial Narrow"/>
          <w:sz w:val="22"/>
          <w:szCs w:val="22"/>
        </w:rPr>
      </w:pPr>
    </w:p>
    <w:p w:rsidR="001E5B24" w:rsidRPr="00252954" w:rsidP="001E5B24">
      <w:pPr>
        <w:bidi w:val="0"/>
        <w:jc w:val="both"/>
        <w:rPr>
          <w:rFonts w:ascii="Arial Narrow" w:hAnsi="Arial Narrow" w:cs="Arial Narrow"/>
          <w:sz w:val="22"/>
          <w:szCs w:val="22"/>
        </w:rPr>
      </w:pPr>
      <w:r w:rsidRPr="00252954">
        <w:rPr>
          <w:rFonts w:ascii="Arial Narrow" w:hAnsi="Arial Narrow" w:cs="Arial Narrow"/>
          <w:sz w:val="22"/>
          <w:szCs w:val="22"/>
        </w:rPr>
        <w:t xml:space="preserve"> Ochrana ovzdušia</w:t>
      </w:r>
    </w:p>
    <w:p w:rsidR="001E5B24" w:rsidRPr="00EE7AF6"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17"/>
        <w:gridCol w:w="982"/>
        <w:gridCol w:w="1053"/>
        <w:gridCol w:w="1039"/>
        <w:gridCol w:w="883"/>
        <w:gridCol w:w="883"/>
        <w:gridCol w:w="885"/>
      </w:tblGrid>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37"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76"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68"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8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F36672" w:rsidP="001E5B24">
            <w:pPr>
              <w:bidi w:val="0"/>
              <w:rPr>
                <w:rFonts w:ascii="Arial Narrow" w:hAnsi="Arial Narrow" w:cs="Arial Narrow"/>
                <w:b/>
                <w:bCs/>
                <w:color w:val="000000"/>
                <w:sz w:val="16"/>
                <w:szCs w:val="16"/>
              </w:rPr>
            </w:pPr>
            <w:r w:rsidRPr="00F36672">
              <w:rPr>
                <w:rFonts w:ascii="Arial Narrow" w:hAnsi="Arial Narrow" w:cs="Arial Narrow"/>
                <w:b/>
                <w:bCs/>
                <w:color w:val="000000"/>
                <w:sz w:val="16"/>
                <w:szCs w:val="16"/>
              </w:rPr>
              <w:t xml:space="preserve"> </w:t>
            </w:r>
            <w:r>
              <w:rPr>
                <w:rFonts w:ascii="Arial Narrow" w:hAnsi="Arial Narrow" w:cs="Arial Narrow"/>
                <w:b/>
                <w:bCs/>
                <w:color w:val="000000"/>
                <w:sz w:val="16"/>
                <w:szCs w:val="16"/>
              </w:rPr>
              <w:t>O</w:t>
            </w:r>
            <w:r w:rsidRPr="00F36672">
              <w:rPr>
                <w:rFonts w:ascii="Arial Narrow" w:hAnsi="Arial Narrow" w:cs="Arial Narrow"/>
                <w:b/>
                <w:bCs/>
                <w:sz w:val="16"/>
                <w:szCs w:val="16"/>
              </w:rPr>
              <w:t>chrana ovzdušia</w:t>
            </w:r>
            <w:r>
              <w:rPr>
                <w:rFonts w:ascii="Arial Narrow" w:hAnsi="Arial Narrow" w:cs="Arial Narrow"/>
                <w:b/>
                <w:bCs/>
                <w:sz w:val="16"/>
                <w:szCs w:val="16"/>
              </w:rPr>
              <w:t xml:space="preserve"> celkom, z toho:</w:t>
            </w:r>
          </w:p>
        </w:tc>
        <w:tc>
          <w:tcPr>
            <w:tcW w:w="537"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20 670</w:t>
            </w:r>
          </w:p>
        </w:tc>
        <w:tc>
          <w:tcPr>
            <w:tcW w:w="576"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15 809</w:t>
            </w:r>
          </w:p>
        </w:tc>
        <w:tc>
          <w:tcPr>
            <w:tcW w:w="568"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24 445</w:t>
            </w:r>
          </w:p>
        </w:tc>
        <w:tc>
          <w:tcPr>
            <w:tcW w:w="483"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115 229</w:t>
            </w:r>
          </w:p>
        </w:tc>
        <w:tc>
          <w:tcPr>
            <w:tcW w:w="483"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19 806</w:t>
            </w:r>
          </w:p>
        </w:tc>
        <w:tc>
          <w:tcPr>
            <w:tcW w:w="484" w:type="pct"/>
            <w:tcBorders>
              <w:top w:val="single" w:sz="4" w:space="0" w:color="auto"/>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22 241</w:t>
            </w:r>
          </w:p>
        </w:tc>
      </w:tr>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textDirection w:val="lrTb"/>
            <w:vAlign w:val="bottom"/>
          </w:tcPr>
          <w:p w:rsidR="001E5B24" w:rsidRPr="00F36672" w:rsidP="001E5B24">
            <w:pPr>
              <w:bidi w:val="0"/>
              <w:rPr>
                <w:rFonts w:ascii="Arial Narrow" w:hAnsi="Arial Narrow" w:cs="Arial Narrow"/>
                <w:sz w:val="16"/>
                <w:szCs w:val="16"/>
              </w:rPr>
            </w:pPr>
            <w:r w:rsidRPr="00F36672">
              <w:rPr>
                <w:rFonts w:ascii="Arial Narrow" w:hAnsi="Arial Narrow" w:cs="Arial Narrow"/>
                <w:sz w:val="16"/>
                <w:szCs w:val="16"/>
              </w:rPr>
              <w:t>zdroj ŠR</w:t>
            </w:r>
            <w:r>
              <w:rPr>
                <w:rFonts w:ascii="Arial Narrow" w:hAnsi="Arial Narrow" w:cs="Arial Narrow"/>
                <w:sz w:val="16"/>
                <w:szCs w:val="16"/>
              </w:rPr>
              <w:t xml:space="preserve"> (SHMÚ)</w:t>
            </w:r>
          </w:p>
        </w:tc>
        <w:tc>
          <w:tcPr>
            <w:tcW w:w="537"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4 599</w:t>
            </w:r>
          </w:p>
        </w:tc>
        <w:tc>
          <w:tcPr>
            <w:tcW w:w="576"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3 350</w:t>
            </w:r>
          </w:p>
        </w:tc>
        <w:tc>
          <w:tcPr>
            <w:tcW w:w="568"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2 690</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3 906</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3 906</w:t>
            </w:r>
          </w:p>
        </w:tc>
        <w:tc>
          <w:tcPr>
            <w:tcW w:w="484" w:type="pct"/>
            <w:tcBorders>
              <w:top w:val="single" w:sz="4" w:space="0" w:color="auto"/>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3 906</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F36672" w:rsidP="001E5B24">
            <w:pPr>
              <w:bidi w:val="0"/>
              <w:rPr>
                <w:rFonts w:ascii="Arial Narrow" w:hAnsi="Arial Narrow" w:cs="Arial Narrow"/>
                <w:sz w:val="16"/>
                <w:szCs w:val="16"/>
              </w:rPr>
            </w:pPr>
            <w:r w:rsidRPr="00F36672">
              <w:rPr>
                <w:rFonts w:ascii="Arial Narrow" w:hAnsi="Arial Narrow" w:cs="Arial Narrow"/>
                <w:sz w:val="16"/>
                <w:szCs w:val="16"/>
              </w:rPr>
              <w:t>zdroj EU</w:t>
            </w:r>
          </w:p>
        </w:tc>
        <w:tc>
          <w:tcPr>
            <w:tcW w:w="537"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9 588</w:t>
            </w:r>
          </w:p>
        </w:tc>
        <w:tc>
          <w:tcPr>
            <w:tcW w:w="576"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10 486</w:t>
            </w:r>
          </w:p>
        </w:tc>
        <w:tc>
          <w:tcPr>
            <w:tcW w:w="568"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18 726</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97 832</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13 708</w:t>
            </w:r>
          </w:p>
        </w:tc>
        <w:tc>
          <w:tcPr>
            <w:tcW w:w="484"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15 637</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F36672" w:rsidP="001E5B24">
            <w:pPr>
              <w:bidi w:val="0"/>
              <w:rPr>
                <w:rFonts w:ascii="Arial Narrow" w:hAnsi="Arial Narrow" w:cs="Arial Narrow"/>
                <w:sz w:val="16"/>
                <w:szCs w:val="16"/>
              </w:rPr>
            </w:pPr>
            <w:r w:rsidRPr="00F36672">
              <w:rPr>
                <w:rFonts w:ascii="Arial Narrow" w:hAnsi="Arial Narrow" w:cs="Arial Narrow"/>
                <w:sz w:val="16"/>
                <w:szCs w:val="16"/>
              </w:rPr>
              <w:t>spolufinancovanie</w:t>
            </w:r>
          </w:p>
        </w:tc>
        <w:tc>
          <w:tcPr>
            <w:tcW w:w="537"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6 483</w:t>
            </w:r>
          </w:p>
        </w:tc>
        <w:tc>
          <w:tcPr>
            <w:tcW w:w="576"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1 973</w:t>
            </w:r>
          </w:p>
        </w:tc>
        <w:tc>
          <w:tcPr>
            <w:tcW w:w="568"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3 029</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13 491</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2 192</w:t>
            </w:r>
          </w:p>
        </w:tc>
        <w:tc>
          <w:tcPr>
            <w:tcW w:w="484"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2 698</w:t>
            </w:r>
          </w:p>
        </w:tc>
      </w:tr>
    </w:tbl>
    <w:p w:rsidR="001E5B24" w:rsidRPr="00BB4B53"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BB4B53">
        <w:rPr>
          <w:rFonts w:ascii="Arial Narrow" w:hAnsi="Arial Narrow" w:cs="Arial Narrow"/>
          <w:sz w:val="22"/>
          <w:szCs w:val="22"/>
        </w:rPr>
        <w:t>Výdavky</w:t>
      </w:r>
      <w:r>
        <w:rPr>
          <w:rFonts w:ascii="Arial Narrow" w:hAnsi="Arial Narrow" w:cs="Arial Narrow"/>
          <w:sz w:val="22"/>
          <w:szCs w:val="22"/>
        </w:rPr>
        <w:t xml:space="preserve"> </w:t>
      </w:r>
      <w:r w:rsidRPr="00BB4B53">
        <w:rPr>
          <w:rFonts w:ascii="Arial Narrow" w:hAnsi="Arial Narrow" w:cs="Arial Narrow"/>
          <w:sz w:val="22"/>
          <w:szCs w:val="22"/>
        </w:rPr>
        <w:t>na ochranu ovzdušia</w:t>
      </w:r>
      <w:r>
        <w:rPr>
          <w:rFonts w:ascii="Arial Narrow" w:hAnsi="Arial Narrow" w:cs="Arial Narrow"/>
          <w:sz w:val="22"/>
          <w:szCs w:val="22"/>
        </w:rPr>
        <w:t xml:space="preserve"> celkom</w:t>
      </w:r>
      <w:r w:rsidRPr="00BB4B53">
        <w:rPr>
          <w:rFonts w:ascii="Arial Narrow" w:hAnsi="Arial Narrow" w:cs="Arial Narrow"/>
          <w:sz w:val="22"/>
          <w:szCs w:val="22"/>
        </w:rPr>
        <w:t xml:space="preserve"> v roku 2011</w:t>
      </w:r>
      <w:r>
        <w:rPr>
          <w:rFonts w:ascii="Arial Narrow" w:hAnsi="Arial Narrow" w:cs="Arial Narrow"/>
          <w:sz w:val="22"/>
          <w:szCs w:val="22"/>
        </w:rPr>
        <w:t xml:space="preserve"> rastú v porovnaní so schváleným rozpočtom na rok </w:t>
      </w:r>
      <w:r w:rsidRPr="00BB4B53">
        <w:rPr>
          <w:rFonts w:ascii="Arial Narrow" w:hAnsi="Arial Narrow" w:cs="Arial Narrow"/>
          <w:sz w:val="22"/>
          <w:szCs w:val="22"/>
        </w:rPr>
        <w:t>2010 o 371 %, a pozostávajú z prostriedkov EÚ s nárastom  422 %</w:t>
      </w:r>
      <w:r>
        <w:rPr>
          <w:rFonts w:ascii="Arial Narrow" w:hAnsi="Arial Narrow" w:cs="Arial Narrow"/>
          <w:sz w:val="22"/>
          <w:szCs w:val="22"/>
        </w:rPr>
        <w:t>, ich spolufinancovania</w:t>
      </w:r>
      <w:r w:rsidRPr="00BB4B53">
        <w:rPr>
          <w:rFonts w:ascii="Arial Narrow" w:hAnsi="Arial Narrow" w:cs="Arial Narrow"/>
          <w:sz w:val="22"/>
          <w:szCs w:val="22"/>
        </w:rPr>
        <w:t xml:space="preserve">, ktoré rastú o 345 % a výdavkov ŠR, ktoré rastú  o 45,2 %. </w:t>
      </w:r>
      <w:r>
        <w:rPr>
          <w:rFonts w:ascii="Arial Narrow" w:hAnsi="Arial Narrow" w:cs="Arial Narrow"/>
          <w:sz w:val="22"/>
          <w:szCs w:val="22"/>
        </w:rPr>
        <w:t>V</w:t>
      </w:r>
      <w:r w:rsidRPr="00BB4B53">
        <w:rPr>
          <w:rFonts w:ascii="Arial Narrow" w:hAnsi="Arial Narrow" w:cs="Arial Narrow"/>
          <w:sz w:val="22"/>
          <w:szCs w:val="22"/>
        </w:rPr>
        <w:t>ýdavky</w:t>
      </w:r>
      <w:r>
        <w:rPr>
          <w:rFonts w:ascii="Arial Narrow" w:hAnsi="Arial Narrow" w:cs="Arial Narrow"/>
          <w:sz w:val="22"/>
          <w:szCs w:val="22"/>
        </w:rPr>
        <w:t xml:space="preserve"> v rámci tejto oblasti </w:t>
      </w:r>
      <w:r w:rsidRPr="00BB4B53">
        <w:rPr>
          <w:rFonts w:ascii="Arial Narrow" w:hAnsi="Arial Narrow" w:cs="Arial Narrow"/>
          <w:sz w:val="22"/>
          <w:szCs w:val="22"/>
        </w:rPr>
        <w:t>smerujú na financovanie konkrétnych projektov znižovania emisií znečisťujúcich látok, znižovanie emisií skleníkových plynov, ekologizáciu verejnej dopravy, výrobu energie z obnoviteľných zdrojov a zvýšenie energetickej efektívnosti</w:t>
      </w:r>
      <w:r w:rsidRPr="0048039F">
        <w:rPr>
          <w:rFonts w:ascii="Arial Narrow" w:hAnsi="Arial Narrow" w:cs="Arial Narrow"/>
          <w:sz w:val="22"/>
          <w:szCs w:val="22"/>
        </w:rPr>
        <w:t>. Prostriedky štátneho rozpočtu rastú z dôvodu zvýšeného transferu pre príspevkovú organizáciu Slovenský hydrometeorologický ústav. Kapitola sa rozhodla väčšiu časť  prostriedkov alokovať do oblasti ochrany ovzdušia z dôvodu reálnejšieho odzrkadlenia skutočnej činnosti organizácie, a to na úkor prostriedkov poskytovaných z oblasti vodného hospodárstva. Celkové výdavky, poskytované zo štátneho rozpočtu pre túto organizáciu klesajú medziročne o 10,9 %, pričom jej zdroje poskytnuté z vodného hospodárstva klesli medziročne o 44,6%.</w:t>
      </w:r>
    </w:p>
    <w:p w:rsidR="001E5B24" w:rsidP="001E5B24">
      <w:pPr>
        <w:bidi w:val="0"/>
        <w:spacing w:line="240" w:lineRule="atLeast"/>
        <w:jc w:val="both"/>
        <w:rPr>
          <w:rFonts w:ascii="Arial Narrow" w:hAnsi="Arial Narrow" w:cs="Arial Narrow"/>
          <w:sz w:val="22"/>
          <w:szCs w:val="22"/>
        </w:rPr>
      </w:pPr>
    </w:p>
    <w:p w:rsidR="001E5B24" w:rsidRPr="00252954" w:rsidP="001E5B24">
      <w:pPr>
        <w:bidi w:val="0"/>
        <w:spacing w:line="240" w:lineRule="atLeast"/>
        <w:jc w:val="both"/>
        <w:rPr>
          <w:rFonts w:ascii="Arial Narrow" w:hAnsi="Arial Narrow" w:cs="Arial Narrow"/>
          <w:sz w:val="22"/>
          <w:szCs w:val="22"/>
        </w:rPr>
      </w:pPr>
      <w:r w:rsidRPr="00252954">
        <w:rPr>
          <w:rFonts w:ascii="Arial Narrow" w:hAnsi="Arial Narrow" w:cs="Arial Narrow"/>
          <w:sz w:val="22"/>
          <w:szCs w:val="22"/>
        </w:rPr>
        <w:t>Odpadové hospodárstvo</w:t>
      </w:r>
    </w:p>
    <w:p w:rsidR="001E5B24" w:rsidRPr="00B255BA" w:rsidP="001E5B24">
      <w:pPr>
        <w:bidi w:val="0"/>
        <w:jc w:val="both"/>
        <w:rPr>
          <w:rFonts w:ascii="Arial Narrow" w:hAnsi="Arial Narrow" w:cs="Arial Narrow"/>
          <w:b/>
          <w:bCs/>
          <w:sz w:val="16"/>
          <w:szCs w:val="16"/>
        </w:rPr>
      </w:pPr>
    </w:p>
    <w:tbl>
      <w:tblPr>
        <w:tblStyle w:val="TableNormal"/>
        <w:tblW w:w="4962" w:type="pct"/>
        <w:tblInd w:w="70" w:type="dxa"/>
        <w:tblCellMar>
          <w:left w:w="70" w:type="dxa"/>
          <w:right w:w="70" w:type="dxa"/>
        </w:tblCellMar>
        <w:tblLook w:val="00A0"/>
      </w:tblPr>
      <w:tblGrid>
        <w:gridCol w:w="3417"/>
        <w:gridCol w:w="982"/>
        <w:gridCol w:w="1053"/>
        <w:gridCol w:w="1039"/>
        <w:gridCol w:w="883"/>
        <w:gridCol w:w="883"/>
        <w:gridCol w:w="885"/>
      </w:tblGrid>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37"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76"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68"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8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F36672" w:rsidP="001E5B24">
            <w:pPr>
              <w:bidi w:val="0"/>
              <w:rPr>
                <w:rFonts w:ascii="Arial Narrow" w:hAnsi="Arial Narrow" w:cs="Arial Narrow"/>
                <w:b/>
                <w:bCs/>
                <w:color w:val="000000"/>
                <w:sz w:val="16"/>
                <w:szCs w:val="16"/>
              </w:rPr>
            </w:pPr>
            <w:r>
              <w:rPr>
                <w:rFonts w:ascii="Arial Narrow" w:hAnsi="Arial Narrow" w:cs="Arial Narrow"/>
                <w:b/>
                <w:bCs/>
                <w:color w:val="000000"/>
                <w:sz w:val="16"/>
                <w:szCs w:val="16"/>
              </w:rPr>
              <w:t>O</w:t>
            </w:r>
            <w:r w:rsidRPr="00F36672">
              <w:rPr>
                <w:rFonts w:ascii="Arial Narrow" w:hAnsi="Arial Narrow" w:cs="Arial Narrow"/>
                <w:b/>
                <w:bCs/>
                <w:sz w:val="16"/>
                <w:szCs w:val="16"/>
              </w:rPr>
              <w:t>dpadové hospodárstvo</w:t>
            </w:r>
            <w:r>
              <w:rPr>
                <w:rFonts w:ascii="Arial Narrow" w:hAnsi="Arial Narrow" w:cs="Arial Narrow"/>
                <w:b/>
                <w:bCs/>
                <w:sz w:val="16"/>
                <w:szCs w:val="16"/>
              </w:rPr>
              <w:t xml:space="preserve"> celkom, z toho:</w:t>
            </w:r>
          </w:p>
        </w:tc>
        <w:tc>
          <w:tcPr>
            <w:tcW w:w="537"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10 224</w:t>
            </w:r>
          </w:p>
        </w:tc>
        <w:tc>
          <w:tcPr>
            <w:tcW w:w="576"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14 508</w:t>
            </w:r>
          </w:p>
        </w:tc>
        <w:tc>
          <w:tcPr>
            <w:tcW w:w="568"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67 258</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193 059</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70 999</w:t>
            </w:r>
          </w:p>
        </w:tc>
        <w:tc>
          <w:tcPr>
            <w:tcW w:w="484" w:type="pct"/>
            <w:tcBorders>
              <w:top w:val="nil"/>
              <w:left w:val="nil"/>
              <w:bottom w:val="single" w:sz="4" w:space="0" w:color="auto"/>
              <w:right w:val="single" w:sz="4" w:space="0" w:color="auto"/>
            </w:tcBorders>
            <w:shd w:val="clear" w:color="000000" w:fill="C0C0C0"/>
            <w:noWrap/>
            <w:textDirection w:val="lrTb"/>
            <w:vAlign w:val="bottom"/>
          </w:tcPr>
          <w:p w:rsidR="001E5B24" w:rsidRPr="00F36672" w:rsidP="001E5B24">
            <w:pPr>
              <w:bidi w:val="0"/>
              <w:jc w:val="right"/>
              <w:rPr>
                <w:rFonts w:ascii="Arial Narrow" w:hAnsi="Arial Narrow" w:cs="Arial Narrow"/>
                <w:b/>
                <w:bCs/>
                <w:color w:val="000000"/>
                <w:sz w:val="16"/>
                <w:szCs w:val="16"/>
              </w:rPr>
            </w:pPr>
            <w:r w:rsidRPr="00F36672">
              <w:rPr>
                <w:rFonts w:ascii="Arial Narrow" w:hAnsi="Arial Narrow" w:cs="Arial Narrow"/>
                <w:b/>
                <w:bCs/>
                <w:color w:val="000000"/>
                <w:sz w:val="16"/>
                <w:szCs w:val="16"/>
              </w:rPr>
              <w:t>73 652</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F36672" w:rsidP="001E5B24">
            <w:pPr>
              <w:bidi w:val="0"/>
              <w:rPr>
                <w:rFonts w:ascii="Arial Narrow" w:hAnsi="Arial Narrow" w:cs="Arial Narrow"/>
                <w:sz w:val="16"/>
                <w:szCs w:val="16"/>
              </w:rPr>
            </w:pPr>
            <w:r w:rsidRPr="00F36672">
              <w:rPr>
                <w:rFonts w:ascii="Arial Narrow" w:hAnsi="Arial Narrow" w:cs="Arial Narrow"/>
                <w:sz w:val="16"/>
                <w:szCs w:val="16"/>
              </w:rPr>
              <w:t>zdroj EU</w:t>
            </w:r>
          </w:p>
        </w:tc>
        <w:tc>
          <w:tcPr>
            <w:tcW w:w="537"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7 083</w:t>
            </w:r>
          </w:p>
        </w:tc>
        <w:tc>
          <w:tcPr>
            <w:tcW w:w="576"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12 889</w:t>
            </w:r>
          </w:p>
        </w:tc>
        <w:tc>
          <w:tcPr>
            <w:tcW w:w="568"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58 786</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165 269</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61 329</w:t>
            </w:r>
          </w:p>
        </w:tc>
        <w:tc>
          <w:tcPr>
            <w:tcW w:w="484"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63 579</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F36672" w:rsidP="001E5B24">
            <w:pPr>
              <w:bidi w:val="0"/>
              <w:rPr>
                <w:rFonts w:ascii="Arial Narrow" w:hAnsi="Arial Narrow" w:cs="Arial Narrow"/>
                <w:sz w:val="16"/>
                <w:szCs w:val="16"/>
              </w:rPr>
            </w:pPr>
            <w:r w:rsidRPr="00F36672">
              <w:rPr>
                <w:rFonts w:ascii="Arial Narrow" w:hAnsi="Arial Narrow" w:cs="Arial Narrow"/>
                <w:sz w:val="16"/>
                <w:szCs w:val="16"/>
              </w:rPr>
              <w:t>spolufinancovanie</w:t>
            </w:r>
          </w:p>
        </w:tc>
        <w:tc>
          <w:tcPr>
            <w:tcW w:w="537"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3 141</w:t>
            </w:r>
          </w:p>
        </w:tc>
        <w:tc>
          <w:tcPr>
            <w:tcW w:w="576"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1 619</w:t>
            </w:r>
          </w:p>
        </w:tc>
        <w:tc>
          <w:tcPr>
            <w:tcW w:w="568"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8 472</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27 790</w:t>
            </w:r>
          </w:p>
        </w:tc>
        <w:tc>
          <w:tcPr>
            <w:tcW w:w="483"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9 670</w:t>
            </w:r>
          </w:p>
        </w:tc>
        <w:tc>
          <w:tcPr>
            <w:tcW w:w="484" w:type="pct"/>
            <w:tcBorders>
              <w:top w:val="nil"/>
              <w:left w:val="nil"/>
              <w:bottom w:val="single" w:sz="4" w:space="0" w:color="auto"/>
              <w:right w:val="single" w:sz="4" w:space="0" w:color="auto"/>
            </w:tcBorders>
            <w:textDirection w:val="lrTb"/>
            <w:vAlign w:val="bottom"/>
          </w:tcPr>
          <w:p w:rsidR="001E5B24" w:rsidRPr="00F36672" w:rsidP="001E5B24">
            <w:pPr>
              <w:bidi w:val="0"/>
              <w:jc w:val="right"/>
              <w:rPr>
                <w:rFonts w:ascii="Arial Narrow" w:hAnsi="Arial Narrow" w:cs="Arial Narrow"/>
                <w:sz w:val="16"/>
                <w:szCs w:val="16"/>
              </w:rPr>
            </w:pPr>
            <w:r w:rsidRPr="00F36672">
              <w:rPr>
                <w:rFonts w:ascii="Arial Narrow" w:hAnsi="Arial Narrow" w:cs="Arial Narrow"/>
                <w:sz w:val="16"/>
                <w:szCs w:val="16"/>
              </w:rPr>
              <w:t>10 073</w:t>
            </w:r>
          </w:p>
        </w:tc>
      </w:tr>
    </w:tbl>
    <w:p w:rsidR="001E5B24" w:rsidRPr="00B255BA" w:rsidP="001E5B24">
      <w:pPr>
        <w:bidi w:val="0"/>
        <w:jc w:val="both"/>
        <w:rPr>
          <w:rFonts w:ascii="Arial Narrow" w:hAnsi="Arial Narrow" w:cs="Arial Narrow"/>
          <w:sz w:val="16"/>
          <w:szCs w:val="16"/>
        </w:rPr>
      </w:pPr>
    </w:p>
    <w:p w:rsidR="001E5B24" w:rsidRPr="00B255BA" w:rsidP="001E5B24">
      <w:pPr>
        <w:bidi w:val="0"/>
        <w:ind w:firstLine="708"/>
        <w:jc w:val="both"/>
        <w:rPr>
          <w:rFonts w:ascii="Arial Narrow" w:hAnsi="Arial Narrow" w:cs="Arial Narrow"/>
          <w:sz w:val="22"/>
          <w:szCs w:val="22"/>
        </w:rPr>
      </w:pPr>
      <w:r w:rsidRPr="00BB4B53">
        <w:rPr>
          <w:rFonts w:ascii="Arial Narrow" w:hAnsi="Arial Narrow" w:cs="Arial Narrow"/>
          <w:sz w:val="22"/>
          <w:szCs w:val="22"/>
        </w:rPr>
        <w:t>Na odpadové hospodárstvo a environmentálne rizikové faktory sa v roku 2011 rozpočtujú prostriedky o 187</w:t>
      </w:r>
      <w:r>
        <w:rPr>
          <w:rFonts w:ascii="Arial Narrow" w:hAnsi="Arial Narrow" w:cs="Arial Narrow"/>
          <w:sz w:val="22"/>
          <w:szCs w:val="22"/>
        </w:rPr>
        <w:t xml:space="preserve"> % vyššie ako v schválenom rozpočte na rok</w:t>
      </w:r>
      <w:r w:rsidRPr="00BB4B53">
        <w:rPr>
          <w:rFonts w:ascii="Arial Narrow" w:hAnsi="Arial Narrow" w:cs="Arial Narrow"/>
          <w:sz w:val="22"/>
          <w:szCs w:val="22"/>
        </w:rPr>
        <w:t xml:space="preserve"> 2010 a tvoria ich iba prostriedky </w:t>
      </w:r>
      <w:r>
        <w:rPr>
          <w:rFonts w:ascii="Arial Narrow" w:hAnsi="Arial Narrow" w:cs="Arial Narrow"/>
          <w:sz w:val="22"/>
          <w:szCs w:val="22"/>
        </w:rPr>
        <w:t>EÚ</w:t>
      </w:r>
      <w:r w:rsidRPr="00BB4B53">
        <w:rPr>
          <w:rFonts w:ascii="Arial Narrow" w:hAnsi="Arial Narrow" w:cs="Arial Narrow"/>
          <w:sz w:val="22"/>
          <w:szCs w:val="22"/>
        </w:rPr>
        <w:t xml:space="preserve"> a</w:t>
      </w:r>
      <w:r>
        <w:rPr>
          <w:rFonts w:ascii="Arial Narrow" w:hAnsi="Arial Narrow" w:cs="Arial Narrow"/>
          <w:sz w:val="22"/>
          <w:szCs w:val="22"/>
        </w:rPr>
        <w:t xml:space="preserve"> spolufinancovanie</w:t>
      </w:r>
      <w:r w:rsidRPr="00BB4B53">
        <w:rPr>
          <w:rFonts w:ascii="Arial Narrow" w:hAnsi="Arial Narrow" w:cs="Arial Narrow"/>
          <w:sz w:val="22"/>
          <w:szCs w:val="22"/>
        </w:rPr>
        <w:t>. Tieto prostriedky slúžia na dobudovanie infraštruktúry odpadového hospodárstva (recyklácia odpadov, uzatváranie a rekultivácia skládok odpadov) a elimináciu negatívnych vplyvov environmentálnych záťaží.</w:t>
      </w:r>
    </w:p>
    <w:p w:rsidR="001E5B24" w:rsidRPr="00B255BA" w:rsidP="001E5B24">
      <w:pPr>
        <w:bidi w:val="0"/>
        <w:jc w:val="both"/>
        <w:rPr>
          <w:rFonts w:ascii="Arial Narrow" w:hAnsi="Arial Narrow" w:cs="Arial Narrow"/>
          <w:sz w:val="16"/>
          <w:szCs w:val="16"/>
        </w:rPr>
      </w:pPr>
    </w:p>
    <w:p w:rsidR="001E5B24" w:rsidRPr="00252954" w:rsidP="001E5B24">
      <w:pPr>
        <w:bidi w:val="0"/>
        <w:jc w:val="both"/>
        <w:rPr>
          <w:rFonts w:ascii="Arial Narrow" w:hAnsi="Arial Narrow" w:cs="Arial Narrow"/>
          <w:sz w:val="22"/>
          <w:szCs w:val="22"/>
        </w:rPr>
      </w:pPr>
      <w:r w:rsidRPr="00252954">
        <w:rPr>
          <w:rFonts w:ascii="Arial Narrow" w:hAnsi="Arial Narrow" w:cs="Arial Narrow"/>
          <w:sz w:val="22"/>
          <w:szCs w:val="22"/>
        </w:rPr>
        <w:t xml:space="preserve"> Ochrana prírody a krajiny</w:t>
      </w:r>
    </w:p>
    <w:p w:rsidR="001E5B24" w:rsidRPr="00B255BA" w:rsidP="001E5B24">
      <w:pPr>
        <w:bidi w:val="0"/>
        <w:jc w:val="both"/>
        <w:rPr>
          <w:rFonts w:ascii="Arial Narrow" w:hAnsi="Arial Narrow" w:cs="Arial Narrow"/>
          <w:b/>
          <w:bCs/>
          <w:sz w:val="16"/>
          <w:szCs w:val="16"/>
        </w:rPr>
      </w:pPr>
    </w:p>
    <w:tbl>
      <w:tblPr>
        <w:tblStyle w:val="TableNormal"/>
        <w:tblW w:w="4962" w:type="pct"/>
        <w:tblInd w:w="70" w:type="dxa"/>
        <w:tblCellMar>
          <w:left w:w="70" w:type="dxa"/>
          <w:right w:w="70" w:type="dxa"/>
        </w:tblCellMar>
        <w:tblLook w:val="00A0"/>
      </w:tblPr>
      <w:tblGrid>
        <w:gridCol w:w="3417"/>
        <w:gridCol w:w="982"/>
        <w:gridCol w:w="1053"/>
        <w:gridCol w:w="1039"/>
        <w:gridCol w:w="883"/>
        <w:gridCol w:w="883"/>
        <w:gridCol w:w="885"/>
      </w:tblGrid>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37"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76"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68"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8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915682" w:rsidP="001E5B24">
            <w:pPr>
              <w:bidi w:val="0"/>
              <w:rPr>
                <w:rFonts w:ascii="Arial Narrow" w:hAnsi="Arial Narrow" w:cs="Arial Narrow"/>
                <w:b/>
                <w:bCs/>
                <w:color w:val="000000"/>
                <w:sz w:val="16"/>
                <w:szCs w:val="16"/>
              </w:rPr>
            </w:pPr>
            <w:r w:rsidRPr="00915682">
              <w:rPr>
                <w:rFonts w:ascii="Arial Narrow" w:hAnsi="Arial Narrow" w:cs="Arial Narrow"/>
                <w:b/>
                <w:bCs/>
                <w:color w:val="000000"/>
                <w:sz w:val="16"/>
                <w:szCs w:val="16"/>
              </w:rPr>
              <w:t xml:space="preserve"> </w:t>
            </w:r>
            <w:r>
              <w:rPr>
                <w:rFonts w:ascii="Arial Narrow" w:hAnsi="Arial Narrow" w:cs="Arial Narrow"/>
                <w:b/>
                <w:bCs/>
                <w:color w:val="000000"/>
                <w:sz w:val="16"/>
                <w:szCs w:val="16"/>
              </w:rPr>
              <w:t>O</w:t>
            </w:r>
            <w:r w:rsidRPr="00915682">
              <w:rPr>
                <w:rFonts w:ascii="Arial Narrow" w:hAnsi="Arial Narrow" w:cs="Arial Narrow"/>
                <w:b/>
                <w:bCs/>
                <w:sz w:val="16"/>
                <w:szCs w:val="16"/>
              </w:rPr>
              <w:t>chrana prírody a</w:t>
            </w:r>
            <w:r>
              <w:rPr>
                <w:rFonts w:ascii="Arial Narrow" w:hAnsi="Arial Narrow" w:cs="Arial Narrow"/>
                <w:b/>
                <w:bCs/>
                <w:sz w:val="16"/>
                <w:szCs w:val="16"/>
              </w:rPr>
              <w:t> </w:t>
            </w:r>
            <w:r w:rsidRPr="00915682">
              <w:rPr>
                <w:rFonts w:ascii="Arial Narrow" w:hAnsi="Arial Narrow" w:cs="Arial Narrow"/>
                <w:b/>
                <w:bCs/>
                <w:sz w:val="16"/>
                <w:szCs w:val="16"/>
              </w:rPr>
              <w:t>krajiny</w:t>
            </w:r>
            <w:r>
              <w:rPr>
                <w:rFonts w:ascii="Arial Narrow" w:hAnsi="Arial Narrow" w:cs="Arial Narrow"/>
                <w:b/>
                <w:bCs/>
                <w:sz w:val="16"/>
                <w:szCs w:val="16"/>
              </w:rPr>
              <w:t xml:space="preserve"> celkom, z toho:</w:t>
            </w:r>
          </w:p>
        </w:tc>
        <w:tc>
          <w:tcPr>
            <w:tcW w:w="537"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18 559</w:t>
            </w:r>
          </w:p>
        </w:tc>
        <w:tc>
          <w:tcPr>
            <w:tcW w:w="576"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18 256</w:t>
            </w:r>
          </w:p>
        </w:tc>
        <w:tc>
          <w:tcPr>
            <w:tcW w:w="568"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22 514</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47 414</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20 365</w:t>
            </w:r>
          </w:p>
        </w:tc>
        <w:tc>
          <w:tcPr>
            <w:tcW w:w="484"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21 428</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zdroj ŠR</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15 618</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14 730</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9 538</w:t>
            </w:r>
          </w:p>
        </w:tc>
        <w:tc>
          <w:tcPr>
            <w:tcW w:w="483" w:type="pct"/>
            <w:tcBorders>
              <w:top w:val="nil"/>
              <w:left w:val="nil"/>
              <w:bottom w:val="nil"/>
              <w:right w:val="nil"/>
            </w:tcBorders>
            <w:noWrap/>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8 488</w:t>
            </w:r>
          </w:p>
        </w:tc>
        <w:tc>
          <w:tcPr>
            <w:tcW w:w="483"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8 488</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8 489</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zdroj EU</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2 032</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1 674</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5 280</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27 587</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3 865</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4 409</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spolufinancovanie</w:t>
            </w:r>
          </w:p>
        </w:tc>
        <w:tc>
          <w:tcPr>
            <w:tcW w:w="537" w:type="pct"/>
            <w:tcBorders>
              <w:top w:val="nil"/>
              <w:left w:val="nil"/>
              <w:bottom w:val="nil"/>
              <w:right w:val="nil"/>
            </w:tcBorders>
            <w:noWrap/>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909</w:t>
            </w:r>
          </w:p>
        </w:tc>
        <w:tc>
          <w:tcPr>
            <w:tcW w:w="576"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1 846</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4 218</w:t>
            </w:r>
          </w:p>
        </w:tc>
        <w:tc>
          <w:tcPr>
            <w:tcW w:w="483" w:type="pct"/>
            <w:tcBorders>
              <w:top w:val="nil"/>
              <w:left w:val="nil"/>
              <w:bottom w:val="nil"/>
              <w:right w:val="nil"/>
            </w:tcBorders>
            <w:noWrap/>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7 751</w:t>
            </w:r>
          </w:p>
        </w:tc>
        <w:tc>
          <w:tcPr>
            <w:tcW w:w="483"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4 343</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4 680</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iné  zdroje*</w:t>
            </w:r>
          </w:p>
        </w:tc>
        <w:tc>
          <w:tcPr>
            <w:tcW w:w="537" w:type="pct"/>
            <w:tcBorders>
              <w:top w:val="single" w:sz="4" w:space="0" w:color="auto"/>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6</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3 478</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3 587</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3 669</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3 850</w:t>
            </w:r>
          </w:p>
        </w:tc>
      </w:tr>
    </w:tbl>
    <w:p w:rsidR="001E5B24" w:rsidRPr="00EE7AF6" w:rsidP="001E5B24">
      <w:pPr>
        <w:bidi w:val="0"/>
        <w:jc w:val="both"/>
        <w:rPr>
          <w:rFonts w:ascii="Arial Narrow" w:hAnsi="Arial Narrow" w:cs="Arial Narrow"/>
          <w:sz w:val="16"/>
          <w:szCs w:val="16"/>
        </w:rPr>
      </w:pPr>
      <w:r w:rsidRPr="00EE7AF6">
        <w:rPr>
          <w:rFonts w:ascii="Arial Narrow" w:hAnsi="Arial Narrow" w:cs="Arial Narrow"/>
          <w:sz w:val="16"/>
          <w:szCs w:val="16"/>
        </w:rPr>
        <w:t xml:space="preserve"> *   ISPA, Interreg III B, LIFE+, Finančný mechanizmus EHP, Nórsky finančný mechanizmus  a iné</w:t>
      </w:r>
    </w:p>
    <w:p w:rsidR="001E5B24" w:rsidRPr="00EE7AF6" w:rsidP="001E5B24">
      <w:pPr>
        <w:bidi w:val="0"/>
        <w:jc w:val="both"/>
        <w:rPr>
          <w:rFonts w:ascii="Arial Narrow" w:hAnsi="Arial Narrow" w:cs="Arial Narrow"/>
          <w:sz w:val="16"/>
          <w:szCs w:val="16"/>
        </w:rPr>
      </w:pPr>
    </w:p>
    <w:p w:rsidR="001E5B24" w:rsidRPr="00BB4B53" w:rsidP="001E5B24">
      <w:pPr>
        <w:bidi w:val="0"/>
        <w:ind w:firstLine="708"/>
        <w:jc w:val="both"/>
        <w:rPr>
          <w:rFonts w:ascii="Arial Narrow" w:hAnsi="Arial Narrow" w:cs="Arial Narrow"/>
          <w:sz w:val="22"/>
          <w:szCs w:val="22"/>
        </w:rPr>
      </w:pPr>
      <w:r w:rsidRPr="00BB4B53">
        <w:rPr>
          <w:rFonts w:ascii="Arial Narrow" w:hAnsi="Arial Narrow" w:cs="Arial Narrow"/>
          <w:sz w:val="22"/>
          <w:szCs w:val="22"/>
        </w:rPr>
        <w:t xml:space="preserve">Na ochranu prírody a krajiny sa v roku 2011  výdavky rozpočtujú o 111 </w:t>
      </w:r>
      <w:r>
        <w:rPr>
          <w:rFonts w:ascii="Arial Narrow" w:hAnsi="Arial Narrow" w:cs="Arial Narrow"/>
          <w:sz w:val="22"/>
          <w:szCs w:val="22"/>
        </w:rPr>
        <w:t xml:space="preserve">% vyššie ako v schválenom rozpočte roku </w:t>
      </w:r>
      <w:r w:rsidRPr="00BB4B53">
        <w:rPr>
          <w:rFonts w:ascii="Arial Narrow" w:hAnsi="Arial Narrow" w:cs="Arial Narrow"/>
          <w:sz w:val="22"/>
          <w:szCs w:val="22"/>
        </w:rPr>
        <w:t>2010 a sú to vlastné prostriedky kapitoly s medziročným poklesom 11%, prostriedky EÚ s nárastom 422 %, spolufinancovanie pros</w:t>
      </w:r>
      <w:r>
        <w:rPr>
          <w:rFonts w:ascii="Arial Narrow" w:hAnsi="Arial Narrow" w:cs="Arial Narrow"/>
          <w:sz w:val="22"/>
          <w:szCs w:val="22"/>
        </w:rPr>
        <w:t>triedkov EÚ</w:t>
      </w:r>
      <w:r w:rsidRPr="00BB4B53">
        <w:rPr>
          <w:rFonts w:ascii="Arial Narrow" w:hAnsi="Arial Narrow" w:cs="Arial Narrow"/>
          <w:sz w:val="22"/>
          <w:szCs w:val="22"/>
        </w:rPr>
        <w:t>,</w:t>
      </w:r>
      <w:r>
        <w:rPr>
          <w:rFonts w:ascii="Arial Narrow" w:hAnsi="Arial Narrow" w:cs="Arial Narrow"/>
          <w:sz w:val="22"/>
          <w:szCs w:val="22"/>
        </w:rPr>
        <w:t xml:space="preserve"> </w:t>
      </w:r>
      <w:r w:rsidRPr="00BB4B53">
        <w:rPr>
          <w:rFonts w:ascii="Arial Narrow" w:hAnsi="Arial Narrow" w:cs="Arial Narrow"/>
          <w:sz w:val="22"/>
          <w:szCs w:val="22"/>
        </w:rPr>
        <w:t>ktoré rastú o 83,8 % a prostriedky finančného nástroja pre životné prostredie LIFE+, určené hlavne na dobudovanie infraštruktúry ochrany prírody (sústava chránených území NATURA 2000).</w:t>
      </w:r>
    </w:p>
    <w:p w:rsidR="001E5B24" w:rsidRPr="00B255BA" w:rsidP="001E5B24">
      <w:pPr>
        <w:bidi w:val="0"/>
        <w:jc w:val="both"/>
        <w:rPr>
          <w:rFonts w:ascii="Arial Narrow" w:hAnsi="Arial Narrow" w:cs="Arial Narrow"/>
          <w:sz w:val="16"/>
          <w:szCs w:val="16"/>
        </w:rPr>
      </w:pPr>
    </w:p>
    <w:p w:rsidR="001E5B24" w:rsidRPr="00252954" w:rsidP="001E5B24">
      <w:pPr>
        <w:bidi w:val="0"/>
        <w:jc w:val="both"/>
        <w:rPr>
          <w:rFonts w:ascii="Arial Narrow" w:hAnsi="Arial Narrow" w:cs="Arial Narrow"/>
          <w:sz w:val="22"/>
          <w:szCs w:val="22"/>
        </w:rPr>
      </w:pPr>
      <w:r w:rsidRPr="00252954">
        <w:rPr>
          <w:rFonts w:ascii="Arial Narrow" w:hAnsi="Arial Narrow" w:cs="Arial Narrow"/>
          <w:sz w:val="22"/>
          <w:szCs w:val="22"/>
        </w:rPr>
        <w:t xml:space="preserve"> Inštitucionálna podpora </w:t>
      </w:r>
    </w:p>
    <w:p w:rsidR="001E5B24" w:rsidRPr="00B255BA" w:rsidP="001E5B24">
      <w:pPr>
        <w:bidi w:val="0"/>
        <w:jc w:val="both"/>
        <w:rPr>
          <w:rFonts w:ascii="Arial Narrow" w:hAnsi="Arial Narrow" w:cs="Arial Narrow"/>
          <w:b/>
          <w:bCs/>
          <w:sz w:val="16"/>
          <w:szCs w:val="16"/>
        </w:rPr>
      </w:pPr>
    </w:p>
    <w:tbl>
      <w:tblPr>
        <w:tblStyle w:val="TableNormal"/>
        <w:tblW w:w="4962" w:type="pct"/>
        <w:tblInd w:w="70" w:type="dxa"/>
        <w:tblCellMar>
          <w:left w:w="70" w:type="dxa"/>
          <w:right w:w="70" w:type="dxa"/>
        </w:tblCellMar>
        <w:tblLook w:val="00A0"/>
      </w:tblPr>
      <w:tblGrid>
        <w:gridCol w:w="3417"/>
        <w:gridCol w:w="982"/>
        <w:gridCol w:w="1053"/>
        <w:gridCol w:w="1039"/>
        <w:gridCol w:w="883"/>
        <w:gridCol w:w="883"/>
        <w:gridCol w:w="885"/>
      </w:tblGrid>
      <w:tr>
        <w:tblPrEx>
          <w:tblW w:w="4962" w:type="pct"/>
          <w:tblInd w:w="70" w:type="dxa"/>
          <w:tblCellMar>
            <w:left w:w="70" w:type="dxa"/>
            <w:right w:w="70" w:type="dxa"/>
          </w:tblCellMar>
          <w:tblLook w:val="00A0"/>
        </w:tblPrEx>
        <w:trPr>
          <w:trHeight w:val="255"/>
        </w:trPr>
        <w:tc>
          <w:tcPr>
            <w:tcW w:w="186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37"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76"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68"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83"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84" w:type="pct"/>
            <w:tcBorders>
              <w:top w:val="single" w:sz="4" w:space="0" w:color="auto"/>
              <w:left w:val="nil"/>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915682" w:rsidP="001E5B24">
            <w:pPr>
              <w:bidi w:val="0"/>
              <w:rPr>
                <w:rFonts w:ascii="Arial Narrow" w:hAnsi="Arial Narrow" w:cs="Arial Narrow"/>
                <w:b/>
                <w:bCs/>
                <w:color w:val="000000"/>
                <w:sz w:val="16"/>
                <w:szCs w:val="16"/>
              </w:rPr>
            </w:pPr>
            <w:r>
              <w:rPr>
                <w:rFonts w:ascii="Arial Narrow" w:hAnsi="Arial Narrow" w:cs="Arial Narrow"/>
                <w:b/>
                <w:bCs/>
                <w:color w:val="000000"/>
                <w:sz w:val="16"/>
                <w:szCs w:val="16"/>
              </w:rPr>
              <w:t>I</w:t>
            </w:r>
            <w:r w:rsidRPr="00915682">
              <w:rPr>
                <w:rFonts w:ascii="Arial Narrow" w:hAnsi="Arial Narrow" w:cs="Arial Narrow"/>
                <w:b/>
                <w:bCs/>
                <w:sz w:val="16"/>
                <w:szCs w:val="16"/>
              </w:rPr>
              <w:t>nštitucionálna podpora</w:t>
            </w:r>
            <w:r>
              <w:rPr>
                <w:rFonts w:ascii="Arial Narrow" w:hAnsi="Arial Narrow" w:cs="Arial Narrow"/>
                <w:b/>
                <w:bCs/>
                <w:sz w:val="16"/>
                <w:szCs w:val="16"/>
              </w:rPr>
              <w:t xml:space="preserve"> celkom, z toho:</w:t>
            </w:r>
          </w:p>
        </w:tc>
        <w:tc>
          <w:tcPr>
            <w:tcW w:w="537"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42 705</w:t>
            </w:r>
          </w:p>
        </w:tc>
        <w:tc>
          <w:tcPr>
            <w:tcW w:w="576"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56 287</w:t>
            </w:r>
          </w:p>
        </w:tc>
        <w:tc>
          <w:tcPr>
            <w:tcW w:w="568"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44 642</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50 730</w:t>
            </w:r>
          </w:p>
        </w:tc>
        <w:tc>
          <w:tcPr>
            <w:tcW w:w="483"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43 327</w:t>
            </w:r>
          </w:p>
        </w:tc>
        <w:tc>
          <w:tcPr>
            <w:tcW w:w="484" w:type="pct"/>
            <w:tcBorders>
              <w:top w:val="nil"/>
              <w:left w:val="nil"/>
              <w:bottom w:val="single" w:sz="4" w:space="0" w:color="auto"/>
              <w:right w:val="single" w:sz="4" w:space="0" w:color="auto"/>
            </w:tcBorders>
            <w:shd w:val="clear" w:color="000000" w:fill="C0C0C0"/>
            <w:noWrap/>
            <w:textDirection w:val="lrTb"/>
            <w:vAlign w:val="bottom"/>
          </w:tcPr>
          <w:p w:rsidR="001E5B24" w:rsidRPr="00915682" w:rsidP="001E5B24">
            <w:pPr>
              <w:bidi w:val="0"/>
              <w:jc w:val="right"/>
              <w:rPr>
                <w:rFonts w:ascii="Arial Narrow" w:hAnsi="Arial Narrow" w:cs="Arial Narrow"/>
                <w:b/>
                <w:bCs/>
                <w:color w:val="000000"/>
                <w:sz w:val="16"/>
                <w:szCs w:val="16"/>
              </w:rPr>
            </w:pPr>
            <w:r w:rsidRPr="00915682">
              <w:rPr>
                <w:rFonts w:ascii="Arial Narrow" w:hAnsi="Arial Narrow" w:cs="Arial Narrow"/>
                <w:b/>
                <w:bCs/>
                <w:color w:val="000000"/>
                <w:sz w:val="16"/>
                <w:szCs w:val="16"/>
              </w:rPr>
              <w:t>43 602</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zdroj ŠR</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38 112</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42 558</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37 459</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35 653</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35 887</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35 886</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presun z min. rokov § 8</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517</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zdroj EU</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2 801</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11 464</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5 891</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12 197</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6 145</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6 370</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spolufinancovanie</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1 189</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2 046</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1 107</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2 842</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1 256</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1 307</w:t>
            </w:r>
          </w:p>
        </w:tc>
      </w:tr>
      <w:tr>
        <w:tblPrEx>
          <w:tblW w:w="4962" w:type="pct"/>
          <w:tblInd w:w="70" w:type="dxa"/>
          <w:tblCellMar>
            <w:left w:w="70" w:type="dxa"/>
            <w:right w:w="70" w:type="dxa"/>
          </w:tblCellMar>
          <w:tblLook w:val="00A0"/>
        </w:tblPrEx>
        <w:trPr>
          <w:trHeight w:val="255"/>
        </w:trPr>
        <w:tc>
          <w:tcPr>
            <w:tcW w:w="1869" w:type="pct"/>
            <w:tcBorders>
              <w:top w:val="nil"/>
              <w:left w:val="single" w:sz="4" w:space="0" w:color="auto"/>
              <w:bottom w:val="single" w:sz="4" w:space="0" w:color="auto"/>
              <w:right w:val="single" w:sz="4" w:space="0" w:color="auto"/>
            </w:tcBorders>
            <w:textDirection w:val="lrTb"/>
            <w:vAlign w:val="bottom"/>
          </w:tcPr>
          <w:p w:rsidR="001E5B24" w:rsidRPr="00915682" w:rsidP="001E5B24">
            <w:pPr>
              <w:bidi w:val="0"/>
              <w:rPr>
                <w:rFonts w:ascii="Arial Narrow" w:hAnsi="Arial Narrow" w:cs="Arial Narrow"/>
                <w:sz w:val="16"/>
                <w:szCs w:val="16"/>
              </w:rPr>
            </w:pPr>
            <w:r w:rsidRPr="00915682">
              <w:rPr>
                <w:rFonts w:ascii="Arial Narrow" w:hAnsi="Arial Narrow" w:cs="Arial Narrow"/>
                <w:sz w:val="16"/>
                <w:szCs w:val="16"/>
              </w:rPr>
              <w:t>iné  zdroje*</w:t>
            </w:r>
          </w:p>
        </w:tc>
        <w:tc>
          <w:tcPr>
            <w:tcW w:w="537"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87</w:t>
            </w:r>
          </w:p>
        </w:tc>
        <w:tc>
          <w:tcPr>
            <w:tcW w:w="576"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219</w:t>
            </w:r>
          </w:p>
        </w:tc>
        <w:tc>
          <w:tcPr>
            <w:tcW w:w="568"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185</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38</w:t>
            </w:r>
          </w:p>
        </w:tc>
        <w:tc>
          <w:tcPr>
            <w:tcW w:w="483"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39</w:t>
            </w:r>
          </w:p>
        </w:tc>
        <w:tc>
          <w:tcPr>
            <w:tcW w:w="484" w:type="pct"/>
            <w:tcBorders>
              <w:top w:val="nil"/>
              <w:left w:val="nil"/>
              <w:bottom w:val="single" w:sz="4" w:space="0" w:color="auto"/>
              <w:right w:val="single" w:sz="4" w:space="0" w:color="auto"/>
            </w:tcBorders>
            <w:textDirection w:val="lrTb"/>
            <w:vAlign w:val="bottom"/>
          </w:tcPr>
          <w:p w:rsidR="001E5B24" w:rsidRPr="00915682" w:rsidP="001E5B24">
            <w:pPr>
              <w:bidi w:val="0"/>
              <w:jc w:val="right"/>
              <w:rPr>
                <w:rFonts w:ascii="Arial Narrow" w:hAnsi="Arial Narrow" w:cs="Arial Narrow"/>
                <w:sz w:val="16"/>
                <w:szCs w:val="16"/>
              </w:rPr>
            </w:pPr>
            <w:r w:rsidRPr="00915682">
              <w:rPr>
                <w:rFonts w:ascii="Arial Narrow" w:hAnsi="Arial Narrow" w:cs="Arial Narrow"/>
                <w:sz w:val="16"/>
                <w:szCs w:val="16"/>
              </w:rPr>
              <w:t>39</w:t>
            </w:r>
          </w:p>
        </w:tc>
      </w:tr>
    </w:tbl>
    <w:p w:rsidR="001E5B24" w:rsidRPr="00EE7AF6" w:rsidP="001E5B24">
      <w:pPr>
        <w:bidi w:val="0"/>
        <w:jc w:val="both"/>
        <w:rPr>
          <w:rFonts w:ascii="Arial Narrow" w:hAnsi="Arial Narrow" w:cs="Arial Narrow"/>
          <w:sz w:val="16"/>
          <w:szCs w:val="16"/>
        </w:rPr>
      </w:pPr>
      <w:r w:rsidRPr="00EE7AF6">
        <w:rPr>
          <w:rFonts w:ascii="Arial Narrow" w:hAnsi="Arial Narrow" w:cs="Arial Narrow"/>
          <w:sz w:val="16"/>
          <w:szCs w:val="16"/>
        </w:rPr>
        <w:t xml:space="preserve"> *   ISPA, Interreg III B, LIFE+, Finančný mechanizmus EHP, Nórsky finančný mechanizmus  a iné</w:t>
      </w:r>
    </w:p>
    <w:p w:rsidR="001E5B24" w:rsidRPr="00EE7AF6" w:rsidP="001E5B24">
      <w:pPr>
        <w:bidi w:val="0"/>
        <w:jc w:val="both"/>
        <w:rPr>
          <w:rFonts w:ascii="Arial Narrow" w:hAnsi="Arial Narrow" w:cs="Arial Narrow"/>
          <w:sz w:val="22"/>
          <w:szCs w:val="22"/>
        </w:rPr>
      </w:pPr>
    </w:p>
    <w:p w:rsidR="001E5B24" w:rsidRPr="00B04DE7" w:rsidP="001E5B24">
      <w:pPr>
        <w:bidi w:val="0"/>
        <w:ind w:firstLine="708"/>
        <w:jc w:val="both"/>
        <w:rPr>
          <w:rFonts w:ascii="Arial Narrow" w:hAnsi="Arial Narrow" w:cs="Arial Narrow"/>
          <w:sz w:val="22"/>
          <w:szCs w:val="22"/>
        </w:rPr>
      </w:pPr>
      <w:r w:rsidRPr="00BB4B53">
        <w:rPr>
          <w:rFonts w:ascii="Arial Narrow" w:hAnsi="Arial Narrow" w:cs="Arial Narrow"/>
          <w:sz w:val="22"/>
          <w:szCs w:val="22"/>
        </w:rPr>
        <w:t xml:space="preserve">Na inštitucionálnu podporu je v roku 2011 </w:t>
      </w:r>
      <w:r>
        <w:rPr>
          <w:rFonts w:ascii="Arial Narrow" w:hAnsi="Arial Narrow" w:cs="Arial Narrow"/>
          <w:sz w:val="22"/>
          <w:szCs w:val="22"/>
        </w:rPr>
        <w:t xml:space="preserve">spolu </w:t>
      </w:r>
      <w:r w:rsidRPr="00BB4B53">
        <w:rPr>
          <w:rFonts w:ascii="Arial Narrow" w:hAnsi="Arial Narrow" w:cs="Arial Narrow"/>
          <w:sz w:val="22"/>
          <w:szCs w:val="22"/>
        </w:rPr>
        <w:t>vyčlenených 50,7 mil. eur, čo predstavuje</w:t>
      </w:r>
      <w:r>
        <w:rPr>
          <w:rFonts w:ascii="Arial Narrow" w:hAnsi="Arial Narrow" w:cs="Arial Narrow"/>
          <w:sz w:val="22"/>
          <w:szCs w:val="22"/>
        </w:rPr>
        <w:t xml:space="preserve"> v porovnaní so schváleným rozpočtom roku 2010 nárast </w:t>
      </w:r>
      <w:r w:rsidRPr="00BB4B53">
        <w:rPr>
          <w:rFonts w:ascii="Arial Narrow" w:hAnsi="Arial Narrow" w:cs="Arial Narrow"/>
          <w:sz w:val="22"/>
          <w:szCs w:val="22"/>
        </w:rPr>
        <w:t>o 13,6 %</w:t>
      </w:r>
      <w:r>
        <w:rPr>
          <w:rFonts w:ascii="Arial Narrow" w:hAnsi="Arial Narrow" w:cs="Arial Narrow"/>
          <w:sz w:val="22"/>
          <w:szCs w:val="22"/>
        </w:rPr>
        <w:t xml:space="preserve"> a tvoria</w:t>
      </w:r>
      <w:r w:rsidRPr="00BB4B53">
        <w:rPr>
          <w:rFonts w:ascii="Arial Narrow" w:hAnsi="Arial Narrow" w:cs="Arial Narrow"/>
          <w:sz w:val="22"/>
          <w:szCs w:val="22"/>
        </w:rPr>
        <w:t xml:space="preserve"> ich  prostriedky</w:t>
      </w:r>
      <w:r>
        <w:rPr>
          <w:rFonts w:ascii="Arial Narrow" w:hAnsi="Arial Narrow" w:cs="Arial Narrow"/>
          <w:sz w:val="22"/>
          <w:szCs w:val="22"/>
        </w:rPr>
        <w:t xml:space="preserve"> štátneho rozpočtu</w:t>
      </w:r>
      <w:r w:rsidRPr="00BB4B53">
        <w:rPr>
          <w:rFonts w:ascii="Arial Narrow" w:hAnsi="Arial Narrow" w:cs="Arial Narrow"/>
          <w:sz w:val="22"/>
          <w:szCs w:val="22"/>
        </w:rPr>
        <w:t>,</w:t>
      </w:r>
      <w:r w:rsidR="00475F5B">
        <w:rPr>
          <w:rFonts w:ascii="Arial Narrow" w:hAnsi="Arial Narrow" w:cs="Arial Narrow"/>
          <w:sz w:val="22"/>
          <w:szCs w:val="22"/>
        </w:rPr>
        <w:t xml:space="preserve"> </w:t>
      </w:r>
      <w:r w:rsidRPr="00BB4B53">
        <w:rPr>
          <w:rFonts w:ascii="Arial Narrow" w:hAnsi="Arial Narrow" w:cs="Arial Narrow"/>
          <w:sz w:val="22"/>
          <w:szCs w:val="22"/>
        </w:rPr>
        <w:t xml:space="preserve">s medziročným poklesom 4,8 % a prostriedky ES s medziročným  nárastom na úrovni 107 %. </w:t>
      </w:r>
      <w:r>
        <w:rPr>
          <w:rFonts w:ascii="Arial Narrow" w:hAnsi="Arial Narrow" w:cs="Arial Narrow"/>
          <w:sz w:val="22"/>
          <w:szCs w:val="22"/>
        </w:rPr>
        <w:t>V</w:t>
      </w:r>
      <w:r w:rsidRPr="00BB4B53">
        <w:rPr>
          <w:rFonts w:ascii="Arial Narrow" w:hAnsi="Arial Narrow" w:cs="Arial Narrow"/>
          <w:sz w:val="22"/>
          <w:szCs w:val="22"/>
        </w:rPr>
        <w:t>ýdavky</w:t>
      </w:r>
      <w:r>
        <w:rPr>
          <w:rFonts w:ascii="Arial Narrow" w:hAnsi="Arial Narrow" w:cs="Arial Narrow"/>
          <w:sz w:val="22"/>
          <w:szCs w:val="22"/>
        </w:rPr>
        <w:t xml:space="preserve"> určené na inštitucionálnu pomoc</w:t>
      </w:r>
      <w:r w:rsidRPr="00BB4B53">
        <w:rPr>
          <w:rFonts w:ascii="Arial Narrow" w:hAnsi="Arial Narrow" w:cs="Arial Narrow"/>
          <w:sz w:val="22"/>
          <w:szCs w:val="22"/>
        </w:rPr>
        <w:t xml:space="preserve"> pokrývajú najmä činnosti vykonávané ústredným orgánom, Slovenskou inšpekciou životného prostredia, Slovenskou agentúrou životného prostredia, špecializovanou miestnou štátnou správou - úradmi životného prostredia. Okrem týchto výdavkov na administratívu sem patria prostriedky určené na výchovu, vzdelávanie, propagáciu, prieskum, výskum, vývoj, technickú pomoc, prostriedky určené na plnenie medzinárodných zmlúv v súvislosti s výstavbou vodných diel Gabčíkovo – Nagymaros, výdavky na oficiálnu rozvojovú pomoc, hospodársku mobilizáciu a podporu územnej </w:t>
      </w:r>
      <w:r w:rsidRPr="00314343">
        <w:rPr>
          <w:rFonts w:ascii="Arial Narrow" w:hAnsi="Arial Narrow" w:cs="Arial Narrow"/>
          <w:sz w:val="22"/>
          <w:szCs w:val="22"/>
        </w:rPr>
        <w:t>spolupráce. Prostriedky</w:t>
      </w:r>
      <w:r w:rsidRPr="0048039F">
        <w:rPr>
          <w:rFonts w:ascii="Arial Narrow" w:hAnsi="Arial Narrow" w:cs="Arial Narrow"/>
          <w:sz w:val="22"/>
          <w:szCs w:val="22"/>
        </w:rPr>
        <w:t xml:space="preserve"> štátneho rozpočtu neklesajú v plnej miere z dôvodu rozhodnutia kapitoly premietnuť viazanie vo väčšej miere na svojich príspevkových organizáciách a nie </w:t>
      </w:r>
      <w:r>
        <w:rPr>
          <w:rFonts w:ascii="Arial Narrow" w:hAnsi="Arial Narrow" w:cs="Arial Narrow"/>
          <w:sz w:val="22"/>
          <w:szCs w:val="22"/>
        </w:rPr>
        <w:t>na vlastnom úrade.</w:t>
      </w:r>
    </w:p>
    <w:p w:rsidR="00DB4442" w:rsidP="00026163">
      <w:pPr>
        <w:bidi w:val="0"/>
        <w:jc w:val="both"/>
        <w:rPr>
          <w:rFonts w:ascii="Arial Narrow" w:hAnsi="Arial Narrow" w:cs="Arial Narrow"/>
          <w:b/>
          <w:bCs/>
          <w:sz w:val="22"/>
          <w:szCs w:val="22"/>
        </w:rPr>
      </w:pPr>
    </w:p>
    <w:p w:rsidR="00DB4442" w:rsidP="00026163">
      <w:pPr>
        <w:bidi w:val="0"/>
        <w:jc w:val="both"/>
        <w:rPr>
          <w:rFonts w:ascii="Arial Narrow" w:hAnsi="Arial Narrow" w:cs="Arial Narrow"/>
          <w:b/>
          <w:bCs/>
          <w:sz w:val="22"/>
          <w:szCs w:val="22"/>
        </w:rPr>
      </w:pPr>
    </w:p>
    <w:p w:rsidR="00DB4442" w:rsidP="00026163">
      <w:pP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r w:rsidRPr="00BC03F9">
        <w:rPr>
          <w:rFonts w:ascii="Arial Narrow" w:hAnsi="Arial Narrow" w:cs="Arial Narrow"/>
          <w:b/>
          <w:bCs/>
          <w:sz w:val="22"/>
          <w:szCs w:val="22"/>
        </w:rPr>
        <w:t>Ministerstvo obrany SR</w:t>
      </w:r>
    </w:p>
    <w:p w:rsidR="001E5B24" w:rsidP="001E5B24">
      <w:pPr>
        <w:bidi w:val="0"/>
        <w:jc w:val="both"/>
        <w:rPr>
          <w:rFonts w:ascii="Arial Narrow" w:hAnsi="Arial Narrow" w:cs="Arial Narrow"/>
          <w:sz w:val="22"/>
          <w:szCs w:val="22"/>
        </w:rPr>
      </w:pPr>
    </w:p>
    <w:p w:rsidR="00BC03F9" w:rsidP="00BC03F9">
      <w:pPr>
        <w:bidi w:val="0"/>
        <w:jc w:val="both"/>
        <w:rPr>
          <w:rFonts w:ascii="Arial Narrow" w:hAnsi="Arial Narrow" w:cs="Arial Narrow"/>
          <w:sz w:val="22"/>
          <w:szCs w:val="22"/>
        </w:rPr>
      </w:pPr>
      <w:r>
        <w:rPr>
          <w:rFonts w:ascii="Arial Narrow" w:hAnsi="Arial Narrow" w:cs="Arial Narrow"/>
          <w:sz w:val="22"/>
          <w:szCs w:val="22"/>
        </w:rPr>
        <w:t>Obranné výdavky</w:t>
      </w:r>
    </w:p>
    <w:p w:rsidR="00BC03F9" w:rsidP="00BC03F9">
      <w:pPr>
        <w:bidi w:val="0"/>
        <w:jc w:val="both"/>
        <w:rPr>
          <w:rFonts w:ascii="Arial Narrow" w:hAnsi="Arial Narrow" w:cs="Arial Narrow"/>
          <w:sz w:val="22"/>
          <w:szCs w:val="22"/>
        </w:rPr>
      </w:pPr>
    </w:p>
    <w:p w:rsidR="00BC03F9" w:rsidRPr="00FD0A9B" w:rsidP="00BC03F9">
      <w:pPr>
        <w:bidi w:val="0"/>
        <w:ind w:firstLine="708"/>
        <w:jc w:val="both"/>
        <w:rPr>
          <w:rFonts w:ascii="Arial Narrow" w:hAnsi="Arial Narrow" w:cs="Arial Narrow"/>
          <w:sz w:val="22"/>
          <w:szCs w:val="22"/>
        </w:rPr>
      </w:pPr>
      <w:r w:rsidRPr="00FD0A9B">
        <w:rPr>
          <w:rFonts w:ascii="Arial Narrow" w:hAnsi="Arial Narrow" w:cs="Arial Narrow"/>
          <w:sz w:val="22"/>
          <w:szCs w:val="22"/>
        </w:rPr>
        <w:t xml:space="preserve">Celkové obranné výdavky sú na rok 2011 rozpočtované vo </w:t>
      </w:r>
      <w:r w:rsidRPr="00724970">
        <w:rPr>
          <w:rFonts w:ascii="Arial Narrow" w:hAnsi="Arial Narrow" w:cs="Arial Narrow"/>
          <w:sz w:val="22"/>
          <w:szCs w:val="22"/>
        </w:rPr>
        <w:t>výške 1,10 % HDP, vrátane</w:t>
      </w:r>
      <w:r w:rsidRPr="00FD0A9B">
        <w:rPr>
          <w:rFonts w:ascii="Arial Narrow" w:hAnsi="Arial Narrow" w:cs="Arial Narrow"/>
          <w:sz w:val="22"/>
          <w:szCs w:val="22"/>
        </w:rPr>
        <w:t xml:space="preserve"> výdavkov ostatných rozpočtových kapitol v rámci medzirezortných programov Podpora obrany a Hospodárska mobilizácia. </w:t>
      </w:r>
    </w:p>
    <w:p w:rsidR="00BC03F9" w:rsidP="00BC03F9">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740125" w:rsidP="00E36B39">
            <w:pPr>
              <w:bidi w:val="0"/>
              <w:rPr>
                <w:rFonts w:ascii="Arial Narrow" w:hAnsi="Arial Narrow" w:cs="Arial Narrow"/>
                <w:b/>
                <w:bCs/>
                <w:sz w:val="16"/>
                <w:szCs w:val="16"/>
                <w:lang w:eastAsia="sk-SK"/>
              </w:rPr>
            </w:pPr>
            <w:r w:rsidRPr="00740125">
              <w:rPr>
                <w:rFonts w:ascii="Arial Narrow" w:hAnsi="Arial Narrow" w:cs="Arial Narrow"/>
                <w:b/>
                <w:bCs/>
                <w:sz w:val="16"/>
                <w:szCs w:val="16"/>
                <w:lang w:eastAsia="sk-SK"/>
              </w:rPr>
              <w:t>Obranné výdavky v</w:t>
            </w:r>
            <w:r>
              <w:rPr>
                <w:rFonts w:ascii="Arial Narrow" w:hAnsi="Arial Narrow" w:cs="Arial Narrow"/>
                <w:b/>
                <w:bCs/>
                <w:sz w:val="16"/>
                <w:szCs w:val="16"/>
                <w:lang w:eastAsia="sk-SK"/>
              </w:rPr>
              <w:t>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740125" w:rsidP="00E36B39">
            <w:pPr>
              <w:bidi w:val="0"/>
              <w:jc w:val="center"/>
              <w:rPr>
                <w:rFonts w:ascii="Arial Narrow" w:hAnsi="Arial Narrow" w:cs="Arial Narrow"/>
                <w:b/>
                <w:bCs/>
                <w:sz w:val="16"/>
                <w:szCs w:val="16"/>
                <w:lang w:eastAsia="sk-SK"/>
              </w:rPr>
            </w:pPr>
            <w:r w:rsidRPr="00740125">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CE51AD" w:rsidP="00E36B39">
            <w:pPr>
              <w:bidi w:val="0"/>
              <w:rPr>
                <w:rFonts w:ascii="Arial Narrow" w:hAnsi="Arial Narrow" w:cs="Arial Narrow"/>
                <w:sz w:val="16"/>
                <w:szCs w:val="16"/>
                <w:lang w:eastAsia="sk-SK"/>
              </w:rPr>
            </w:pPr>
            <w:r w:rsidRPr="00CE51AD">
              <w:rPr>
                <w:rFonts w:ascii="Arial Narrow" w:hAnsi="Arial Narrow" w:cs="Arial Narrow"/>
                <w:sz w:val="16"/>
                <w:szCs w:val="16"/>
                <w:lang w:eastAsia="sk-SK"/>
              </w:rPr>
              <w:t>Ministerstvo obrany SR</w:t>
            </w:r>
          </w:p>
        </w:tc>
        <w:tc>
          <w:tcPr>
            <w:tcW w:w="523" w:type="pct"/>
            <w:tcBorders>
              <w:top w:val="nil"/>
              <w:left w:val="nil"/>
              <w:bottom w:val="single" w:sz="4" w:space="0" w:color="auto"/>
              <w:right w:val="single" w:sz="4" w:space="0" w:color="auto"/>
            </w:tcBorders>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994 363</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966 617</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822 944</w:t>
            </w:r>
          </w:p>
        </w:tc>
        <w:tc>
          <w:tcPr>
            <w:tcW w:w="523" w:type="pct"/>
            <w:tcBorders>
              <w:top w:val="nil"/>
              <w:left w:val="nil"/>
              <w:bottom w:val="single" w:sz="4" w:space="0" w:color="auto"/>
              <w:right w:val="single" w:sz="4" w:space="0" w:color="auto"/>
            </w:tcBorders>
            <w:noWrap/>
            <w:textDirection w:val="lrTb"/>
            <w:vAlign w:val="bottom"/>
          </w:tcPr>
          <w:p w:rsidR="00BC03F9" w:rsidRPr="00724970" w:rsidP="00E36B39">
            <w:pPr>
              <w:bidi w:val="0"/>
              <w:jc w:val="right"/>
              <w:rPr>
                <w:rFonts w:ascii="Arial Narrow" w:hAnsi="Arial Narrow" w:cs="Arial Narrow"/>
                <w:sz w:val="16"/>
                <w:szCs w:val="16"/>
                <w:lang w:eastAsia="sk-SK"/>
              </w:rPr>
            </w:pPr>
            <w:r w:rsidRPr="00724970">
              <w:rPr>
                <w:rFonts w:ascii="Arial Narrow" w:hAnsi="Arial Narrow" w:cs="Arial Narrow"/>
                <w:sz w:val="16"/>
                <w:szCs w:val="16"/>
                <w:lang w:eastAsia="sk-SK"/>
              </w:rPr>
              <w:t>759 775</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740 720</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740 720</w:t>
            </w:r>
          </w:p>
        </w:tc>
      </w:tr>
      <w:tr>
        <w:tblPrEx>
          <w:tblW w:w="4962" w:type="pct"/>
          <w:tblInd w:w="70" w:type="dxa"/>
          <w:tblCellMar>
            <w:left w:w="70" w:type="dxa"/>
            <w:right w:w="70" w:type="dxa"/>
          </w:tblCellMar>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CE51AD" w:rsidP="00E36B39">
            <w:pPr>
              <w:bidi w:val="0"/>
              <w:rPr>
                <w:rFonts w:ascii="Arial Narrow" w:hAnsi="Arial Narrow" w:cs="Arial Narrow"/>
                <w:sz w:val="16"/>
                <w:szCs w:val="16"/>
                <w:lang w:eastAsia="sk-SK"/>
              </w:rPr>
            </w:pPr>
            <w:r w:rsidRPr="00CE51AD">
              <w:rPr>
                <w:rFonts w:ascii="Arial Narrow" w:hAnsi="Arial Narrow" w:cs="Arial Narrow"/>
                <w:sz w:val="16"/>
                <w:szCs w:val="16"/>
                <w:lang w:eastAsia="sk-SK"/>
              </w:rPr>
              <w:t>Podpora obrany</w:t>
            </w:r>
          </w:p>
        </w:tc>
        <w:tc>
          <w:tcPr>
            <w:tcW w:w="523" w:type="pct"/>
            <w:tcBorders>
              <w:top w:val="nil"/>
              <w:left w:val="nil"/>
              <w:bottom w:val="single" w:sz="4" w:space="0" w:color="auto"/>
              <w:right w:val="single" w:sz="4" w:space="0" w:color="auto"/>
            </w:tcBorders>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6 525</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5 114</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5 070</w:t>
            </w:r>
          </w:p>
        </w:tc>
        <w:tc>
          <w:tcPr>
            <w:tcW w:w="523" w:type="pct"/>
            <w:tcBorders>
              <w:top w:val="nil"/>
              <w:left w:val="nil"/>
              <w:bottom w:val="single" w:sz="4" w:space="0" w:color="auto"/>
              <w:right w:val="single" w:sz="4" w:space="0" w:color="auto"/>
            </w:tcBorders>
            <w:noWrap/>
            <w:textDirection w:val="lrTb"/>
            <w:vAlign w:val="bottom"/>
          </w:tcPr>
          <w:p w:rsidR="00BC03F9" w:rsidRPr="00724970" w:rsidP="00E36B39">
            <w:pPr>
              <w:bidi w:val="0"/>
              <w:jc w:val="right"/>
              <w:rPr>
                <w:rFonts w:ascii="Arial Narrow" w:hAnsi="Arial Narrow" w:cs="Arial Narrow"/>
                <w:sz w:val="16"/>
                <w:szCs w:val="16"/>
                <w:lang w:eastAsia="sk-SK"/>
              </w:rPr>
            </w:pPr>
            <w:r w:rsidRPr="00724970">
              <w:rPr>
                <w:rFonts w:ascii="Arial Narrow" w:hAnsi="Arial Narrow" w:cs="Arial Narrow"/>
                <w:sz w:val="16"/>
                <w:szCs w:val="16"/>
                <w:lang w:eastAsia="sk-SK"/>
              </w:rPr>
              <w:t>4 011</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3 849</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3 998</w:t>
            </w:r>
          </w:p>
        </w:tc>
      </w:tr>
      <w:tr>
        <w:tblPrEx>
          <w:tblW w:w="4962" w:type="pct"/>
          <w:tblInd w:w="70" w:type="dxa"/>
          <w:tblCellMar>
            <w:left w:w="70" w:type="dxa"/>
            <w:right w:w="70" w:type="dxa"/>
          </w:tblCellMar>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CE51AD" w:rsidP="00E36B39">
            <w:pPr>
              <w:bidi w:val="0"/>
              <w:rPr>
                <w:rFonts w:ascii="Arial Narrow" w:hAnsi="Arial Narrow" w:cs="Arial Narrow"/>
                <w:sz w:val="16"/>
                <w:szCs w:val="16"/>
                <w:lang w:eastAsia="sk-SK"/>
              </w:rPr>
            </w:pPr>
            <w:r w:rsidRPr="00CE51AD">
              <w:rPr>
                <w:rFonts w:ascii="Arial Narrow" w:hAnsi="Arial Narrow" w:cs="Arial Narrow"/>
                <w:sz w:val="16"/>
                <w:szCs w:val="16"/>
                <w:lang w:eastAsia="sk-SK"/>
              </w:rPr>
              <w:t>Hospodárska mobilizácia</w:t>
            </w:r>
          </w:p>
        </w:tc>
        <w:tc>
          <w:tcPr>
            <w:tcW w:w="523" w:type="pct"/>
            <w:tcBorders>
              <w:top w:val="nil"/>
              <w:left w:val="nil"/>
              <w:bottom w:val="single" w:sz="4" w:space="0" w:color="auto"/>
              <w:right w:val="single" w:sz="4" w:space="0" w:color="auto"/>
            </w:tcBorders>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9 204</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9 730</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6 713</w:t>
            </w:r>
          </w:p>
        </w:tc>
        <w:tc>
          <w:tcPr>
            <w:tcW w:w="523" w:type="pct"/>
            <w:tcBorders>
              <w:top w:val="nil"/>
              <w:left w:val="nil"/>
              <w:bottom w:val="single" w:sz="4" w:space="0" w:color="auto"/>
              <w:right w:val="single" w:sz="4" w:space="0" w:color="auto"/>
            </w:tcBorders>
            <w:noWrap/>
            <w:textDirection w:val="lrTb"/>
            <w:vAlign w:val="bottom"/>
          </w:tcPr>
          <w:p w:rsidR="00BC03F9" w:rsidRPr="00724970" w:rsidP="00E36B39">
            <w:pPr>
              <w:bidi w:val="0"/>
              <w:jc w:val="right"/>
              <w:rPr>
                <w:rFonts w:ascii="Arial Narrow" w:hAnsi="Arial Narrow" w:cs="Arial Narrow"/>
                <w:sz w:val="16"/>
                <w:szCs w:val="16"/>
                <w:lang w:eastAsia="sk-SK"/>
              </w:rPr>
            </w:pPr>
            <w:r w:rsidRPr="00724970">
              <w:rPr>
                <w:rFonts w:ascii="Arial Narrow" w:hAnsi="Arial Narrow" w:cs="Arial Narrow"/>
                <w:sz w:val="16"/>
                <w:szCs w:val="16"/>
                <w:lang w:eastAsia="sk-SK"/>
              </w:rPr>
              <w:t>6 687</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7 042</w:t>
            </w:r>
          </w:p>
        </w:tc>
        <w:tc>
          <w:tcPr>
            <w:tcW w:w="523" w:type="pct"/>
            <w:tcBorders>
              <w:top w:val="nil"/>
              <w:left w:val="nil"/>
              <w:bottom w:val="single" w:sz="4" w:space="0" w:color="auto"/>
              <w:right w:val="single" w:sz="4" w:space="0" w:color="auto"/>
            </w:tcBorders>
            <w:noWrap/>
            <w:textDirection w:val="lrTb"/>
            <w:vAlign w:val="bottom"/>
          </w:tcPr>
          <w:p w:rsidR="00BC03F9" w:rsidRPr="00CE51AD" w:rsidP="00E36B39">
            <w:pPr>
              <w:bidi w:val="0"/>
              <w:jc w:val="right"/>
              <w:rPr>
                <w:rFonts w:ascii="Arial Narrow" w:hAnsi="Arial Narrow" w:cs="Arial Narrow"/>
                <w:sz w:val="16"/>
                <w:szCs w:val="16"/>
                <w:lang w:eastAsia="sk-SK"/>
              </w:rPr>
            </w:pPr>
            <w:r w:rsidRPr="00CE51AD">
              <w:rPr>
                <w:rFonts w:ascii="Arial Narrow" w:hAnsi="Arial Narrow" w:cs="Arial Narrow"/>
                <w:sz w:val="16"/>
                <w:szCs w:val="16"/>
                <w:lang w:eastAsia="sk-SK"/>
              </w:rPr>
              <w:t>8 696</w:t>
            </w:r>
          </w:p>
        </w:tc>
      </w:tr>
      <w:tr>
        <w:tblPrEx>
          <w:tblW w:w="4962" w:type="pct"/>
          <w:tblInd w:w="70" w:type="dxa"/>
          <w:tblCellMar>
            <w:left w:w="70" w:type="dxa"/>
            <w:right w:w="70" w:type="dxa"/>
          </w:tblCellMar>
        </w:tblPrEx>
        <w:trPr>
          <w:trHeight w:val="241"/>
        </w:trPr>
        <w:tc>
          <w:tcPr>
            <w:tcW w:w="1862" w:type="pct"/>
            <w:tcBorders>
              <w:top w:val="nil"/>
              <w:left w:val="single" w:sz="4" w:space="0" w:color="auto"/>
              <w:bottom w:val="single" w:sz="4" w:space="0" w:color="auto"/>
              <w:right w:val="single" w:sz="4" w:space="0" w:color="auto"/>
            </w:tcBorders>
            <w:shd w:val="clear" w:color="auto" w:fill="C0C0C0"/>
            <w:noWrap/>
            <w:textDirection w:val="lrTb"/>
            <w:vAlign w:val="bottom"/>
          </w:tcPr>
          <w:p w:rsidR="00BC03F9" w:rsidRPr="00CE51AD" w:rsidP="00E36B39">
            <w:pPr>
              <w:bidi w:val="0"/>
              <w:rPr>
                <w:rFonts w:ascii="Arial Narrow" w:hAnsi="Arial Narrow" w:cs="Arial Narrow"/>
                <w:b/>
                <w:bCs/>
                <w:sz w:val="16"/>
                <w:szCs w:val="16"/>
                <w:lang w:eastAsia="sk-SK"/>
              </w:rPr>
            </w:pPr>
            <w:r w:rsidRPr="00CE51AD">
              <w:rPr>
                <w:rFonts w:ascii="Arial Narrow" w:hAnsi="Arial Narrow" w:cs="Arial Narrow"/>
                <w:b/>
                <w:bCs/>
                <w:sz w:val="16"/>
                <w:szCs w:val="16"/>
                <w:lang w:eastAsia="sk-SK"/>
              </w:rPr>
              <w:t>Obranné výdavky celkom</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1 010 09</w:t>
            </w:r>
            <w:r>
              <w:rPr>
                <w:rFonts w:ascii="Arial Narrow" w:hAnsi="Arial Narrow" w:cs="Arial Narrow"/>
                <w:b/>
                <w:bCs/>
                <w:sz w:val="16"/>
                <w:szCs w:val="16"/>
                <w:lang w:eastAsia="sk-SK"/>
              </w:rPr>
              <w:t>2</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981 46</w:t>
            </w:r>
            <w:r>
              <w:rPr>
                <w:rFonts w:ascii="Arial Narrow" w:hAnsi="Arial Narrow" w:cs="Arial Narrow"/>
                <w:b/>
                <w:bCs/>
                <w:sz w:val="16"/>
                <w:szCs w:val="16"/>
                <w:lang w:eastAsia="sk-SK"/>
              </w:rPr>
              <w:t>1</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834 727</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24970" w:rsidP="00E36B39">
            <w:pPr>
              <w:bidi w:val="0"/>
              <w:jc w:val="right"/>
              <w:rPr>
                <w:rFonts w:ascii="Arial Narrow" w:hAnsi="Arial Narrow" w:cs="Arial Narrow"/>
                <w:b/>
                <w:bCs/>
                <w:sz w:val="16"/>
                <w:szCs w:val="16"/>
                <w:lang w:eastAsia="sk-SK"/>
              </w:rPr>
            </w:pPr>
            <w:r w:rsidRPr="00724970">
              <w:rPr>
                <w:rFonts w:ascii="Arial Narrow" w:hAnsi="Arial Narrow" w:cs="Arial Narrow"/>
                <w:b/>
                <w:bCs/>
                <w:sz w:val="16"/>
                <w:szCs w:val="16"/>
                <w:lang w:eastAsia="sk-SK"/>
              </w:rPr>
              <w:t>770 473</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751 611</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753 414</w:t>
            </w:r>
          </w:p>
        </w:tc>
      </w:tr>
      <w:tr>
        <w:tblPrEx>
          <w:tblW w:w="4962" w:type="pct"/>
          <w:tblInd w:w="70" w:type="dxa"/>
          <w:tblCellMar>
            <w:left w:w="70" w:type="dxa"/>
            <w:right w:w="70" w:type="dxa"/>
          </w:tblCellMar>
        </w:tblPrEx>
        <w:trPr>
          <w:trHeight w:val="241"/>
        </w:trPr>
        <w:tc>
          <w:tcPr>
            <w:tcW w:w="1862" w:type="pct"/>
            <w:tcBorders>
              <w:top w:val="nil"/>
              <w:left w:val="single" w:sz="4" w:space="0" w:color="auto"/>
              <w:bottom w:val="single" w:sz="4" w:space="0" w:color="auto"/>
              <w:right w:val="single" w:sz="4" w:space="0" w:color="auto"/>
            </w:tcBorders>
            <w:shd w:val="clear" w:color="auto" w:fill="C0C0C0"/>
            <w:noWrap/>
            <w:textDirection w:val="lrTb"/>
            <w:vAlign w:val="bottom"/>
          </w:tcPr>
          <w:p w:rsidR="00BC03F9" w:rsidRPr="00CE51AD" w:rsidP="00E36B39">
            <w:pPr>
              <w:bidi w:val="0"/>
              <w:rPr>
                <w:rFonts w:ascii="Arial Narrow" w:hAnsi="Arial Narrow" w:cs="Arial Narrow"/>
                <w:b/>
                <w:bCs/>
                <w:sz w:val="16"/>
                <w:szCs w:val="16"/>
                <w:lang w:eastAsia="sk-SK"/>
              </w:rPr>
            </w:pPr>
            <w:r w:rsidRPr="00CE51AD">
              <w:rPr>
                <w:rFonts w:ascii="Arial Narrow" w:hAnsi="Arial Narrow" w:cs="Arial Narrow"/>
                <w:b/>
                <w:bCs/>
                <w:sz w:val="16"/>
                <w:szCs w:val="16"/>
                <w:lang w:eastAsia="sk-SK"/>
              </w:rPr>
              <w:t>Podiel na HDP v %</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1,48%</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1,34%</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1,24%</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24970" w:rsidP="00E36B39">
            <w:pPr>
              <w:bidi w:val="0"/>
              <w:jc w:val="right"/>
              <w:rPr>
                <w:rFonts w:ascii="Arial Narrow" w:hAnsi="Arial Narrow" w:cs="Arial Narrow"/>
                <w:b/>
                <w:bCs/>
                <w:sz w:val="16"/>
                <w:szCs w:val="16"/>
                <w:lang w:eastAsia="sk-SK"/>
              </w:rPr>
            </w:pPr>
            <w:r w:rsidRPr="00724970">
              <w:rPr>
                <w:rFonts w:ascii="Arial Narrow" w:hAnsi="Arial Narrow" w:cs="Arial Narrow"/>
                <w:b/>
                <w:bCs/>
                <w:sz w:val="16"/>
                <w:szCs w:val="16"/>
                <w:lang w:eastAsia="sk-SK"/>
              </w:rPr>
              <w:t>1,10%</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1,00%</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CE51AD" w:rsidP="00E36B39">
            <w:pPr>
              <w:bidi w:val="0"/>
              <w:jc w:val="right"/>
              <w:rPr>
                <w:rFonts w:ascii="Arial Narrow" w:hAnsi="Arial Narrow" w:cs="Arial Narrow"/>
                <w:b/>
                <w:bCs/>
                <w:sz w:val="16"/>
                <w:szCs w:val="16"/>
                <w:lang w:eastAsia="sk-SK"/>
              </w:rPr>
            </w:pPr>
            <w:r w:rsidRPr="00CE51AD">
              <w:rPr>
                <w:rFonts w:ascii="Arial Narrow" w:hAnsi="Arial Narrow" w:cs="Arial Narrow"/>
                <w:b/>
                <w:bCs/>
                <w:sz w:val="16"/>
                <w:szCs w:val="16"/>
                <w:lang w:eastAsia="sk-SK"/>
              </w:rPr>
              <w:t>0,92%</w:t>
            </w:r>
          </w:p>
        </w:tc>
      </w:tr>
    </w:tbl>
    <w:p w:rsidR="00BC03F9" w:rsidRPr="00FD0A9B" w:rsidP="00BC03F9">
      <w:pPr>
        <w:bidi w:val="0"/>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sidRPr="00513C58">
        <w:rPr>
          <w:rFonts w:ascii="Arial Narrow" w:hAnsi="Arial Narrow" w:cs="Arial Narrow"/>
          <w:sz w:val="22"/>
          <w:szCs w:val="22"/>
        </w:rPr>
        <w:t xml:space="preserve">Celkové výdavky kapitoly </w:t>
      </w:r>
      <w:r>
        <w:rPr>
          <w:rFonts w:ascii="Arial Narrow" w:hAnsi="Arial Narrow" w:cs="Arial Narrow"/>
          <w:sz w:val="22"/>
          <w:szCs w:val="22"/>
        </w:rPr>
        <w:t xml:space="preserve">v roku 2011 oproti schválenému rozpočtu roka </w:t>
      </w:r>
      <w:r w:rsidRPr="00724970">
        <w:rPr>
          <w:rFonts w:ascii="Arial Narrow" w:hAnsi="Arial Narrow" w:cs="Arial Narrow"/>
          <w:sz w:val="22"/>
          <w:szCs w:val="22"/>
        </w:rPr>
        <w:t>2010 klesajú o 63,2 mil. eur, čo predstavuje 7,7% zníženie.</w:t>
      </w:r>
      <w:r>
        <w:rPr>
          <w:rFonts w:ascii="Arial Narrow" w:hAnsi="Arial Narrow" w:cs="Arial Narrow"/>
          <w:sz w:val="22"/>
          <w:szCs w:val="22"/>
        </w:rPr>
        <w:t xml:space="preserve"> </w:t>
      </w:r>
    </w:p>
    <w:p w:rsidR="00BC03F9" w:rsidP="00BC03F9">
      <w:pPr>
        <w:bidi w:val="0"/>
        <w:jc w:val="both"/>
        <w:rPr>
          <w:rFonts w:ascii="Arial Narrow" w:hAnsi="Arial Narrow" w:cs="Arial Narrow"/>
          <w:sz w:val="22"/>
          <w:szCs w:val="22"/>
        </w:rPr>
      </w:pPr>
    </w:p>
    <w:p w:rsidR="00BC03F9" w:rsidP="00BC03F9">
      <w:pPr>
        <w:bidi w:val="0"/>
        <w:jc w:val="both"/>
        <w:rPr>
          <w:rFonts w:ascii="Arial Narrow" w:hAnsi="Arial Narrow" w:cs="Arial Narrow"/>
          <w:sz w:val="22"/>
          <w:szCs w:val="22"/>
        </w:rPr>
      </w:pPr>
      <w:r>
        <w:rPr>
          <w:rFonts w:ascii="Arial Narrow" w:hAnsi="Arial Narrow" w:cs="Arial Narrow"/>
          <w:sz w:val="22"/>
          <w:szCs w:val="22"/>
        </w:rPr>
        <w:t>Ministerstvo obrany SR</w:t>
      </w:r>
    </w:p>
    <w:p w:rsidR="00BC03F9" w:rsidP="00BC03F9">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45"/>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FC3D07" w:rsidP="00E36B39">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45"/>
        </w:trPr>
        <w:tc>
          <w:tcPr>
            <w:tcW w:w="1862"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C03F9" w:rsidRPr="000955DC" w:rsidP="00E36B39">
            <w:pPr>
              <w:bidi w:val="0"/>
              <w:rPr>
                <w:rFonts w:ascii="Arial Narrow" w:hAnsi="Arial Narrow" w:cs="Arial Narrow"/>
                <w:b/>
                <w:bCs/>
                <w:sz w:val="16"/>
                <w:szCs w:val="16"/>
              </w:rPr>
            </w:pPr>
            <w:r w:rsidRPr="000955DC">
              <w:rPr>
                <w:rFonts w:ascii="Arial Narrow" w:hAnsi="Arial Narrow" w:cs="Arial Narrow"/>
                <w:b/>
                <w:bCs/>
                <w:sz w:val="16"/>
                <w:szCs w:val="16"/>
              </w:rPr>
              <w:t>Zdroje príslušnej kapitoly</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0955DC" w:rsidP="00E36B39">
            <w:pPr>
              <w:bidi w:val="0"/>
              <w:jc w:val="right"/>
              <w:rPr>
                <w:rFonts w:ascii="Arial Narrow" w:hAnsi="Arial Narrow" w:cs="Arial Narrow"/>
                <w:b/>
                <w:bCs/>
                <w:sz w:val="16"/>
                <w:szCs w:val="16"/>
              </w:rPr>
            </w:pPr>
            <w:r w:rsidRPr="000955DC">
              <w:rPr>
                <w:rFonts w:ascii="Arial Narrow" w:hAnsi="Arial Narrow" w:cs="Arial Narrow"/>
                <w:b/>
                <w:bCs/>
                <w:sz w:val="16"/>
                <w:szCs w:val="16"/>
              </w:rPr>
              <w:t xml:space="preserve">994 363   </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0955DC" w:rsidP="00E36B39">
            <w:pPr>
              <w:bidi w:val="0"/>
              <w:jc w:val="right"/>
              <w:rPr>
                <w:rFonts w:ascii="Arial Narrow" w:hAnsi="Arial Narrow" w:cs="Arial Narrow"/>
                <w:b/>
                <w:bCs/>
                <w:sz w:val="16"/>
                <w:szCs w:val="16"/>
              </w:rPr>
            </w:pPr>
            <w:r w:rsidRPr="000955DC">
              <w:rPr>
                <w:rFonts w:ascii="Arial Narrow" w:hAnsi="Arial Narrow" w:cs="Arial Narrow"/>
                <w:b/>
                <w:bCs/>
                <w:sz w:val="16"/>
                <w:szCs w:val="16"/>
              </w:rPr>
              <w:t xml:space="preserve">966 617   </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0955DC" w:rsidP="00E36B39">
            <w:pPr>
              <w:bidi w:val="0"/>
              <w:jc w:val="right"/>
              <w:rPr>
                <w:rFonts w:ascii="Arial Narrow" w:hAnsi="Arial Narrow" w:cs="Arial Narrow"/>
                <w:b/>
                <w:bCs/>
                <w:sz w:val="16"/>
                <w:szCs w:val="16"/>
              </w:rPr>
            </w:pPr>
            <w:r w:rsidRPr="000955DC">
              <w:rPr>
                <w:rFonts w:ascii="Arial Narrow" w:hAnsi="Arial Narrow" w:cs="Arial Narrow"/>
                <w:b/>
                <w:bCs/>
                <w:sz w:val="16"/>
                <w:szCs w:val="16"/>
              </w:rPr>
              <w:t>822 944</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724970" w:rsidP="00E36B39">
            <w:pPr>
              <w:bidi w:val="0"/>
              <w:jc w:val="right"/>
              <w:rPr>
                <w:rFonts w:ascii="Arial Narrow" w:hAnsi="Arial Narrow" w:cs="Arial Narrow"/>
                <w:b/>
                <w:bCs/>
                <w:sz w:val="16"/>
                <w:szCs w:val="16"/>
              </w:rPr>
            </w:pPr>
            <w:r w:rsidRPr="00724970">
              <w:rPr>
                <w:rFonts w:ascii="Arial Narrow" w:hAnsi="Arial Narrow" w:cs="Arial Narrow"/>
                <w:b/>
                <w:bCs/>
                <w:sz w:val="16"/>
                <w:szCs w:val="16"/>
              </w:rPr>
              <w:t>759 775</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0955DC" w:rsidP="00E36B39">
            <w:pPr>
              <w:bidi w:val="0"/>
              <w:jc w:val="right"/>
              <w:rPr>
                <w:rFonts w:ascii="Arial Narrow" w:hAnsi="Arial Narrow" w:cs="Arial Narrow"/>
                <w:b/>
                <w:bCs/>
                <w:sz w:val="16"/>
                <w:szCs w:val="16"/>
              </w:rPr>
            </w:pPr>
            <w:r w:rsidRPr="000955DC">
              <w:rPr>
                <w:rFonts w:ascii="Arial Narrow" w:hAnsi="Arial Narrow" w:cs="Arial Narrow"/>
                <w:b/>
                <w:bCs/>
                <w:sz w:val="16"/>
                <w:szCs w:val="16"/>
              </w:rPr>
              <w:t>740 720</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0955DC" w:rsidP="00E36B39">
            <w:pPr>
              <w:bidi w:val="0"/>
              <w:jc w:val="right"/>
              <w:rPr>
                <w:rFonts w:ascii="Arial Narrow" w:hAnsi="Arial Narrow" w:cs="Arial Narrow"/>
                <w:b/>
                <w:bCs/>
                <w:sz w:val="16"/>
                <w:szCs w:val="16"/>
              </w:rPr>
            </w:pPr>
            <w:r w:rsidRPr="000955DC">
              <w:rPr>
                <w:rFonts w:ascii="Arial Narrow" w:hAnsi="Arial Narrow" w:cs="Arial Narrow"/>
                <w:b/>
                <w:bCs/>
                <w:sz w:val="16"/>
                <w:szCs w:val="16"/>
              </w:rPr>
              <w:t>740 720</w:t>
            </w:r>
          </w:p>
        </w:tc>
      </w:tr>
      <w:tr>
        <w:tblPrEx>
          <w:tblW w:w="4962" w:type="pct"/>
          <w:tblInd w:w="70" w:type="dxa"/>
          <w:tblCellMar>
            <w:left w:w="70" w:type="dxa"/>
            <w:right w:w="70" w:type="dxa"/>
          </w:tblCellMar>
        </w:tblPrEx>
        <w:trPr>
          <w:trHeight w:val="245"/>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0955DC" w:rsidP="00E36B39">
            <w:pPr>
              <w:bidi w:val="0"/>
              <w:rPr>
                <w:rFonts w:ascii="Arial Narrow" w:hAnsi="Arial Narrow" w:cs="Arial Narrow"/>
                <w:sz w:val="16"/>
                <w:szCs w:val="16"/>
              </w:rPr>
            </w:pPr>
            <w:r w:rsidRPr="000955DC">
              <w:rPr>
                <w:rFonts w:ascii="Arial Narrow" w:hAnsi="Arial Narrow" w:cs="Arial Narrow"/>
                <w:sz w:val="16"/>
                <w:szCs w:val="16"/>
              </w:rPr>
              <w:t>z toho:</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p>
        </w:tc>
        <w:tc>
          <w:tcPr>
            <w:tcW w:w="523" w:type="pct"/>
            <w:tcBorders>
              <w:top w:val="nil"/>
              <w:left w:val="nil"/>
              <w:bottom w:val="single" w:sz="4" w:space="0" w:color="auto"/>
              <w:right w:val="single" w:sz="4" w:space="0" w:color="auto"/>
            </w:tcBorders>
            <w:noWrap/>
            <w:textDirection w:val="lrTb"/>
            <w:vAlign w:val="bottom"/>
          </w:tcPr>
          <w:p w:rsidR="00BC03F9" w:rsidRPr="00724970" w:rsidP="00E36B39">
            <w:pPr>
              <w:bidi w:val="0"/>
              <w:jc w:val="right"/>
              <w:rPr>
                <w:rFonts w:ascii="Arial Narrow" w:hAnsi="Arial Narrow" w:cs="Arial Narrow"/>
                <w:sz w:val="16"/>
                <w:szCs w:val="16"/>
              </w:rPr>
            </w:pP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p>
        </w:tc>
      </w:tr>
      <w:tr>
        <w:tblPrEx>
          <w:tblW w:w="4962" w:type="pct"/>
          <w:tblInd w:w="70" w:type="dxa"/>
          <w:tblCellMar>
            <w:left w:w="70" w:type="dxa"/>
            <w:right w:w="70" w:type="dxa"/>
          </w:tblCellMar>
        </w:tblPrEx>
        <w:trPr>
          <w:trHeight w:val="245"/>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0955DC" w:rsidP="00E36B39">
            <w:pPr>
              <w:bidi w:val="0"/>
              <w:rPr>
                <w:rFonts w:ascii="Arial Narrow" w:hAnsi="Arial Narrow" w:cs="Arial Narrow"/>
                <w:sz w:val="16"/>
                <w:szCs w:val="16"/>
              </w:rPr>
            </w:pPr>
            <w:r w:rsidRPr="000955DC">
              <w:rPr>
                <w:rFonts w:ascii="Arial Narrow" w:hAnsi="Arial Narrow" w:cs="Arial Narrow"/>
                <w:sz w:val="16"/>
                <w:szCs w:val="16"/>
              </w:rPr>
              <w:t>rozpočtové zdroje kapitoly</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 xml:space="preserve">984 615   </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 xml:space="preserve">953 581   </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822 944</w:t>
            </w:r>
          </w:p>
        </w:tc>
        <w:tc>
          <w:tcPr>
            <w:tcW w:w="523" w:type="pct"/>
            <w:tcBorders>
              <w:top w:val="nil"/>
              <w:left w:val="nil"/>
              <w:bottom w:val="single" w:sz="4" w:space="0" w:color="auto"/>
              <w:right w:val="single" w:sz="4" w:space="0" w:color="auto"/>
            </w:tcBorders>
            <w:textDirection w:val="lrTb"/>
            <w:vAlign w:val="bottom"/>
          </w:tcPr>
          <w:p w:rsidR="00BC03F9" w:rsidRPr="00724970" w:rsidP="00E36B39">
            <w:pPr>
              <w:bidi w:val="0"/>
              <w:jc w:val="right"/>
              <w:rPr>
                <w:rFonts w:ascii="Arial Narrow" w:hAnsi="Arial Narrow" w:cs="Arial Narrow"/>
                <w:sz w:val="16"/>
                <w:szCs w:val="16"/>
              </w:rPr>
            </w:pPr>
            <w:r w:rsidRPr="00724970">
              <w:rPr>
                <w:rFonts w:ascii="Arial Narrow" w:hAnsi="Arial Narrow" w:cs="Arial Narrow"/>
                <w:sz w:val="16"/>
                <w:szCs w:val="16"/>
              </w:rPr>
              <w:t>759 775</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740 720</w:t>
            </w: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740 720</w:t>
            </w:r>
          </w:p>
        </w:tc>
      </w:tr>
      <w:tr>
        <w:tblPrEx>
          <w:tblW w:w="4962" w:type="pct"/>
          <w:tblInd w:w="70" w:type="dxa"/>
          <w:tblCellMar>
            <w:left w:w="70" w:type="dxa"/>
            <w:right w:w="70" w:type="dxa"/>
          </w:tblCellMar>
        </w:tblPrEx>
        <w:trPr>
          <w:trHeight w:val="245"/>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0955DC" w:rsidP="00E36B39">
            <w:pPr>
              <w:bidi w:val="0"/>
              <w:rPr>
                <w:rFonts w:ascii="Arial Narrow" w:hAnsi="Arial Narrow" w:cs="Arial Narrow"/>
                <w:sz w:val="16"/>
                <w:szCs w:val="16"/>
              </w:rPr>
            </w:pPr>
            <w:r w:rsidRPr="000955DC">
              <w:rPr>
                <w:rFonts w:ascii="Arial Narrow" w:hAnsi="Arial Narrow" w:cs="Arial Narrow"/>
                <w:sz w:val="16"/>
                <w:szCs w:val="16"/>
              </w:rPr>
              <w:t>presun z min. rokov § 8</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 xml:space="preserve">8 527   </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 xml:space="preserve">12 315   </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r>
      <w:tr>
        <w:tblPrEx>
          <w:tblW w:w="4962" w:type="pct"/>
          <w:tblInd w:w="70" w:type="dxa"/>
          <w:tblCellMar>
            <w:left w:w="70" w:type="dxa"/>
            <w:right w:w="70" w:type="dxa"/>
          </w:tblCellMar>
        </w:tblPrEx>
        <w:trPr>
          <w:trHeight w:val="245"/>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0955DC" w:rsidP="00E36B39">
            <w:pPr>
              <w:bidi w:val="0"/>
              <w:rPr>
                <w:rFonts w:ascii="Arial Narrow" w:hAnsi="Arial Narrow" w:cs="Arial Narrow"/>
                <w:sz w:val="16"/>
                <w:szCs w:val="16"/>
              </w:rPr>
            </w:pPr>
            <w:r w:rsidRPr="000955DC">
              <w:rPr>
                <w:rFonts w:ascii="Arial Narrow" w:hAnsi="Arial Narrow" w:cs="Arial Narrow"/>
                <w:sz w:val="16"/>
                <w:szCs w:val="16"/>
              </w:rPr>
              <w:t xml:space="preserve">zdroje EÚ vrátane spolufinancovania </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550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6</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r>
      <w:tr>
        <w:tblPrEx>
          <w:tblW w:w="4962" w:type="pct"/>
          <w:tblInd w:w="70" w:type="dxa"/>
          <w:tblCellMar>
            <w:left w:w="70" w:type="dxa"/>
            <w:right w:w="70" w:type="dxa"/>
          </w:tblCellMar>
        </w:tblPrEx>
        <w:trPr>
          <w:trHeight w:val="245"/>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0955DC" w:rsidP="00E36B39">
            <w:pPr>
              <w:bidi w:val="0"/>
              <w:rPr>
                <w:rFonts w:ascii="Arial Narrow" w:hAnsi="Arial Narrow" w:cs="Arial Narrow"/>
                <w:sz w:val="16"/>
                <w:szCs w:val="16"/>
              </w:rPr>
            </w:pPr>
            <w:r w:rsidRPr="000955DC">
              <w:rPr>
                <w:rFonts w:ascii="Arial Narrow" w:hAnsi="Arial Narrow" w:cs="Arial Narrow"/>
                <w:sz w:val="16"/>
                <w:szCs w:val="16"/>
              </w:rPr>
              <w:t>iné zdroje</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671</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sidRPr="000955DC">
              <w:rPr>
                <w:rFonts w:ascii="Arial Narrow" w:hAnsi="Arial Narrow" w:cs="Arial Narrow"/>
                <w:sz w:val="16"/>
                <w:szCs w:val="16"/>
              </w:rPr>
              <w:t>714</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c>
          <w:tcPr>
            <w:tcW w:w="523" w:type="pct"/>
            <w:tcBorders>
              <w:top w:val="nil"/>
              <w:left w:val="nil"/>
              <w:bottom w:val="single" w:sz="4" w:space="0" w:color="auto"/>
              <w:right w:val="single" w:sz="4" w:space="0" w:color="auto"/>
            </w:tcBorders>
            <w:noWrap/>
            <w:textDirection w:val="lrTb"/>
            <w:vAlign w:val="bottom"/>
          </w:tcPr>
          <w:p w:rsidR="00BC03F9" w:rsidRPr="000955DC" w:rsidP="00E36B39">
            <w:pPr>
              <w:bidi w:val="0"/>
              <w:jc w:val="right"/>
              <w:rPr>
                <w:rFonts w:ascii="Arial Narrow" w:hAnsi="Arial Narrow" w:cs="Arial Narrow"/>
                <w:sz w:val="16"/>
                <w:szCs w:val="16"/>
              </w:rPr>
            </w:pPr>
            <w:r>
              <w:rPr>
                <w:rFonts w:ascii="Arial Narrow" w:hAnsi="Arial Narrow" w:cs="Arial Narrow"/>
                <w:sz w:val="16"/>
                <w:szCs w:val="16"/>
              </w:rPr>
              <w:t>0</w:t>
            </w:r>
          </w:p>
        </w:tc>
      </w:tr>
    </w:tbl>
    <w:p w:rsidR="00BC03F9" w:rsidP="00BC03F9">
      <w:pPr>
        <w:bidi w:val="0"/>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Pr>
          <w:rFonts w:ascii="Arial Narrow" w:hAnsi="Arial Narrow" w:cs="Arial Narrow"/>
          <w:sz w:val="22"/>
          <w:szCs w:val="22"/>
        </w:rPr>
        <w:t>Rozpočet ministerstva obrany sa skladá z nasledovných oblastí:</w:t>
      </w:r>
    </w:p>
    <w:p w:rsidR="00BC03F9" w:rsidP="00BC03F9">
      <w:pPr>
        <w:bidi w:val="0"/>
        <w:jc w:val="both"/>
        <w:rPr>
          <w:rFonts w:ascii="Arial Narrow" w:hAnsi="Arial Narrow" w:cs="Arial Narrow"/>
          <w:i/>
          <w:iCs/>
          <w:sz w:val="22"/>
          <w:szCs w:val="22"/>
        </w:rPr>
      </w:pPr>
    </w:p>
    <w:p w:rsidR="00BC03F9" w:rsidP="00BC03F9">
      <w:pPr>
        <w:bidi w:val="0"/>
        <w:jc w:val="both"/>
        <w:rPr>
          <w:rFonts w:ascii="Arial Narrow" w:hAnsi="Arial Narrow" w:cs="Arial Narrow"/>
          <w:i/>
          <w:iCs/>
          <w:sz w:val="22"/>
          <w:szCs w:val="22"/>
        </w:rPr>
      </w:pPr>
      <w:r w:rsidRPr="00BC5B07">
        <w:rPr>
          <w:rFonts w:ascii="Arial Narrow" w:hAnsi="Arial Narrow" w:cs="Arial Narrow"/>
          <w:i/>
          <w:iCs/>
          <w:sz w:val="22"/>
          <w:szCs w:val="22"/>
        </w:rPr>
        <w:t>Rozvoj obrany</w:t>
      </w:r>
    </w:p>
    <w:p w:rsidR="00BC03F9" w:rsidP="00BC03F9">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70"/>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FC3D07" w:rsidP="00E36B39">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FC3D07" w:rsidP="00E36B39">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7B2B4F" w:rsidP="00E36B39">
            <w:pPr>
              <w:bidi w:val="0"/>
              <w:rPr>
                <w:rFonts w:ascii="Arial Narrow" w:hAnsi="Arial Narrow" w:cs="Arial Narrow"/>
                <w:sz w:val="16"/>
                <w:szCs w:val="16"/>
                <w:lang w:eastAsia="sk-SK"/>
              </w:rPr>
            </w:pPr>
            <w:r w:rsidRPr="007B2B4F">
              <w:rPr>
                <w:rFonts w:ascii="Arial Narrow" w:hAnsi="Arial Narrow" w:cs="Arial Narrow"/>
                <w:sz w:val="16"/>
                <w:szCs w:val="16"/>
                <w:lang w:eastAsia="sk-SK"/>
              </w:rPr>
              <w:t>Infraštruktúra (výstavba)</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20 233</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49 697</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22 015</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7 822</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8 822</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8 822</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7B2B4F" w:rsidP="00E36B39">
            <w:pPr>
              <w:bidi w:val="0"/>
              <w:rPr>
                <w:rFonts w:ascii="Arial Narrow" w:hAnsi="Arial Narrow" w:cs="Arial Narrow"/>
                <w:sz w:val="16"/>
                <w:szCs w:val="16"/>
                <w:lang w:eastAsia="sk-SK"/>
              </w:rPr>
            </w:pPr>
            <w:r w:rsidRPr="007B2B4F">
              <w:rPr>
                <w:rFonts w:ascii="Arial Narrow" w:hAnsi="Arial Narrow" w:cs="Arial Narrow"/>
                <w:sz w:val="16"/>
                <w:szCs w:val="16"/>
                <w:lang w:eastAsia="sk-SK"/>
              </w:rPr>
              <w:t>Výzbroj, technika a materiál</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84 088</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56 554</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52 051</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15 878</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25 659</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25 659</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7B2B4F" w:rsidP="00E36B39">
            <w:pPr>
              <w:bidi w:val="0"/>
              <w:rPr>
                <w:rFonts w:ascii="Arial Narrow" w:hAnsi="Arial Narrow" w:cs="Arial Narrow"/>
                <w:sz w:val="16"/>
                <w:szCs w:val="16"/>
                <w:lang w:eastAsia="sk-SK"/>
              </w:rPr>
            </w:pPr>
            <w:r w:rsidRPr="007B2B4F">
              <w:rPr>
                <w:rFonts w:ascii="Arial Narrow" w:hAnsi="Arial Narrow" w:cs="Arial Narrow"/>
                <w:sz w:val="16"/>
                <w:szCs w:val="16"/>
                <w:lang w:eastAsia="sk-SK"/>
              </w:rPr>
              <w:t>Komunikačné a informačné systémy</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83 665</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85 175</w:t>
            </w:r>
          </w:p>
        </w:tc>
        <w:tc>
          <w:tcPr>
            <w:tcW w:w="523" w:type="pct"/>
            <w:tcBorders>
              <w:top w:val="nil"/>
              <w:left w:val="nil"/>
              <w:bottom w:val="single" w:sz="4" w:space="0" w:color="auto"/>
              <w:right w:val="single" w:sz="4" w:space="0" w:color="auto"/>
            </w:tcBorders>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30 036</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37 908</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31 759</w:t>
            </w:r>
          </w:p>
        </w:tc>
        <w:tc>
          <w:tcPr>
            <w:tcW w:w="523" w:type="pct"/>
            <w:tcBorders>
              <w:top w:val="nil"/>
              <w:left w:val="nil"/>
              <w:bottom w:val="single" w:sz="4" w:space="0" w:color="auto"/>
              <w:right w:val="single" w:sz="4" w:space="0" w:color="auto"/>
            </w:tcBorders>
            <w:noWrap/>
            <w:textDirection w:val="lrTb"/>
            <w:vAlign w:val="bottom"/>
          </w:tcPr>
          <w:p w:rsidR="00BC03F9" w:rsidRPr="007B2B4F" w:rsidP="00E36B39">
            <w:pPr>
              <w:bidi w:val="0"/>
              <w:jc w:val="right"/>
              <w:rPr>
                <w:rFonts w:ascii="Arial Narrow" w:hAnsi="Arial Narrow" w:cs="Arial Narrow"/>
                <w:sz w:val="16"/>
                <w:szCs w:val="16"/>
                <w:lang w:eastAsia="sk-SK"/>
              </w:rPr>
            </w:pPr>
            <w:r w:rsidRPr="007B2B4F">
              <w:rPr>
                <w:rFonts w:ascii="Arial Narrow" w:hAnsi="Arial Narrow" w:cs="Arial Narrow"/>
                <w:sz w:val="16"/>
                <w:szCs w:val="16"/>
                <w:lang w:eastAsia="sk-SK"/>
              </w:rPr>
              <w:t>31 759</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shd w:val="clear" w:color="auto" w:fill="C0C0C0"/>
            <w:noWrap/>
            <w:textDirection w:val="lrTb"/>
            <w:vAlign w:val="bottom"/>
          </w:tcPr>
          <w:p w:rsidR="00BC03F9" w:rsidRPr="007B2B4F" w:rsidP="00E36B39">
            <w:pPr>
              <w:bidi w:val="0"/>
              <w:rPr>
                <w:rFonts w:ascii="Arial Narrow" w:hAnsi="Arial Narrow" w:cs="Arial Narrow"/>
                <w:b/>
                <w:bCs/>
                <w:sz w:val="16"/>
                <w:szCs w:val="16"/>
                <w:lang w:eastAsia="sk-SK"/>
              </w:rPr>
            </w:pPr>
            <w:r w:rsidRPr="007B2B4F">
              <w:rPr>
                <w:rFonts w:ascii="Arial Narrow" w:hAnsi="Arial Narrow" w:cs="Arial Narrow"/>
                <w:b/>
                <w:bCs/>
                <w:sz w:val="16"/>
                <w:szCs w:val="16"/>
                <w:lang w:eastAsia="sk-SK"/>
              </w:rPr>
              <w:t>Rozvoj obrany</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187 986</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191 426</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104 102</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61 608</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66 2</w:t>
            </w:r>
            <w:r>
              <w:rPr>
                <w:rFonts w:ascii="Arial Narrow" w:hAnsi="Arial Narrow" w:cs="Arial Narrow"/>
                <w:b/>
                <w:bCs/>
                <w:sz w:val="16"/>
                <w:szCs w:val="16"/>
                <w:lang w:eastAsia="sk-SK"/>
              </w:rPr>
              <w:t>40</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7B2B4F" w:rsidP="00E36B39">
            <w:pPr>
              <w:bidi w:val="0"/>
              <w:jc w:val="right"/>
              <w:rPr>
                <w:rFonts w:ascii="Arial Narrow" w:hAnsi="Arial Narrow" w:cs="Arial Narrow"/>
                <w:b/>
                <w:bCs/>
                <w:sz w:val="16"/>
                <w:szCs w:val="16"/>
                <w:lang w:eastAsia="sk-SK"/>
              </w:rPr>
            </w:pPr>
            <w:r w:rsidRPr="007B2B4F">
              <w:rPr>
                <w:rFonts w:ascii="Arial Narrow" w:hAnsi="Arial Narrow" w:cs="Arial Narrow"/>
                <w:b/>
                <w:bCs/>
                <w:sz w:val="16"/>
                <w:szCs w:val="16"/>
                <w:lang w:eastAsia="sk-SK"/>
              </w:rPr>
              <w:t>66 2</w:t>
            </w:r>
            <w:r>
              <w:rPr>
                <w:rFonts w:ascii="Arial Narrow" w:hAnsi="Arial Narrow" w:cs="Arial Narrow"/>
                <w:b/>
                <w:bCs/>
                <w:sz w:val="16"/>
                <w:szCs w:val="16"/>
                <w:lang w:eastAsia="sk-SK"/>
              </w:rPr>
              <w:t>40</w:t>
            </w:r>
          </w:p>
        </w:tc>
      </w:tr>
    </w:tbl>
    <w:p w:rsidR="00BC03F9" w:rsidP="00BC03F9">
      <w:pPr>
        <w:bidi w:val="0"/>
        <w:ind w:firstLine="708"/>
        <w:jc w:val="both"/>
        <w:rPr>
          <w:rFonts w:ascii="Arial Narrow" w:hAnsi="Arial Narrow" w:cs="Arial Narrow"/>
          <w:sz w:val="22"/>
          <w:szCs w:val="22"/>
        </w:rPr>
      </w:pPr>
    </w:p>
    <w:p w:rsidR="00BC03F9" w:rsidRPr="00513C58" w:rsidP="00BC03F9">
      <w:pPr>
        <w:bidi w:val="0"/>
        <w:ind w:firstLine="708"/>
        <w:jc w:val="both"/>
        <w:rPr>
          <w:rFonts w:ascii="Arial Narrow" w:hAnsi="Arial Narrow" w:cs="Arial Narrow"/>
          <w:sz w:val="22"/>
          <w:szCs w:val="22"/>
        </w:rPr>
      </w:pPr>
      <w:r>
        <w:rPr>
          <w:rFonts w:ascii="Arial Narrow" w:hAnsi="Arial Narrow" w:cs="Arial Narrow"/>
          <w:sz w:val="22"/>
          <w:szCs w:val="22"/>
        </w:rPr>
        <w:t xml:space="preserve">V rámci rozvoja obrany sú </w:t>
      </w:r>
      <w:r w:rsidRPr="00513C58">
        <w:rPr>
          <w:rFonts w:ascii="Arial Narrow" w:hAnsi="Arial Narrow" w:cs="Arial Narrow"/>
          <w:sz w:val="22"/>
          <w:szCs w:val="22"/>
        </w:rPr>
        <w:t xml:space="preserve">na rok 2011 vyčlenené prostriedky rozpočtované </w:t>
      </w:r>
      <w:r>
        <w:rPr>
          <w:rFonts w:ascii="Arial Narrow" w:hAnsi="Arial Narrow" w:cs="Arial Narrow"/>
          <w:sz w:val="22"/>
          <w:szCs w:val="22"/>
        </w:rPr>
        <w:t xml:space="preserve">na rozvojové aktivity rezortu, a to </w:t>
      </w:r>
      <w:r w:rsidRPr="00513C58">
        <w:rPr>
          <w:rFonts w:ascii="Arial Narrow" w:hAnsi="Arial Narrow" w:cs="Arial Narrow"/>
          <w:sz w:val="22"/>
          <w:szCs w:val="22"/>
        </w:rPr>
        <w:t xml:space="preserve">najmä na zabezpečenie realizácie </w:t>
      </w:r>
      <w:r>
        <w:rPr>
          <w:rFonts w:ascii="Arial Narrow" w:hAnsi="Arial Narrow" w:cs="Arial Narrow"/>
          <w:sz w:val="22"/>
          <w:szCs w:val="22"/>
        </w:rPr>
        <w:t xml:space="preserve">budovania </w:t>
      </w:r>
      <w:r w:rsidRPr="00513C58">
        <w:rPr>
          <w:rFonts w:ascii="Arial Narrow" w:hAnsi="Arial Narrow" w:cs="Arial Narrow"/>
          <w:sz w:val="22"/>
          <w:szCs w:val="22"/>
        </w:rPr>
        <w:t>komunikačných a informačných systémov, nákupu terénnej automobilovej techniky a modernizácie leteckej techniky.</w:t>
      </w:r>
      <w:r w:rsidRPr="00823DFC">
        <w:rPr>
          <w:rFonts w:ascii="Arial Narrow" w:hAnsi="Arial Narrow" w:cs="Arial Narrow"/>
          <w:sz w:val="22"/>
          <w:szCs w:val="22"/>
        </w:rPr>
        <w:t xml:space="preserve"> </w:t>
      </w:r>
      <w:r w:rsidRPr="00513C58">
        <w:rPr>
          <w:rFonts w:ascii="Arial Narrow" w:hAnsi="Arial Narrow" w:cs="Arial Narrow"/>
          <w:sz w:val="22"/>
          <w:szCs w:val="22"/>
        </w:rPr>
        <w:t>Ide hlavne o výdavky na výzbroj, techniku a špeciálny materiál.</w:t>
      </w:r>
    </w:p>
    <w:p w:rsidR="00BC03F9" w:rsidRPr="00513C58" w:rsidP="00BC03F9">
      <w:pPr>
        <w:bidi w:val="0"/>
        <w:jc w:val="both"/>
        <w:rPr>
          <w:rFonts w:ascii="Arial Narrow" w:hAnsi="Arial Narrow" w:cs="Arial Narrow"/>
          <w:sz w:val="22"/>
          <w:szCs w:val="22"/>
        </w:rPr>
      </w:pPr>
    </w:p>
    <w:p w:rsidR="00BC03F9" w:rsidRPr="00513C58" w:rsidP="00BC03F9">
      <w:pPr>
        <w:bidi w:val="0"/>
        <w:ind w:firstLine="708"/>
        <w:jc w:val="both"/>
        <w:rPr>
          <w:rFonts w:ascii="Arial Narrow" w:hAnsi="Arial Narrow" w:cs="Arial Narrow"/>
          <w:sz w:val="22"/>
          <w:szCs w:val="22"/>
        </w:rPr>
      </w:pPr>
      <w:r w:rsidRPr="00513C58">
        <w:rPr>
          <w:rFonts w:ascii="Arial Narrow" w:hAnsi="Arial Narrow" w:cs="Arial Narrow"/>
          <w:sz w:val="22"/>
          <w:szCs w:val="22"/>
        </w:rPr>
        <w:t xml:space="preserve">Pokles </w:t>
      </w:r>
      <w:r>
        <w:rPr>
          <w:rFonts w:ascii="Arial Narrow" w:hAnsi="Arial Narrow" w:cs="Arial Narrow"/>
          <w:sz w:val="22"/>
          <w:szCs w:val="22"/>
        </w:rPr>
        <w:t xml:space="preserve">výdavkov v roku 2011 </w:t>
      </w:r>
      <w:r w:rsidRPr="00513C58">
        <w:rPr>
          <w:rFonts w:ascii="Arial Narrow" w:hAnsi="Arial Narrow" w:cs="Arial Narrow"/>
          <w:sz w:val="22"/>
          <w:szCs w:val="22"/>
        </w:rPr>
        <w:t xml:space="preserve">oproti </w:t>
      </w:r>
      <w:r>
        <w:rPr>
          <w:rFonts w:ascii="Arial Narrow" w:hAnsi="Arial Narrow" w:cs="Arial Narrow"/>
          <w:sz w:val="22"/>
          <w:szCs w:val="22"/>
        </w:rPr>
        <w:t xml:space="preserve">schválenému rozpočtu </w:t>
      </w:r>
      <w:r w:rsidRPr="00513C58">
        <w:rPr>
          <w:rFonts w:ascii="Arial Narrow" w:hAnsi="Arial Narrow" w:cs="Arial Narrow"/>
          <w:sz w:val="22"/>
          <w:szCs w:val="22"/>
        </w:rPr>
        <w:t>rok</w:t>
      </w:r>
      <w:r>
        <w:rPr>
          <w:rFonts w:ascii="Arial Narrow" w:hAnsi="Arial Narrow" w:cs="Arial Narrow"/>
          <w:sz w:val="22"/>
          <w:szCs w:val="22"/>
        </w:rPr>
        <w:t>a</w:t>
      </w:r>
      <w:r w:rsidRPr="00513C58">
        <w:rPr>
          <w:rFonts w:ascii="Arial Narrow" w:hAnsi="Arial Narrow" w:cs="Arial Narrow"/>
          <w:sz w:val="22"/>
          <w:szCs w:val="22"/>
        </w:rPr>
        <w:t xml:space="preserve"> 2010 predstavuje 42,5 mil. eur</w:t>
      </w:r>
      <w:r>
        <w:rPr>
          <w:rFonts w:ascii="Arial Narrow" w:hAnsi="Arial Narrow" w:cs="Arial Narrow"/>
          <w:sz w:val="22"/>
          <w:szCs w:val="22"/>
        </w:rPr>
        <w:t xml:space="preserve">, čo je </w:t>
      </w:r>
      <w:r w:rsidRPr="00513C58">
        <w:rPr>
          <w:rFonts w:ascii="Arial Narrow" w:hAnsi="Arial Narrow" w:cs="Arial Narrow"/>
          <w:sz w:val="22"/>
          <w:szCs w:val="22"/>
        </w:rPr>
        <w:t>40,8%</w:t>
      </w:r>
      <w:r>
        <w:rPr>
          <w:rFonts w:ascii="Arial Narrow" w:hAnsi="Arial Narrow" w:cs="Arial Narrow"/>
          <w:sz w:val="22"/>
          <w:szCs w:val="22"/>
        </w:rPr>
        <w:t xml:space="preserve"> zníženie</w:t>
      </w:r>
      <w:r w:rsidRPr="00513C58">
        <w:rPr>
          <w:rFonts w:ascii="Arial Narrow" w:hAnsi="Arial Narrow" w:cs="Arial Narrow"/>
          <w:sz w:val="22"/>
          <w:szCs w:val="22"/>
        </w:rPr>
        <w:t xml:space="preserve">. K poklesu dochádza aj z dôvodu zníženia výdavkov na výstavbu a rekonštrukcie vojenských budov a infraštruktúry. Nárast zaznamenáva oblasť komunikačných a informačných systémov z dôvodu obstarávania telekomunikačnej techniky. </w:t>
      </w:r>
    </w:p>
    <w:p w:rsidR="00BC03F9" w:rsidP="00BC03F9">
      <w:pPr>
        <w:bidi w:val="0"/>
        <w:jc w:val="both"/>
        <w:rPr>
          <w:rFonts w:ascii="Arial Narrow" w:hAnsi="Arial Narrow" w:cs="Arial Narrow"/>
          <w:i/>
          <w:iCs/>
          <w:sz w:val="22"/>
          <w:szCs w:val="22"/>
        </w:rPr>
      </w:pPr>
    </w:p>
    <w:p w:rsidR="00BC03F9" w:rsidRPr="00BC5B07" w:rsidP="00BC03F9">
      <w:pPr>
        <w:bidi w:val="0"/>
        <w:spacing w:after="120"/>
        <w:jc w:val="both"/>
        <w:rPr>
          <w:rFonts w:ascii="Arial Narrow" w:hAnsi="Arial Narrow" w:cs="Arial Narrow"/>
          <w:i/>
          <w:iCs/>
          <w:sz w:val="22"/>
          <w:szCs w:val="22"/>
        </w:rPr>
      </w:pPr>
      <w:r w:rsidRPr="00BC5B07">
        <w:rPr>
          <w:rFonts w:ascii="Arial Narrow" w:hAnsi="Arial Narrow" w:cs="Arial Narrow"/>
          <w:i/>
          <w:iCs/>
          <w:sz w:val="22"/>
          <w:szCs w:val="22"/>
        </w:rPr>
        <w:t>Obrana</w:t>
      </w: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0F3285" w:rsidP="00E36B39">
            <w:pPr>
              <w:bidi w:val="0"/>
              <w:rPr>
                <w:rFonts w:ascii="Arial Narrow" w:hAnsi="Arial Narrow" w:cs="Arial Narrow"/>
                <w:b/>
                <w:bCs/>
                <w:sz w:val="16"/>
                <w:szCs w:val="16"/>
                <w:lang w:eastAsia="sk-SK"/>
              </w:rPr>
            </w:pPr>
            <w:r>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C03F9" w:rsidRPr="00915DE6" w:rsidP="00E36B39">
            <w:pPr>
              <w:bidi w:val="0"/>
              <w:rPr>
                <w:rFonts w:ascii="Arial Narrow" w:hAnsi="Arial Narrow" w:cs="Arial Narrow"/>
                <w:b/>
                <w:bCs/>
                <w:sz w:val="16"/>
                <w:szCs w:val="16"/>
                <w:lang w:eastAsia="sk-SK"/>
              </w:rPr>
            </w:pPr>
            <w:r w:rsidRPr="00915DE6">
              <w:rPr>
                <w:rFonts w:ascii="Arial Narrow" w:hAnsi="Arial Narrow" w:cs="Arial Narrow"/>
                <w:b/>
                <w:bCs/>
                <w:sz w:val="16"/>
                <w:szCs w:val="16"/>
                <w:lang w:eastAsia="sk-SK"/>
              </w:rPr>
              <w:t>Výdavky na obranu, z toho.</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915DE6" w:rsidP="00E36B39">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806</w:t>
            </w:r>
            <w:r w:rsidRPr="00915DE6">
              <w:rPr>
                <w:rFonts w:ascii="Arial Narrow" w:hAnsi="Arial Narrow" w:cs="Arial Narrow"/>
                <w:b/>
                <w:bCs/>
                <w:sz w:val="16"/>
                <w:szCs w:val="16"/>
                <w:lang w:eastAsia="sk-SK"/>
              </w:rPr>
              <w:t xml:space="preserve"> </w:t>
            </w:r>
            <w:r>
              <w:rPr>
                <w:rFonts w:ascii="Arial Narrow" w:hAnsi="Arial Narrow" w:cs="Arial Narrow"/>
                <w:b/>
                <w:bCs/>
                <w:sz w:val="16"/>
                <w:szCs w:val="16"/>
                <w:lang w:eastAsia="sk-SK"/>
              </w:rPr>
              <w:t>377</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915DE6" w:rsidP="00E36B39">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775 191</w:t>
            </w:r>
          </w:p>
        </w:tc>
        <w:tc>
          <w:tcPr>
            <w:tcW w:w="523" w:type="pct"/>
            <w:tcBorders>
              <w:top w:val="single" w:sz="4" w:space="0" w:color="auto"/>
              <w:left w:val="nil"/>
              <w:bottom w:val="single" w:sz="4" w:space="0" w:color="auto"/>
              <w:right w:val="single" w:sz="4" w:space="0" w:color="auto"/>
            </w:tcBorders>
            <w:shd w:val="clear" w:color="auto" w:fill="C0C0C0"/>
            <w:textDirection w:val="lrTb"/>
            <w:vAlign w:val="bottom"/>
          </w:tcPr>
          <w:p w:rsidR="00BC03F9" w:rsidRPr="00915DE6" w:rsidP="00E36B39">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718 842</w:t>
            </w:r>
          </w:p>
        </w:tc>
        <w:tc>
          <w:tcPr>
            <w:tcW w:w="523" w:type="pct"/>
            <w:tcBorders>
              <w:top w:val="single" w:sz="4" w:space="0" w:color="auto"/>
              <w:left w:val="nil"/>
              <w:bottom w:val="single" w:sz="4" w:space="0" w:color="auto"/>
              <w:right w:val="single" w:sz="4" w:space="0" w:color="auto"/>
            </w:tcBorders>
            <w:shd w:val="clear" w:color="auto" w:fill="C0C0C0"/>
            <w:noWrap/>
            <w:textDirection w:val="lrTb"/>
            <w:vAlign w:val="bottom"/>
          </w:tcPr>
          <w:p w:rsidR="00BC03F9" w:rsidRPr="00CA524D" w:rsidP="00E36B39">
            <w:pPr>
              <w:bidi w:val="0"/>
              <w:jc w:val="right"/>
              <w:rPr>
                <w:rFonts w:ascii="Arial Narrow" w:hAnsi="Arial Narrow" w:cs="Arial Narrow"/>
                <w:b/>
                <w:bCs/>
                <w:sz w:val="16"/>
                <w:szCs w:val="16"/>
                <w:lang w:eastAsia="sk-SK"/>
              </w:rPr>
            </w:pPr>
            <w:r w:rsidRPr="00CA524D">
              <w:rPr>
                <w:rFonts w:ascii="Arial Narrow" w:hAnsi="Arial Narrow" w:cs="Arial Narrow"/>
                <w:b/>
                <w:bCs/>
                <w:sz w:val="16"/>
                <w:szCs w:val="16"/>
                <w:lang w:eastAsia="sk-SK"/>
              </w:rPr>
              <w:t>698 167</w:t>
            </w:r>
          </w:p>
        </w:tc>
        <w:tc>
          <w:tcPr>
            <w:tcW w:w="523" w:type="pct"/>
            <w:tcBorders>
              <w:top w:val="single" w:sz="4" w:space="0" w:color="auto"/>
              <w:left w:val="nil"/>
              <w:bottom w:val="single" w:sz="4" w:space="0" w:color="auto"/>
              <w:right w:val="single" w:sz="4" w:space="0" w:color="auto"/>
            </w:tcBorders>
            <w:shd w:val="clear" w:color="auto" w:fill="C0C0C0"/>
            <w:noWrap/>
            <w:textDirection w:val="lrTb"/>
            <w:vAlign w:val="bottom"/>
          </w:tcPr>
          <w:p w:rsidR="00BC03F9" w:rsidRPr="00915DE6" w:rsidP="00E36B39">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674 480</w:t>
            </w:r>
          </w:p>
        </w:tc>
        <w:tc>
          <w:tcPr>
            <w:tcW w:w="523" w:type="pct"/>
            <w:tcBorders>
              <w:top w:val="single" w:sz="4" w:space="0" w:color="auto"/>
              <w:left w:val="nil"/>
              <w:bottom w:val="single" w:sz="4" w:space="0" w:color="auto"/>
              <w:right w:val="single" w:sz="4" w:space="0" w:color="auto"/>
            </w:tcBorders>
            <w:shd w:val="clear" w:color="auto" w:fill="C0C0C0"/>
            <w:noWrap/>
            <w:textDirection w:val="lrTb"/>
            <w:vAlign w:val="bottom"/>
          </w:tcPr>
          <w:p w:rsidR="00BC03F9" w:rsidRPr="00915DE6" w:rsidP="00E36B39">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674 480</w:t>
            </w:r>
          </w:p>
        </w:tc>
      </w:tr>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P="00E36B39">
            <w:pPr>
              <w:bidi w:val="0"/>
              <w:rPr>
                <w:rFonts w:ascii="Arial Narrow" w:hAnsi="Arial Narrow" w:cs="Arial Narrow"/>
                <w:sz w:val="16"/>
                <w:szCs w:val="16"/>
                <w:lang w:eastAsia="sk-SK"/>
              </w:rPr>
            </w:pPr>
            <w:r>
              <w:rPr>
                <w:rFonts w:ascii="Arial Narrow" w:hAnsi="Arial Narrow" w:cs="Arial Narrow"/>
                <w:sz w:val="16"/>
                <w:szCs w:val="16"/>
                <w:lang w:eastAsia="sk-SK"/>
              </w:rPr>
              <w:t>osobné výdavky</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363 221</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366 244</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348 088</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CA524D" w:rsidP="00E36B39">
            <w:pPr>
              <w:bidi w:val="0"/>
              <w:jc w:val="right"/>
              <w:rPr>
                <w:rFonts w:ascii="Arial Narrow" w:hAnsi="Arial Narrow" w:cs="Arial Narrow"/>
                <w:sz w:val="16"/>
                <w:szCs w:val="16"/>
                <w:lang w:eastAsia="sk-SK"/>
              </w:rPr>
            </w:pPr>
            <w:r w:rsidRPr="00CA524D">
              <w:rPr>
                <w:rFonts w:ascii="Arial Narrow" w:hAnsi="Arial Narrow" w:cs="Arial Narrow"/>
                <w:sz w:val="16"/>
                <w:szCs w:val="16"/>
                <w:lang w:eastAsia="sk-SK"/>
              </w:rPr>
              <w:t>366 934</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365 024</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365 016</w:t>
            </w:r>
          </w:p>
        </w:tc>
      </w:tr>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P="00E36B39">
            <w:pPr>
              <w:bidi w:val="0"/>
              <w:rPr>
                <w:rFonts w:ascii="Arial Narrow" w:hAnsi="Arial Narrow" w:cs="Arial Narrow"/>
                <w:sz w:val="16"/>
                <w:szCs w:val="16"/>
                <w:lang w:eastAsia="sk-SK"/>
              </w:rPr>
            </w:pPr>
            <w:r>
              <w:rPr>
                <w:rFonts w:ascii="Arial Narrow" w:hAnsi="Arial Narrow" w:cs="Arial Narrow"/>
                <w:sz w:val="16"/>
                <w:szCs w:val="16"/>
                <w:lang w:eastAsia="sk-SK"/>
              </w:rPr>
              <w:t xml:space="preserve">vecné výdavky </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327 488</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285 098</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234 005</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CA524D" w:rsidP="00E36B39">
            <w:pPr>
              <w:bidi w:val="0"/>
              <w:jc w:val="right"/>
              <w:rPr>
                <w:rFonts w:ascii="Arial Narrow" w:hAnsi="Arial Narrow" w:cs="Arial Narrow"/>
                <w:sz w:val="16"/>
                <w:szCs w:val="16"/>
              </w:rPr>
            </w:pPr>
            <w:r w:rsidRPr="00CA524D">
              <w:rPr>
                <w:rFonts w:ascii="Arial Narrow" w:hAnsi="Arial Narrow" w:cs="Arial Narrow"/>
                <w:sz w:val="16"/>
                <w:szCs w:val="16"/>
              </w:rPr>
              <w:t>193 856</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180 058</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8A19F5" w:rsidP="00E36B39">
            <w:pPr>
              <w:bidi w:val="0"/>
              <w:jc w:val="right"/>
              <w:rPr>
                <w:rFonts w:ascii="Arial Narrow" w:hAnsi="Arial Narrow" w:cs="Arial Narrow"/>
                <w:sz w:val="16"/>
                <w:szCs w:val="16"/>
                <w:lang w:eastAsia="sk-SK"/>
              </w:rPr>
            </w:pPr>
            <w:r>
              <w:rPr>
                <w:rFonts w:ascii="Arial Narrow" w:hAnsi="Arial Narrow" w:cs="Arial Narrow"/>
                <w:sz w:val="16"/>
                <w:szCs w:val="16"/>
                <w:lang w:eastAsia="sk-SK"/>
              </w:rPr>
              <w:t>180 603</w:t>
            </w:r>
          </w:p>
        </w:tc>
      </w:tr>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P="00E36B39">
            <w:pPr>
              <w:bidi w:val="0"/>
              <w:rPr>
                <w:rFonts w:ascii="Arial Narrow" w:hAnsi="Arial Narrow" w:cs="Arial Narrow"/>
                <w:sz w:val="16"/>
                <w:szCs w:val="16"/>
                <w:lang w:eastAsia="sk-SK"/>
              </w:rPr>
            </w:pPr>
            <w:r>
              <w:rPr>
                <w:rFonts w:ascii="Arial Narrow" w:hAnsi="Arial Narrow" w:cs="Arial Narrow"/>
                <w:sz w:val="16"/>
                <w:szCs w:val="16"/>
                <w:lang w:eastAsia="sk-SK"/>
              </w:rPr>
              <w:t>výdavky na sociálne zabezpečenie vojakov</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109 976</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118 299</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135 160</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135 099</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127 120</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126 583</w:t>
            </w:r>
          </w:p>
        </w:tc>
      </w:tr>
      <w:tr>
        <w:tblPrEx>
          <w:tblW w:w="4962" w:type="pct"/>
          <w:tblInd w:w="70" w:type="dxa"/>
          <w:tblCellMar>
            <w:left w:w="70" w:type="dxa"/>
            <w:right w:w="70" w:type="dxa"/>
          </w:tblCellMar>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P="00E36B39">
            <w:pPr>
              <w:bidi w:val="0"/>
              <w:rPr>
                <w:rFonts w:ascii="Arial Narrow" w:hAnsi="Arial Narrow" w:cs="Arial Narrow"/>
                <w:sz w:val="16"/>
                <w:szCs w:val="16"/>
                <w:lang w:eastAsia="sk-SK"/>
              </w:rPr>
            </w:pPr>
            <w:r>
              <w:rPr>
                <w:rFonts w:ascii="Arial Narrow" w:hAnsi="Arial Narrow" w:cs="Arial Narrow"/>
                <w:sz w:val="16"/>
                <w:szCs w:val="16"/>
                <w:lang w:eastAsia="sk-SK"/>
              </w:rPr>
              <w:t>účasť na medzirezortných programoch</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915DE6" w:rsidP="00E36B39">
            <w:pPr>
              <w:bidi w:val="0"/>
              <w:jc w:val="right"/>
              <w:rPr>
                <w:rFonts w:ascii="Arial Narrow" w:hAnsi="Arial Narrow" w:cs="Arial Narrow"/>
                <w:sz w:val="16"/>
                <w:szCs w:val="16"/>
              </w:rPr>
            </w:pPr>
            <w:r w:rsidRPr="00915DE6">
              <w:rPr>
                <w:rFonts w:ascii="Arial Narrow" w:hAnsi="Arial Narrow" w:cs="Arial Narrow"/>
                <w:sz w:val="16"/>
                <w:szCs w:val="16"/>
              </w:rPr>
              <w:t xml:space="preserve">5 </w:t>
            </w:r>
            <w:r>
              <w:rPr>
                <w:rFonts w:ascii="Arial Narrow" w:hAnsi="Arial Narrow" w:cs="Arial Narrow"/>
                <w:sz w:val="16"/>
                <w:szCs w:val="16"/>
              </w:rPr>
              <w:t>692</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5 550</w:t>
            </w:r>
          </w:p>
        </w:tc>
        <w:tc>
          <w:tcPr>
            <w:tcW w:w="523" w:type="pct"/>
            <w:tcBorders>
              <w:top w:val="single" w:sz="4" w:space="0" w:color="auto"/>
              <w:left w:val="nil"/>
              <w:bottom w:val="single" w:sz="4" w:space="0" w:color="auto"/>
              <w:right w:val="single" w:sz="4" w:space="0" w:color="auto"/>
            </w:tcBorders>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1 589</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2 278</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2 278</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P="00E36B39">
            <w:pPr>
              <w:bidi w:val="0"/>
              <w:jc w:val="right"/>
              <w:rPr>
                <w:rFonts w:ascii="Arial Narrow" w:hAnsi="Arial Narrow" w:cs="Arial Narrow"/>
                <w:sz w:val="16"/>
                <w:szCs w:val="16"/>
              </w:rPr>
            </w:pPr>
            <w:r>
              <w:rPr>
                <w:rFonts w:ascii="Arial Narrow" w:hAnsi="Arial Narrow" w:cs="Arial Narrow"/>
                <w:sz w:val="16"/>
                <w:szCs w:val="16"/>
              </w:rPr>
              <w:t>2 278</w:t>
            </w:r>
          </w:p>
        </w:tc>
      </w:tr>
    </w:tbl>
    <w:p w:rsidR="00BC03F9" w:rsidP="00BC03F9">
      <w:pPr>
        <w:bidi w:val="0"/>
        <w:ind w:firstLine="708"/>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sidRPr="00FD0A9B">
        <w:rPr>
          <w:rFonts w:ascii="Arial Narrow" w:hAnsi="Arial Narrow" w:cs="Arial Narrow"/>
          <w:sz w:val="22"/>
          <w:szCs w:val="22"/>
        </w:rPr>
        <w:t xml:space="preserve">V rámci programu Obrana sa zabezpečuje </w:t>
      </w:r>
      <w:r>
        <w:rPr>
          <w:rFonts w:ascii="Arial Narrow" w:hAnsi="Arial Narrow" w:cs="Arial Narrow"/>
          <w:sz w:val="22"/>
          <w:szCs w:val="22"/>
        </w:rPr>
        <w:t xml:space="preserve">financovanie bežnej prevádzky rezortu, ako najmä </w:t>
      </w:r>
      <w:r w:rsidRPr="00FD0A9B">
        <w:rPr>
          <w:rFonts w:ascii="Arial Narrow" w:hAnsi="Arial Narrow" w:cs="Arial Narrow"/>
          <w:sz w:val="22"/>
          <w:szCs w:val="22"/>
        </w:rPr>
        <w:t>riadenie, velenie a podpora obrany, vzdelávanie v rámci Akadémie ozbrojených síl M. R. Štefánika v Liptovskom Mikuláši, správa majetku</w:t>
      </w:r>
      <w:r>
        <w:rPr>
          <w:rFonts w:ascii="Arial Narrow" w:hAnsi="Arial Narrow" w:cs="Arial Narrow"/>
          <w:sz w:val="22"/>
          <w:szCs w:val="22"/>
        </w:rPr>
        <w:t>,</w:t>
      </w:r>
      <w:r w:rsidRPr="00FD0A9B">
        <w:rPr>
          <w:rFonts w:ascii="Arial Narrow" w:hAnsi="Arial Narrow" w:cs="Arial Narrow"/>
          <w:sz w:val="22"/>
          <w:szCs w:val="22"/>
        </w:rPr>
        <w:t xml:space="preserve"> ako aj operácie medzinárodného krízového manažmentu. Rozpočtujú sa tu výdavky na vojenskú políciu, vojenskú prokuratúru, činnosť spravodajských služieb, Vojenského archívu v Trnave,  Úradu hlavného lekára, Úradu špeciálneho zdravotníctva a výcviku Lešť, výdavky na územné vojenské správy, Vojenského technického a skúšobného ústavu Záhorie, Vojenského úradu sociálneho zabezpečenia, úlohy Ordinariátu Ozbrojených síl, Vojenského historického ústavu, Úradu pre obrannú štandardizáciu, Vojenského športového centra Dukla Banská Bystrica, Vojenského folklórneho súboru Jánošík. </w:t>
      </w:r>
      <w:r>
        <w:rPr>
          <w:rFonts w:ascii="Arial Narrow" w:hAnsi="Arial Narrow" w:cs="Arial Narrow"/>
          <w:sz w:val="22"/>
          <w:szCs w:val="22"/>
        </w:rPr>
        <w:t>Zároveň sem patrí aj účasť kapitoly na medzirezortných programoch.</w:t>
      </w:r>
    </w:p>
    <w:p w:rsidR="00BC03F9" w:rsidP="00BC03F9">
      <w:pPr>
        <w:bidi w:val="0"/>
        <w:ind w:firstLine="708"/>
        <w:jc w:val="both"/>
        <w:rPr>
          <w:rFonts w:ascii="Arial Narrow" w:hAnsi="Arial Narrow" w:cs="Arial Narrow"/>
          <w:sz w:val="22"/>
          <w:szCs w:val="22"/>
        </w:rPr>
      </w:pPr>
    </w:p>
    <w:p w:rsidR="00BC03F9" w:rsidRPr="00BA7676" w:rsidP="00BC03F9">
      <w:pPr>
        <w:bidi w:val="0"/>
        <w:ind w:firstLine="708"/>
        <w:jc w:val="both"/>
        <w:rPr>
          <w:rFonts w:ascii="Arial Narrow" w:hAnsi="Arial Narrow"/>
          <w:sz w:val="22"/>
          <w:szCs w:val="22"/>
        </w:rPr>
      </w:pPr>
      <w:r w:rsidRPr="00BA7676">
        <w:rPr>
          <w:rFonts w:ascii="Arial Narrow" w:hAnsi="Arial Narrow"/>
          <w:sz w:val="22"/>
          <w:szCs w:val="22"/>
        </w:rPr>
        <w:t>Objem osobných výdavkov sa pre rok 2011 rozpočtuje na úrovni 367 mil. eur, čo v porovnaní s upraveným rozpočtom roka 2010 predstavuje nárast o 1,25 % (4,5 mil. eur). Medziročný nárast osobných výdavkov je ovplyvnený dopočtom valorizácie z roku 2010 vo výške 1 % pre všetkých zamestnancov, s výnimkou prokurátorov, kde nárast platov bol dopočítaný vo výške 2,95 %, dofinancovaním osobných výdavkov v nadväznosti na vykonanú reorganizáciou rezortu v rokoch 2009 až 2010, ktoré vyplynulo zo zmeny štruktúry zamestnancov, vykrytím zvýšených zahraničných príspevkov vojakov v zahraničných misiách, a tiež znížením počtu zamestnancov o 121 osôb. Kapitole bolo vrátené</w:t>
      </w:r>
      <w:r w:rsidRPr="00BA7676">
        <w:rPr>
          <w:rFonts w:ascii="Arial Narrow" w:hAnsi="Arial Narrow"/>
          <w:i/>
          <w:iCs/>
          <w:sz w:val="22"/>
          <w:szCs w:val="22"/>
        </w:rPr>
        <w:t xml:space="preserve"> z</w:t>
      </w:r>
      <w:r w:rsidRPr="00BA7676">
        <w:rPr>
          <w:rFonts w:ascii="Arial Narrow" w:hAnsi="Arial Narrow"/>
          <w:sz w:val="22"/>
          <w:szCs w:val="22"/>
        </w:rPr>
        <w:t>níženie osobných výdavkov o 10 %, a to na úkor zníženia vecných výdavkov. V roku 2011 ide o dočasné zvýšenie osobných výdavkov. Vzhľadom na potrebu podrobnejšej analýzy v rezorte obrany budú osobné výdavky znížené od roku 2012.</w:t>
      </w:r>
    </w:p>
    <w:p w:rsidR="00BC03F9" w:rsidP="00BC03F9">
      <w:pPr>
        <w:bidi w:val="0"/>
        <w:ind w:firstLine="708"/>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sidRPr="00CA524D">
        <w:rPr>
          <w:rFonts w:ascii="Arial Narrow" w:hAnsi="Arial Narrow" w:cs="Arial Narrow"/>
          <w:sz w:val="22"/>
          <w:szCs w:val="22"/>
        </w:rPr>
        <w:t>Vecné výdavky v roku 2011 v porovnaní so schváleným rozpočtom na rok 2010 klesajú o 40,1 mil. eur, čo predstavuje 17,2% zníženie.</w:t>
      </w:r>
    </w:p>
    <w:p w:rsidR="00BC03F9" w:rsidP="00BC03F9">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70"/>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0F3285" w:rsidP="00E36B39">
            <w:pPr>
              <w:bidi w:val="0"/>
              <w:rPr>
                <w:rFonts w:ascii="Arial Narrow" w:hAnsi="Arial Narrow" w:cs="Arial Narrow"/>
                <w:b/>
                <w:bCs/>
                <w:sz w:val="16"/>
                <w:szCs w:val="16"/>
                <w:lang w:eastAsia="sk-SK"/>
              </w:rPr>
            </w:pPr>
            <w:r>
              <w:rPr>
                <w:rFonts w:ascii="Arial Narrow" w:hAnsi="Arial Narrow" w:cs="Arial Narrow"/>
                <w:b/>
                <w:bCs/>
                <w:sz w:val="16"/>
                <w:szCs w:val="16"/>
                <w:lang w:eastAsia="sk-SK"/>
              </w:rPr>
              <w:t>Systém sociálneho zabezpečenia v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0F3285" w:rsidP="00E36B39">
            <w:pPr>
              <w:bidi w:val="0"/>
              <w:jc w:val="center"/>
              <w:rPr>
                <w:rFonts w:ascii="Arial Narrow" w:hAnsi="Arial Narrow" w:cs="Arial Narrow"/>
                <w:b/>
                <w:bCs/>
                <w:sz w:val="16"/>
                <w:szCs w:val="16"/>
                <w:lang w:eastAsia="sk-SK"/>
              </w:rPr>
            </w:pPr>
            <w:r w:rsidRPr="000F3285">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70"/>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BB4354" w:rsidP="00E36B39">
            <w:pPr>
              <w:bidi w:val="0"/>
              <w:rPr>
                <w:rFonts w:ascii="Arial Narrow" w:hAnsi="Arial Narrow" w:cs="Arial Narrow"/>
                <w:sz w:val="16"/>
                <w:szCs w:val="16"/>
                <w:lang w:eastAsia="sk-SK"/>
              </w:rPr>
            </w:pPr>
            <w:r w:rsidRPr="00BB4354">
              <w:rPr>
                <w:rFonts w:ascii="Arial Narrow" w:hAnsi="Arial Narrow" w:cs="Arial Narrow"/>
                <w:sz w:val="16"/>
                <w:szCs w:val="16"/>
                <w:lang w:eastAsia="sk-SK"/>
              </w:rPr>
              <w:t>osobitný účet</w:t>
            </w:r>
            <w:r>
              <w:rPr>
                <w:rFonts w:ascii="Arial Narrow" w:hAnsi="Arial Narrow" w:cs="Arial Narrow"/>
                <w:sz w:val="16"/>
                <w:szCs w:val="16"/>
                <w:lang w:eastAsia="sk-SK"/>
              </w:rPr>
              <w:t xml:space="preserve"> (sociálne dávky)</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70 902</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78 258</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94 473</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95 589</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87 656</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87 042</w:t>
            </w:r>
          </w:p>
        </w:tc>
      </w:tr>
      <w:tr>
        <w:tblPrEx>
          <w:tblW w:w="4962" w:type="pct"/>
          <w:tblInd w:w="70" w:type="dxa"/>
          <w:tblCellMar>
            <w:left w:w="70" w:type="dxa"/>
            <w:right w:w="70" w:type="dxa"/>
          </w:tblCellMar>
        </w:tblPrEx>
        <w:trPr>
          <w:trHeight w:val="270"/>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BB4354" w:rsidP="00E36B39">
            <w:pPr>
              <w:bidi w:val="0"/>
              <w:rPr>
                <w:rFonts w:ascii="Arial Narrow" w:hAnsi="Arial Narrow" w:cs="Arial Narrow"/>
                <w:sz w:val="16"/>
                <w:szCs w:val="16"/>
                <w:lang w:eastAsia="sk-SK"/>
              </w:rPr>
            </w:pPr>
            <w:r w:rsidRPr="00BB4354">
              <w:rPr>
                <w:rFonts w:ascii="Arial Narrow" w:hAnsi="Arial Narrow" w:cs="Arial Narrow"/>
                <w:sz w:val="16"/>
                <w:szCs w:val="16"/>
                <w:lang w:eastAsia="sk-SK"/>
              </w:rPr>
              <w:t>príspevok na bývanie</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39 074</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40 042</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40 688</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39 510</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Pr>
                <w:rFonts w:ascii="Arial Narrow" w:hAnsi="Arial Narrow" w:cs="Arial Narrow"/>
                <w:sz w:val="16"/>
                <w:szCs w:val="16"/>
                <w:lang w:eastAsia="sk-SK"/>
              </w:rPr>
              <w:t>39 464</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BB4354" w:rsidP="00E36B39">
            <w:pPr>
              <w:bidi w:val="0"/>
              <w:jc w:val="center"/>
              <w:rPr>
                <w:rFonts w:ascii="Arial Narrow" w:hAnsi="Arial Narrow" w:cs="Arial Narrow"/>
                <w:sz w:val="16"/>
                <w:szCs w:val="16"/>
                <w:lang w:eastAsia="sk-SK"/>
              </w:rPr>
            </w:pPr>
            <w:r w:rsidRPr="00BB4354">
              <w:rPr>
                <w:rFonts w:ascii="Arial Narrow" w:hAnsi="Arial Narrow" w:cs="Arial Narrow"/>
                <w:sz w:val="16"/>
                <w:szCs w:val="16"/>
                <w:lang w:eastAsia="sk-SK"/>
              </w:rPr>
              <w:t>39 541</w:t>
            </w:r>
          </w:p>
        </w:tc>
      </w:tr>
    </w:tbl>
    <w:p w:rsidR="00BC03F9" w:rsidRPr="00513C58" w:rsidP="00BC03F9">
      <w:pPr>
        <w:bidi w:val="0"/>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sidRPr="00513C58">
        <w:rPr>
          <w:rFonts w:ascii="Arial Narrow" w:hAnsi="Arial Narrow" w:cs="Arial Narrow"/>
          <w:sz w:val="22"/>
          <w:szCs w:val="22"/>
        </w:rPr>
        <w:t>Systém sociálneho zabezpečenia definovaný v zákone č. 328/2002 Z. z. o sociálnom zabezpečení policajtov a vojakov je pri súčasných existujúcich parametroch vysoko deficitný. Vzhľadom na úroveň sociálnych benefitov a vývoj počtu prispievateľov a prijímateľov v rámci systému sociálneho zabezpečenia sa tak každoročne odčerpáva zo štátneho rozpočtu významná suma zdrojov, ktorá tak znižuje disponibilné zdroje rezortu.</w:t>
      </w:r>
    </w:p>
    <w:p w:rsidR="00BC03F9" w:rsidRPr="00FD0A9B" w:rsidP="00BC03F9">
      <w:pPr>
        <w:bidi w:val="0"/>
        <w:ind w:firstLine="708"/>
        <w:jc w:val="both"/>
        <w:rPr>
          <w:rFonts w:ascii="Arial Narrow" w:hAnsi="Arial Narrow" w:cs="Arial Narrow"/>
          <w:sz w:val="22"/>
          <w:szCs w:val="22"/>
        </w:rPr>
      </w:pPr>
    </w:p>
    <w:p w:rsidR="00BC03F9" w:rsidP="00BC03F9">
      <w:pPr>
        <w:bidi w:val="0"/>
        <w:ind w:firstLine="708"/>
        <w:jc w:val="both"/>
        <w:rPr>
          <w:rFonts w:ascii="Arial Narrow" w:hAnsi="Arial Narrow" w:cs="Arial Narrow"/>
          <w:sz w:val="22"/>
          <w:szCs w:val="22"/>
        </w:rPr>
      </w:pPr>
      <w:r w:rsidRPr="00BE77CD">
        <w:rPr>
          <w:rFonts w:ascii="Arial Narrow" w:hAnsi="Arial Narrow" w:cs="Arial Narrow"/>
          <w:sz w:val="22"/>
          <w:szCs w:val="22"/>
        </w:rPr>
        <w:t xml:space="preserve">V rámci </w:t>
      </w:r>
      <w:r>
        <w:rPr>
          <w:rFonts w:ascii="Arial Narrow" w:hAnsi="Arial Narrow" w:cs="Arial Narrow"/>
          <w:sz w:val="22"/>
          <w:szCs w:val="22"/>
        </w:rPr>
        <w:t xml:space="preserve">výdavkov na obranu sa rozpočtujú aj zdroje na financovanie </w:t>
      </w:r>
      <w:r w:rsidRPr="00BE77CD">
        <w:rPr>
          <w:rFonts w:ascii="Arial Narrow" w:hAnsi="Arial Narrow" w:cs="Arial Narrow"/>
          <w:sz w:val="22"/>
          <w:szCs w:val="22"/>
        </w:rPr>
        <w:t>operácií mimo územia štátu</w:t>
      </w:r>
      <w:r>
        <w:rPr>
          <w:rFonts w:ascii="Arial Narrow" w:hAnsi="Arial Narrow" w:cs="Arial Narrow"/>
          <w:sz w:val="22"/>
          <w:szCs w:val="22"/>
        </w:rPr>
        <w:t xml:space="preserve">, v ktorých </w:t>
      </w:r>
      <w:r w:rsidRPr="00BE77CD">
        <w:rPr>
          <w:rFonts w:ascii="Arial Narrow" w:hAnsi="Arial Narrow" w:cs="Arial Narrow"/>
          <w:sz w:val="22"/>
          <w:szCs w:val="22"/>
        </w:rPr>
        <w:t xml:space="preserve">pôsobí </w:t>
      </w:r>
      <w:r>
        <w:rPr>
          <w:rFonts w:ascii="Arial Narrow" w:hAnsi="Arial Narrow" w:cs="Arial Narrow"/>
          <w:sz w:val="22"/>
          <w:szCs w:val="22"/>
        </w:rPr>
        <w:t>538</w:t>
      </w:r>
      <w:r w:rsidRPr="00BE77CD">
        <w:rPr>
          <w:rFonts w:ascii="Arial Narrow" w:hAnsi="Arial Narrow" w:cs="Arial Narrow"/>
          <w:sz w:val="22"/>
          <w:szCs w:val="22"/>
        </w:rPr>
        <w:t xml:space="preserve"> vojakov v nasledovných misiách:</w:t>
      </w:r>
    </w:p>
    <w:p w:rsidR="00BC03F9" w:rsidRPr="00BE77CD" w:rsidP="00BC03F9">
      <w:pPr>
        <w:bidi w:val="0"/>
        <w:ind w:firstLine="708"/>
        <w:jc w:val="both"/>
        <w:rPr>
          <w:rFonts w:ascii="Arial Narrow" w:hAnsi="Arial Narrow" w:cs="Arial Narrow"/>
          <w:sz w:val="22"/>
          <w:szCs w:val="22"/>
        </w:rPr>
      </w:pPr>
    </w:p>
    <w:p w:rsidR="00BC03F9" w:rsidRPr="00FD0A9B" w:rsidP="00BE7180">
      <w:pPr>
        <w:numPr>
          <w:numId w:val="10"/>
        </w:numPr>
        <w:bidi w:val="0"/>
        <w:jc w:val="both"/>
        <w:rPr>
          <w:rFonts w:ascii="Arial Narrow" w:hAnsi="Arial Narrow" w:cs="Arial Narrow"/>
          <w:sz w:val="22"/>
          <w:szCs w:val="22"/>
        </w:rPr>
      </w:pPr>
      <w:r w:rsidRPr="00FD0A9B">
        <w:rPr>
          <w:rFonts w:ascii="Arial Narrow" w:hAnsi="Arial Narrow" w:cs="Arial Narrow"/>
          <w:sz w:val="22"/>
          <w:szCs w:val="22"/>
        </w:rPr>
        <w:t xml:space="preserve">Operácie OSN:UNFICYP Cyprus – 195 osôb, UNTSO Sýria – 2 osoby, </w:t>
      </w:r>
    </w:p>
    <w:p w:rsidR="00BC03F9" w:rsidRPr="00FD0A9B" w:rsidP="00BE7180">
      <w:pPr>
        <w:numPr>
          <w:numId w:val="10"/>
        </w:numPr>
        <w:bidi w:val="0"/>
        <w:jc w:val="both"/>
        <w:rPr>
          <w:rFonts w:ascii="Arial Narrow" w:hAnsi="Arial Narrow" w:cs="Arial Narrow"/>
          <w:sz w:val="22"/>
          <w:szCs w:val="22"/>
        </w:rPr>
      </w:pPr>
      <w:r w:rsidRPr="00FD0A9B">
        <w:rPr>
          <w:rFonts w:ascii="Arial Narrow" w:hAnsi="Arial Narrow" w:cs="Arial Narrow"/>
          <w:sz w:val="22"/>
          <w:szCs w:val="22"/>
        </w:rPr>
        <w:t>Operácie EU: Althea Bosna + HQ 39 osôb, EÚMM Gruzínsko – 1 osoba,</w:t>
      </w:r>
    </w:p>
    <w:p w:rsidR="00BC03F9" w:rsidP="00BE7180">
      <w:pPr>
        <w:numPr>
          <w:numId w:val="10"/>
        </w:numPr>
        <w:bidi w:val="0"/>
        <w:jc w:val="both"/>
        <w:rPr>
          <w:rFonts w:ascii="Arial Narrow" w:hAnsi="Arial Narrow" w:cs="Arial Narrow"/>
          <w:sz w:val="22"/>
          <w:szCs w:val="22"/>
        </w:rPr>
      </w:pPr>
      <w:r w:rsidRPr="00FD0A9B">
        <w:rPr>
          <w:rFonts w:ascii="Arial Narrow" w:hAnsi="Arial Narrow" w:cs="Arial Narrow"/>
          <w:sz w:val="22"/>
          <w:szCs w:val="22"/>
        </w:rPr>
        <w:t>Operácie NATO: ISAF Afganistan 300 osôb, NATO HQ Sarajevo – 1 osoba</w:t>
      </w:r>
    </w:p>
    <w:p w:rsidR="00BC03F9" w:rsidP="00BC03F9">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405"/>
        <w:gridCol w:w="957"/>
        <w:gridCol w:w="956"/>
        <w:gridCol w:w="956"/>
        <w:gridCol w:w="956"/>
        <w:gridCol w:w="956"/>
        <w:gridCol w:w="956"/>
      </w:tblGrid>
      <w:tr>
        <w:tblPrEx>
          <w:tblW w:w="4962" w:type="pct"/>
          <w:tblInd w:w="70" w:type="dxa"/>
          <w:tblCellMar>
            <w:left w:w="70" w:type="dxa"/>
            <w:right w:w="70" w:type="dxa"/>
          </w:tblCellMar>
        </w:tblPrEx>
        <w:trPr>
          <w:trHeight w:val="270"/>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BC03F9" w:rsidRPr="002667D6" w:rsidP="00E36B39">
            <w:pPr>
              <w:bidi w:val="0"/>
              <w:rPr>
                <w:rFonts w:ascii="Arial Narrow" w:hAnsi="Arial Narrow" w:cs="Arial Narrow"/>
                <w:b/>
                <w:bCs/>
                <w:sz w:val="16"/>
                <w:szCs w:val="16"/>
                <w:lang w:eastAsia="sk-SK"/>
              </w:rPr>
            </w:pPr>
            <w:r w:rsidRPr="002667D6">
              <w:rPr>
                <w:rFonts w:ascii="Arial Narrow" w:hAnsi="Arial Narrow" w:cs="Arial Narrow"/>
                <w:b/>
                <w:bCs/>
                <w:sz w:val="16"/>
                <w:szCs w:val="16"/>
                <w:lang w:eastAsia="sk-SK"/>
              </w:rPr>
              <w:t>Operácie mimo územia štátu</w:t>
            </w:r>
            <w:r>
              <w:rPr>
                <w:rFonts w:ascii="Arial Narrow" w:hAnsi="Arial Narrow" w:cs="Arial Narrow"/>
                <w:b/>
                <w:bCs/>
                <w:sz w:val="16"/>
                <w:szCs w:val="16"/>
                <w:lang w:eastAsia="sk-SK"/>
              </w:rPr>
              <w:t xml:space="preserve"> v tis. eur</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BC03F9" w:rsidRPr="002667D6" w:rsidP="00E36B39">
            <w:pPr>
              <w:bidi w:val="0"/>
              <w:jc w:val="center"/>
              <w:rPr>
                <w:rFonts w:ascii="Arial Narrow" w:hAnsi="Arial Narrow" w:cs="Arial Narrow"/>
                <w:b/>
                <w:bCs/>
                <w:sz w:val="16"/>
                <w:szCs w:val="16"/>
                <w:lang w:eastAsia="sk-SK"/>
              </w:rPr>
            </w:pPr>
            <w:r w:rsidRPr="002667D6">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F52287" w:rsidP="00E36B39">
            <w:pPr>
              <w:bidi w:val="0"/>
              <w:rPr>
                <w:rFonts w:ascii="Arial Narrow" w:hAnsi="Arial Narrow" w:cs="Arial Narrow"/>
                <w:sz w:val="16"/>
                <w:szCs w:val="16"/>
                <w:lang w:eastAsia="sk-SK"/>
              </w:rPr>
            </w:pPr>
            <w:r w:rsidRPr="00F52287">
              <w:rPr>
                <w:rFonts w:ascii="Arial Narrow" w:hAnsi="Arial Narrow" w:cs="Arial Narrow"/>
                <w:sz w:val="16"/>
                <w:szCs w:val="16"/>
                <w:lang w:eastAsia="sk-SK"/>
              </w:rPr>
              <w:t>Osobné výdavky</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20 065</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21 965</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19 585</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19 503</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19 495</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F52287" w:rsidP="00E36B39">
            <w:pPr>
              <w:bidi w:val="0"/>
              <w:rPr>
                <w:rFonts w:ascii="Arial Narrow" w:hAnsi="Arial Narrow" w:cs="Arial Narrow"/>
                <w:sz w:val="16"/>
                <w:szCs w:val="16"/>
                <w:lang w:eastAsia="sk-SK"/>
              </w:rPr>
            </w:pPr>
            <w:r w:rsidRPr="00F52287">
              <w:rPr>
                <w:rFonts w:ascii="Arial Narrow" w:hAnsi="Arial Narrow" w:cs="Arial Narrow"/>
                <w:sz w:val="16"/>
                <w:szCs w:val="16"/>
                <w:lang w:eastAsia="sk-SK"/>
              </w:rPr>
              <w:t>Tovary a služby</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18 683</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23 622</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19 648</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20 709</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21 263</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noWrap/>
            <w:textDirection w:val="lrTb"/>
            <w:vAlign w:val="bottom"/>
          </w:tcPr>
          <w:p w:rsidR="00BC03F9" w:rsidRPr="00F52287" w:rsidP="00E36B39">
            <w:pPr>
              <w:bidi w:val="0"/>
              <w:rPr>
                <w:rFonts w:ascii="Arial Narrow" w:hAnsi="Arial Narrow" w:cs="Arial Narrow"/>
                <w:sz w:val="16"/>
                <w:szCs w:val="16"/>
                <w:lang w:eastAsia="sk-SK"/>
              </w:rPr>
            </w:pPr>
            <w:r>
              <w:rPr>
                <w:rFonts w:ascii="Arial Narrow" w:hAnsi="Arial Narrow" w:cs="Arial Narrow"/>
                <w:sz w:val="16"/>
                <w:szCs w:val="16"/>
                <w:lang w:eastAsia="sk-SK"/>
              </w:rPr>
              <w:t>T</w:t>
            </w:r>
            <w:r w:rsidRPr="00F52287">
              <w:rPr>
                <w:rFonts w:ascii="Arial Narrow" w:hAnsi="Arial Narrow" w:cs="Arial Narrow"/>
                <w:sz w:val="16"/>
                <w:szCs w:val="16"/>
                <w:lang w:eastAsia="sk-SK"/>
              </w:rPr>
              <w:t>ransfery</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1 717</w:t>
            </w:r>
          </w:p>
        </w:tc>
        <w:tc>
          <w:tcPr>
            <w:tcW w:w="523" w:type="pct"/>
            <w:tcBorders>
              <w:top w:val="nil"/>
              <w:left w:val="nil"/>
              <w:bottom w:val="single" w:sz="4" w:space="0" w:color="auto"/>
              <w:right w:val="single" w:sz="4" w:space="0" w:color="auto"/>
            </w:tcBorders>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1 669</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1 268</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1 268</w:t>
            </w:r>
          </w:p>
        </w:tc>
        <w:tc>
          <w:tcPr>
            <w:tcW w:w="523" w:type="pct"/>
            <w:tcBorders>
              <w:top w:val="nil"/>
              <w:left w:val="nil"/>
              <w:bottom w:val="single" w:sz="4" w:space="0" w:color="auto"/>
              <w:right w:val="single" w:sz="4" w:space="0" w:color="auto"/>
            </w:tcBorders>
            <w:noWrap/>
            <w:textDirection w:val="lrTb"/>
            <w:vAlign w:val="bottom"/>
          </w:tcPr>
          <w:p w:rsidR="00BC03F9" w:rsidRPr="00F52287" w:rsidP="00E36B39">
            <w:pPr>
              <w:bidi w:val="0"/>
              <w:jc w:val="right"/>
              <w:rPr>
                <w:rFonts w:ascii="Arial Narrow" w:hAnsi="Arial Narrow" w:cs="Arial Narrow"/>
                <w:sz w:val="16"/>
                <w:szCs w:val="16"/>
                <w:lang w:eastAsia="sk-SK"/>
              </w:rPr>
            </w:pPr>
            <w:r w:rsidRPr="00F52287">
              <w:rPr>
                <w:rFonts w:ascii="Arial Narrow" w:hAnsi="Arial Narrow" w:cs="Arial Narrow"/>
                <w:sz w:val="16"/>
                <w:szCs w:val="16"/>
                <w:lang w:eastAsia="sk-SK"/>
              </w:rPr>
              <w:t>1 268</w:t>
            </w:r>
          </w:p>
        </w:tc>
      </w:tr>
      <w:tr>
        <w:tblPrEx>
          <w:tblW w:w="4962" w:type="pct"/>
          <w:tblInd w:w="70" w:type="dxa"/>
          <w:tblCellMar>
            <w:left w:w="70" w:type="dxa"/>
            <w:right w:w="70" w:type="dxa"/>
          </w:tblCellMar>
        </w:tblPrEx>
        <w:trPr>
          <w:trHeight w:val="270"/>
        </w:trPr>
        <w:tc>
          <w:tcPr>
            <w:tcW w:w="1862" w:type="pct"/>
            <w:tcBorders>
              <w:top w:val="nil"/>
              <w:left w:val="single" w:sz="4" w:space="0" w:color="auto"/>
              <w:bottom w:val="single" w:sz="4" w:space="0" w:color="auto"/>
              <w:right w:val="single" w:sz="4" w:space="0" w:color="auto"/>
            </w:tcBorders>
            <w:shd w:val="clear" w:color="auto" w:fill="C0C0C0"/>
            <w:noWrap/>
            <w:textDirection w:val="lrTb"/>
            <w:vAlign w:val="bottom"/>
          </w:tcPr>
          <w:p w:rsidR="00BC03F9" w:rsidRPr="00F52287" w:rsidP="00E36B39">
            <w:pPr>
              <w:bidi w:val="0"/>
              <w:rPr>
                <w:rFonts w:ascii="Arial Narrow" w:hAnsi="Arial Narrow" w:cs="Arial Narrow"/>
                <w:b/>
                <w:bCs/>
                <w:sz w:val="16"/>
                <w:szCs w:val="16"/>
                <w:lang w:eastAsia="sk-SK"/>
              </w:rPr>
            </w:pPr>
            <w:r w:rsidRPr="00F52287">
              <w:rPr>
                <w:rFonts w:ascii="Arial Narrow" w:hAnsi="Arial Narrow" w:cs="Arial Narrow"/>
                <w:b/>
                <w:bCs/>
                <w:sz w:val="16"/>
                <w:szCs w:val="16"/>
                <w:lang w:eastAsia="sk-SK"/>
              </w:rPr>
              <w:t>Spolu</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40 465</w:t>
            </w:r>
          </w:p>
        </w:tc>
        <w:tc>
          <w:tcPr>
            <w:tcW w:w="523" w:type="pct"/>
            <w:tcBorders>
              <w:top w:val="nil"/>
              <w:left w:val="nil"/>
              <w:bottom w:val="single" w:sz="4" w:space="0" w:color="auto"/>
              <w:right w:val="single" w:sz="4" w:space="0" w:color="auto"/>
            </w:tcBorders>
            <w:shd w:val="clear" w:color="auto" w:fill="C0C0C0"/>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47 255</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40 501</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41 480</w:t>
            </w:r>
          </w:p>
        </w:tc>
        <w:tc>
          <w:tcPr>
            <w:tcW w:w="523" w:type="pct"/>
            <w:tcBorders>
              <w:top w:val="nil"/>
              <w:left w:val="nil"/>
              <w:bottom w:val="single" w:sz="4" w:space="0" w:color="auto"/>
              <w:right w:val="single" w:sz="4" w:space="0" w:color="auto"/>
            </w:tcBorders>
            <w:shd w:val="clear" w:color="auto" w:fill="C0C0C0"/>
            <w:noWrap/>
            <w:textDirection w:val="lrTb"/>
            <w:vAlign w:val="bottom"/>
          </w:tcPr>
          <w:p w:rsidR="00BC03F9" w:rsidRPr="00F52287" w:rsidP="00E36B39">
            <w:pPr>
              <w:bidi w:val="0"/>
              <w:jc w:val="right"/>
              <w:rPr>
                <w:rFonts w:ascii="Arial Narrow" w:hAnsi="Arial Narrow" w:cs="Arial Narrow"/>
                <w:b/>
                <w:bCs/>
                <w:sz w:val="16"/>
                <w:szCs w:val="16"/>
                <w:lang w:eastAsia="sk-SK"/>
              </w:rPr>
            </w:pPr>
            <w:r w:rsidRPr="00F52287">
              <w:rPr>
                <w:rFonts w:ascii="Arial Narrow" w:hAnsi="Arial Narrow" w:cs="Arial Narrow"/>
                <w:b/>
                <w:bCs/>
                <w:sz w:val="16"/>
                <w:szCs w:val="16"/>
                <w:lang w:eastAsia="sk-SK"/>
              </w:rPr>
              <w:t>42 026</w:t>
            </w:r>
          </w:p>
        </w:tc>
      </w:tr>
    </w:tbl>
    <w:p w:rsidR="00BC03F9" w:rsidRPr="00FD0A9B" w:rsidP="00BC03F9">
      <w:pPr>
        <w:bidi w:val="0"/>
        <w:jc w:val="both"/>
      </w:pPr>
    </w:p>
    <w:p w:rsidR="001E5B24" w:rsidP="001E5B24">
      <w:pPr>
        <w:bidi w:val="0"/>
        <w:jc w:val="both"/>
        <w:rPr>
          <w:rFonts w:ascii="Arial Narrow" w:hAnsi="Arial Narrow" w:cs="Arial Narrow"/>
          <w:sz w:val="20"/>
          <w:szCs w:val="20"/>
        </w:rPr>
      </w:pPr>
    </w:p>
    <w:p w:rsidR="00BC03F9" w:rsidP="001E5B24">
      <w:pPr>
        <w:bidi w:val="0"/>
        <w:jc w:val="both"/>
        <w:rPr>
          <w:rFonts w:ascii="Arial Narrow" w:hAnsi="Arial Narrow" w:cs="Arial Narrow"/>
          <w:sz w:val="20"/>
          <w:szCs w:val="20"/>
        </w:rPr>
      </w:pPr>
    </w:p>
    <w:p w:rsidR="00BC03F9" w:rsidP="001E5B24">
      <w:pPr>
        <w:bidi w:val="0"/>
        <w:jc w:val="both"/>
        <w:rPr>
          <w:rFonts w:ascii="Arial Narrow" w:hAnsi="Arial Narrow" w:cs="Arial Narrow"/>
          <w:sz w:val="20"/>
          <w:szCs w:val="20"/>
        </w:rPr>
      </w:pPr>
    </w:p>
    <w:p w:rsidR="00BC03F9" w:rsidP="001E5B24">
      <w:pPr>
        <w:bidi w:val="0"/>
        <w:jc w:val="both"/>
        <w:rPr>
          <w:rFonts w:ascii="Arial Narrow" w:hAnsi="Arial Narrow" w:cs="Arial Narrow"/>
          <w:sz w:val="20"/>
          <w:szCs w:val="20"/>
        </w:rPr>
      </w:pPr>
    </w:p>
    <w:p w:rsidR="00BC03F9" w:rsidP="001E5B24">
      <w:pPr>
        <w:bidi w:val="0"/>
        <w:jc w:val="both"/>
        <w:rPr>
          <w:rFonts w:ascii="Arial Narrow" w:hAnsi="Arial Narrow" w:cs="Arial Narrow"/>
          <w:sz w:val="20"/>
          <w:szCs w:val="20"/>
        </w:rPr>
      </w:pPr>
    </w:p>
    <w:p w:rsidR="00BC03F9" w:rsidP="001E5B24">
      <w:pPr>
        <w:bidi w:val="0"/>
        <w:jc w:val="both"/>
        <w:rPr>
          <w:rFonts w:ascii="Arial Narrow" w:hAnsi="Arial Narrow" w:cs="Arial Narrow"/>
          <w:sz w:val="20"/>
          <w:szCs w:val="20"/>
        </w:rPr>
      </w:pPr>
    </w:p>
    <w:p w:rsidR="00BC03F9" w:rsidRPr="00AF0E2D" w:rsidP="001E5B24">
      <w:pPr>
        <w:bidi w:val="0"/>
        <w:jc w:val="both"/>
        <w:rPr>
          <w:rFonts w:ascii="Arial Narrow" w:hAnsi="Arial Narrow" w:cs="Arial Narrow"/>
          <w:sz w:val="20"/>
          <w:szCs w:val="20"/>
        </w:rPr>
      </w:pPr>
    </w:p>
    <w:p w:rsidR="001E5B24" w:rsidRPr="002A7190" w:rsidP="001E5B24">
      <w:pPr>
        <w:pBdr>
          <w:bottom w:val="single" w:sz="4" w:space="1" w:color="auto"/>
        </w:pBdr>
        <w:bidi w:val="0"/>
        <w:rPr>
          <w:rFonts w:ascii="Arial Narrow" w:hAnsi="Arial Narrow" w:cs="Arial Narrow"/>
          <w:b/>
          <w:bCs/>
          <w:sz w:val="22"/>
          <w:szCs w:val="22"/>
        </w:rPr>
      </w:pPr>
      <w:r w:rsidRPr="002A7190">
        <w:rPr>
          <w:rFonts w:ascii="Arial Narrow" w:hAnsi="Arial Narrow" w:cs="Arial Narrow"/>
          <w:b/>
          <w:bCs/>
          <w:sz w:val="22"/>
          <w:szCs w:val="22"/>
        </w:rPr>
        <w:t>Ministerstvo financií SR</w:t>
      </w:r>
    </w:p>
    <w:p w:rsidR="001E5B24" w:rsidRPr="00BD6B9F" w:rsidP="001E5B24">
      <w:pPr>
        <w:bidi w:val="0"/>
        <w:jc w:val="both"/>
        <w:rPr>
          <w:rFonts w:ascii="Arial" w:hAnsi="Arial" w:cs="Arial"/>
          <w:sz w:val="22"/>
          <w:szCs w:val="22"/>
        </w:rPr>
      </w:pPr>
    </w:p>
    <w:tbl>
      <w:tblPr>
        <w:tblStyle w:val="TableNormal"/>
        <w:tblW w:w="4962" w:type="pct"/>
        <w:tblInd w:w="70" w:type="dxa"/>
        <w:tblCellMar>
          <w:left w:w="70" w:type="dxa"/>
          <w:right w:w="70" w:type="dxa"/>
        </w:tblCellMar>
        <w:tblLook w:val="00A0"/>
      </w:tblPr>
      <w:tblGrid>
        <w:gridCol w:w="4159"/>
        <w:gridCol w:w="831"/>
        <w:gridCol w:w="831"/>
        <w:gridCol w:w="831"/>
        <w:gridCol w:w="830"/>
        <w:gridCol w:w="830"/>
        <w:gridCol w:w="830"/>
      </w:tblGrid>
      <w:tr>
        <w:tblPrEx>
          <w:tblW w:w="4962" w:type="pct"/>
          <w:tblInd w:w="70" w:type="dxa"/>
          <w:tblCellMar>
            <w:left w:w="70" w:type="dxa"/>
            <w:right w:w="70" w:type="dxa"/>
          </w:tblCellMar>
          <w:tblLook w:val="00A0"/>
        </w:tblPrEx>
        <w:trPr>
          <w:trHeight w:val="255"/>
        </w:trPr>
        <w:tc>
          <w:tcPr>
            <w:tcW w:w="22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BB1D37" w:rsidP="001E5B24">
            <w:pPr>
              <w:bidi w:val="0"/>
              <w:rPr>
                <w:rFonts w:ascii="Arial Narrow" w:hAnsi="Arial Narrow" w:cs="Arial Narrow"/>
                <w:b/>
                <w:bCs/>
                <w:sz w:val="16"/>
                <w:szCs w:val="16"/>
                <w:lang w:eastAsia="sk-SK"/>
              </w:rPr>
            </w:pPr>
            <w:r w:rsidRPr="00BB1D37">
              <w:rPr>
                <w:rFonts w:ascii="Arial Narrow" w:hAnsi="Arial Narrow" w:cs="Arial Narrow"/>
                <w:b/>
                <w:bCs/>
                <w:sz w:val="16"/>
                <w:szCs w:val="16"/>
                <w:lang w:eastAsia="sk-SK"/>
              </w:rPr>
              <w:t>Zdroje oblasti financie spolu, z toho:</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346 994</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371 361</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491 341</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P="001E5B24">
            <w:pPr>
              <w:bidi w:val="0"/>
              <w:jc w:val="right"/>
              <w:rPr>
                <w:rFonts w:ascii="Arial Narrow" w:hAnsi="Arial Narrow" w:cs="Arial Narrow"/>
                <w:b/>
                <w:bCs/>
                <w:sz w:val="16"/>
                <w:szCs w:val="16"/>
              </w:rPr>
            </w:pPr>
            <w:r>
              <w:rPr>
                <w:rFonts w:ascii="Arial Narrow" w:hAnsi="Arial Narrow" w:cs="Arial Narrow"/>
                <w:b/>
                <w:bCs/>
                <w:sz w:val="16"/>
                <w:szCs w:val="16"/>
              </w:rPr>
              <w:t>622 317</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72</w:t>
            </w:r>
            <w:r>
              <w:rPr>
                <w:rFonts w:ascii="Arial Narrow" w:hAnsi="Arial Narrow" w:cs="Arial Narrow"/>
                <w:b/>
                <w:bCs/>
                <w:sz w:val="16"/>
                <w:szCs w:val="16"/>
                <w:lang w:eastAsia="sk-SK"/>
              </w:rPr>
              <w:t>8 225</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45</w:t>
            </w:r>
            <w:r>
              <w:rPr>
                <w:rFonts w:ascii="Arial Narrow" w:hAnsi="Arial Narrow" w:cs="Arial Narrow"/>
                <w:b/>
                <w:bCs/>
                <w:sz w:val="16"/>
                <w:szCs w:val="16"/>
                <w:lang w:eastAsia="sk-SK"/>
              </w:rPr>
              <w:t>7</w:t>
            </w:r>
            <w:r w:rsidRPr="00BB1D37">
              <w:rPr>
                <w:rFonts w:ascii="Arial Narrow" w:hAnsi="Arial Narrow" w:cs="Arial Narrow"/>
                <w:b/>
                <w:bCs/>
                <w:sz w:val="16"/>
                <w:szCs w:val="16"/>
                <w:lang w:eastAsia="sk-SK"/>
              </w:rPr>
              <w:t xml:space="preserve"> </w:t>
            </w:r>
            <w:r>
              <w:rPr>
                <w:rFonts w:ascii="Arial Narrow" w:hAnsi="Arial Narrow" w:cs="Arial Narrow"/>
                <w:b/>
                <w:bCs/>
                <w:sz w:val="16"/>
                <w:szCs w:val="16"/>
                <w:lang w:eastAsia="sk-SK"/>
              </w:rPr>
              <w:t>586</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Rozpočtové zdroje (ŠR)</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331 888</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348 792</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284 592</w:t>
            </w:r>
          </w:p>
        </w:tc>
        <w:tc>
          <w:tcPr>
            <w:tcW w:w="454" w:type="pct"/>
            <w:tcBorders>
              <w:top w:val="nil"/>
              <w:left w:val="nil"/>
              <w:bottom w:val="single" w:sz="4" w:space="0" w:color="auto"/>
              <w:right w:val="single" w:sz="4" w:space="0" w:color="auto"/>
            </w:tcBorders>
            <w:noWrap/>
            <w:textDirection w:val="lrTb"/>
            <w:vAlign w:val="bottom"/>
          </w:tcPr>
          <w:p w:rsidR="001E5B24" w:rsidP="001E5B24">
            <w:pPr>
              <w:bidi w:val="0"/>
              <w:jc w:val="right"/>
              <w:rPr>
                <w:rFonts w:ascii="Arial Narrow" w:hAnsi="Arial Narrow" w:cs="Arial Narrow"/>
                <w:sz w:val="16"/>
                <w:szCs w:val="16"/>
              </w:rPr>
            </w:pPr>
            <w:r>
              <w:rPr>
                <w:rFonts w:ascii="Arial Narrow" w:hAnsi="Arial Narrow" w:cs="Arial Narrow"/>
                <w:sz w:val="16"/>
                <w:szCs w:val="16"/>
              </w:rPr>
              <w:t>289 735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28</w:t>
            </w:r>
            <w:r>
              <w:rPr>
                <w:rFonts w:ascii="Arial Narrow" w:hAnsi="Arial Narrow" w:cs="Arial Narrow"/>
                <w:sz w:val="16"/>
                <w:szCs w:val="16"/>
                <w:lang w:eastAsia="sk-SK"/>
              </w:rPr>
              <w:t>6</w:t>
            </w:r>
            <w:r w:rsidRPr="00BB1D37">
              <w:rPr>
                <w:rFonts w:ascii="Arial Narrow" w:hAnsi="Arial Narrow" w:cs="Arial Narrow"/>
                <w:sz w:val="16"/>
                <w:szCs w:val="16"/>
                <w:lang w:eastAsia="sk-SK"/>
              </w:rPr>
              <w:t xml:space="preserve"> </w:t>
            </w:r>
            <w:r>
              <w:rPr>
                <w:rFonts w:ascii="Arial Narrow" w:hAnsi="Arial Narrow" w:cs="Arial Narrow"/>
                <w:sz w:val="16"/>
                <w:szCs w:val="16"/>
                <w:lang w:eastAsia="sk-SK"/>
              </w:rPr>
              <w:t>430</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28</w:t>
            </w:r>
            <w:r>
              <w:rPr>
                <w:rFonts w:ascii="Arial Narrow" w:hAnsi="Arial Narrow" w:cs="Arial Narrow"/>
                <w:sz w:val="16"/>
                <w:szCs w:val="16"/>
                <w:lang w:eastAsia="sk-SK"/>
              </w:rPr>
              <w:t>6</w:t>
            </w:r>
            <w:r w:rsidRPr="00BB1D37">
              <w:rPr>
                <w:rFonts w:ascii="Arial Narrow" w:hAnsi="Arial Narrow" w:cs="Arial Narrow"/>
                <w:sz w:val="16"/>
                <w:szCs w:val="16"/>
                <w:lang w:eastAsia="sk-SK"/>
              </w:rPr>
              <w:t xml:space="preserve"> </w:t>
            </w:r>
            <w:r>
              <w:rPr>
                <w:rFonts w:ascii="Arial Narrow" w:hAnsi="Arial Narrow" w:cs="Arial Narrow"/>
                <w:sz w:val="16"/>
                <w:szCs w:val="16"/>
                <w:lang w:eastAsia="sk-SK"/>
              </w:rPr>
              <w:t>630</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Európske zdroje, II. programovacie obdobie</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2 673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2 743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171 702</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258 259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350 916</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139 033</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Spolufinancovanie zo ŠR</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1 059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596</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34 941</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74 231</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90 795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31 839</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PF, Budovanie Schengenských hraníc, FM EHP a NFM, transfer od UDZS</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84</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1 089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107</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92</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Presun prostriedkov z minulých rokov podľa § 8</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11 290</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18 141</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 </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 </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 </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 </w:t>
            </w:r>
          </w:p>
        </w:tc>
      </w:tr>
    </w:tbl>
    <w:p w:rsidR="001E5B24" w:rsidRPr="004C2830"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Celkové v</w:t>
      </w:r>
      <w:r w:rsidRPr="004C2830">
        <w:rPr>
          <w:rFonts w:ascii="Arial Narrow" w:hAnsi="Arial Narrow" w:cs="Arial Narrow"/>
          <w:sz w:val="22"/>
          <w:szCs w:val="22"/>
        </w:rPr>
        <w:t xml:space="preserve">ýdavky </w:t>
      </w:r>
      <w:r>
        <w:rPr>
          <w:rFonts w:ascii="Arial Narrow" w:hAnsi="Arial Narrow" w:cs="Arial Narrow"/>
          <w:sz w:val="22"/>
          <w:szCs w:val="22"/>
        </w:rPr>
        <w:t>kapitoly</w:t>
      </w:r>
      <w:r w:rsidRPr="004C2830">
        <w:rPr>
          <w:rFonts w:ascii="Arial Narrow" w:hAnsi="Arial Narrow" w:cs="Arial Narrow"/>
          <w:sz w:val="22"/>
          <w:szCs w:val="22"/>
        </w:rPr>
        <w:t xml:space="preserve"> na rok 2011 sú rozpočtované vo výške 62</w:t>
      </w:r>
      <w:r>
        <w:rPr>
          <w:rFonts w:ascii="Arial Narrow" w:hAnsi="Arial Narrow" w:cs="Arial Narrow"/>
          <w:sz w:val="22"/>
          <w:szCs w:val="22"/>
        </w:rPr>
        <w:t>2</w:t>
      </w:r>
      <w:r w:rsidRPr="004C2830">
        <w:rPr>
          <w:rFonts w:ascii="Arial Narrow" w:hAnsi="Arial Narrow" w:cs="Arial Narrow"/>
          <w:sz w:val="22"/>
          <w:szCs w:val="22"/>
        </w:rPr>
        <w:t xml:space="preserve"> mil. eur, čo predstavuje </w:t>
      </w:r>
      <w:r>
        <w:rPr>
          <w:rFonts w:ascii="Arial Narrow" w:hAnsi="Arial Narrow" w:cs="Arial Narrow"/>
          <w:sz w:val="22"/>
          <w:szCs w:val="22"/>
        </w:rPr>
        <w:t>oproti schválenému rozpočtu v roku 2010</w:t>
      </w:r>
      <w:r w:rsidRPr="004C2830">
        <w:rPr>
          <w:rFonts w:ascii="Arial Narrow" w:hAnsi="Arial Narrow" w:cs="Arial Narrow"/>
          <w:sz w:val="22"/>
          <w:szCs w:val="22"/>
        </w:rPr>
        <w:t xml:space="preserve"> rast o 26,</w:t>
      </w:r>
      <w:r>
        <w:rPr>
          <w:rFonts w:ascii="Arial Narrow" w:hAnsi="Arial Narrow" w:cs="Arial Narrow"/>
          <w:sz w:val="22"/>
          <w:szCs w:val="22"/>
        </w:rPr>
        <w:t>7</w:t>
      </w:r>
      <w:r w:rsidRPr="004C2830">
        <w:rPr>
          <w:rFonts w:ascii="Arial Narrow" w:hAnsi="Arial Narrow" w:cs="Arial Narrow"/>
          <w:sz w:val="22"/>
          <w:szCs w:val="22"/>
        </w:rPr>
        <w:t xml:space="preserve">%. Uvedený rast je </w:t>
      </w:r>
      <w:r>
        <w:rPr>
          <w:rFonts w:ascii="Arial Narrow" w:hAnsi="Arial Narrow" w:cs="Arial Narrow"/>
          <w:sz w:val="22"/>
          <w:szCs w:val="22"/>
        </w:rPr>
        <w:t xml:space="preserve">predovšetkým </w:t>
      </w:r>
      <w:r w:rsidRPr="004C2830">
        <w:rPr>
          <w:rFonts w:ascii="Arial Narrow" w:hAnsi="Arial Narrow" w:cs="Arial Narrow"/>
          <w:sz w:val="22"/>
          <w:szCs w:val="22"/>
        </w:rPr>
        <w:t xml:space="preserve">spôsobený medziročným </w:t>
      </w:r>
      <w:r>
        <w:rPr>
          <w:rFonts w:ascii="Arial Narrow" w:hAnsi="Arial Narrow" w:cs="Arial Narrow"/>
          <w:sz w:val="22"/>
          <w:szCs w:val="22"/>
        </w:rPr>
        <w:t>rastom prostriedkov z EÚ</w:t>
      </w:r>
      <w:r w:rsidRPr="004C2830">
        <w:rPr>
          <w:rFonts w:ascii="Arial Narrow" w:hAnsi="Arial Narrow" w:cs="Arial Narrow"/>
          <w:sz w:val="22"/>
          <w:szCs w:val="22"/>
        </w:rPr>
        <w:t xml:space="preserve"> a príslušným spolufinancovaním o 50,4%, ktoré sú určené na informatizáciu spoločnosti.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Výdavk</w:t>
      </w:r>
      <w:r>
        <w:rPr>
          <w:rFonts w:ascii="Arial Narrow" w:hAnsi="Arial Narrow" w:cs="Arial Narrow"/>
          <w:sz w:val="22"/>
          <w:szCs w:val="22"/>
        </w:rPr>
        <w:t>y štátneho rozpočtu</w:t>
      </w:r>
      <w:r w:rsidRPr="004C2830">
        <w:rPr>
          <w:rFonts w:ascii="Arial Narrow" w:hAnsi="Arial Narrow" w:cs="Arial Narrow"/>
          <w:sz w:val="22"/>
          <w:szCs w:val="22"/>
        </w:rPr>
        <w:t xml:space="preserve"> v roku 2011 </w:t>
      </w:r>
      <w:r>
        <w:rPr>
          <w:rFonts w:ascii="Arial Narrow" w:hAnsi="Arial Narrow" w:cs="Arial Narrow"/>
          <w:sz w:val="22"/>
          <w:szCs w:val="22"/>
        </w:rPr>
        <w:t>oproti schválenému rozpočtu v roku 2010</w:t>
      </w:r>
      <w:r w:rsidRPr="004C2830">
        <w:rPr>
          <w:rFonts w:ascii="Arial Narrow" w:hAnsi="Arial Narrow" w:cs="Arial Narrow"/>
          <w:sz w:val="22"/>
          <w:szCs w:val="22"/>
        </w:rPr>
        <w:t xml:space="preserve"> rastú o 1,</w:t>
      </w:r>
      <w:r>
        <w:rPr>
          <w:rFonts w:ascii="Arial Narrow" w:hAnsi="Arial Narrow" w:cs="Arial Narrow"/>
          <w:sz w:val="22"/>
          <w:szCs w:val="22"/>
        </w:rPr>
        <w:t>8</w:t>
      </w:r>
      <w:r w:rsidRPr="004C2830">
        <w:rPr>
          <w:rFonts w:ascii="Arial Narrow" w:hAnsi="Arial Narrow" w:cs="Arial Narrow"/>
          <w:sz w:val="22"/>
          <w:szCs w:val="22"/>
        </w:rPr>
        <w:t xml:space="preserve">%. </w:t>
      </w:r>
      <w:r>
        <w:rPr>
          <w:rFonts w:ascii="Arial Narrow" w:hAnsi="Arial Narrow" w:cs="Arial Narrow"/>
          <w:sz w:val="22"/>
          <w:szCs w:val="22"/>
        </w:rPr>
        <w:t xml:space="preserve">Dôvodom uvedenej výšky rozpočtovaných prostriedkov v roku 2011 je skutočnosť, že schválený rozpočet kapitoly bol v roku 2010 stanovený v nedostatočnej výške, najmä v daňovej a colnej správe, ale aj v oblasti informatizácie spoločnosti, či v oblasti inštitucionálnej podpory a kontroly.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7360C3">
        <w:rPr>
          <w:rFonts w:ascii="Arial Narrow" w:hAnsi="Arial Narrow" w:cs="Arial Narrow"/>
          <w:sz w:val="22"/>
          <w:szCs w:val="22"/>
        </w:rPr>
        <w:t>Schválený rozpočet výdavkov zo štátneho rozpočtu, vrátane transferu z ÚDZS na rok 2010 predstavoval sumu 284,7 mil. eur, ktorý bol už pred nástupom novej vlády upravený na sumu 324,7 mil. eur a následne bol tento rozpočet upravený na sumu 349</w:t>
      </w:r>
      <w:r>
        <w:rPr>
          <w:rFonts w:ascii="Arial Narrow" w:hAnsi="Arial Narrow" w:cs="Arial Narrow"/>
          <w:sz w:val="22"/>
          <w:szCs w:val="22"/>
        </w:rPr>
        <w:t>,1</w:t>
      </w:r>
      <w:r w:rsidRPr="007360C3">
        <w:rPr>
          <w:rFonts w:ascii="Arial Narrow" w:hAnsi="Arial Narrow" w:cs="Arial Narrow"/>
          <w:sz w:val="22"/>
          <w:szCs w:val="22"/>
        </w:rPr>
        <w:t xml:space="preserve"> mil. eur. Bez započítania výdavkov na arbitráže v sume 6,8 mil. eur a výdavkov na plnenie multilicenčnej zmluvy s</w:t>
      </w:r>
      <w:r>
        <w:rPr>
          <w:rFonts w:ascii="Arial Narrow" w:hAnsi="Arial Narrow" w:cs="Arial Narrow"/>
          <w:sz w:val="22"/>
          <w:szCs w:val="22"/>
        </w:rPr>
        <w:t xml:space="preserve">o spoločnosťou </w:t>
      </w:r>
      <w:r w:rsidRPr="007360C3">
        <w:rPr>
          <w:rFonts w:ascii="Arial Narrow" w:hAnsi="Arial Narrow" w:cs="Arial Narrow"/>
          <w:sz w:val="22"/>
          <w:szCs w:val="22"/>
        </w:rPr>
        <w:t>Microsoft v sume 17,9 mil. eur, ktoré sú od roku 2011 financované z rozpočtu kapitoly Všeobecná pokladničná správa, predstavuje upravený rozpočet sumu 32</w:t>
      </w:r>
      <w:r>
        <w:rPr>
          <w:rFonts w:ascii="Arial Narrow" w:hAnsi="Arial Narrow" w:cs="Arial Narrow"/>
          <w:sz w:val="22"/>
          <w:szCs w:val="22"/>
        </w:rPr>
        <w:t>4,4</w:t>
      </w:r>
      <w:r w:rsidRPr="007360C3">
        <w:rPr>
          <w:rFonts w:ascii="Arial Narrow" w:hAnsi="Arial Narrow" w:cs="Arial Narrow"/>
          <w:sz w:val="22"/>
          <w:szCs w:val="22"/>
        </w:rPr>
        <w:t xml:space="preserve"> mil. eur. Pri porovnaní takto upraveného rozpočtu s návrhom výdavkov štátneho rozpočtu na rok 2011 dochádza medziročne k zníženiu výdavkov štátneho rozpočtu o</w:t>
      </w:r>
      <w:r>
        <w:rPr>
          <w:rFonts w:ascii="Arial Narrow" w:hAnsi="Arial Narrow" w:cs="Arial Narrow"/>
          <w:sz w:val="22"/>
          <w:szCs w:val="22"/>
        </w:rPr>
        <w:t> </w:t>
      </w:r>
      <w:r w:rsidRPr="007360C3">
        <w:rPr>
          <w:rFonts w:ascii="Arial Narrow" w:hAnsi="Arial Narrow" w:cs="Arial Narrow"/>
          <w:sz w:val="22"/>
          <w:szCs w:val="22"/>
        </w:rPr>
        <w:t>1</w:t>
      </w:r>
      <w:r>
        <w:rPr>
          <w:rFonts w:ascii="Arial Narrow" w:hAnsi="Arial Narrow" w:cs="Arial Narrow"/>
          <w:sz w:val="22"/>
          <w:szCs w:val="22"/>
        </w:rPr>
        <w:t>0,7</w:t>
      </w:r>
      <w:r w:rsidRPr="007360C3">
        <w:rPr>
          <w:rFonts w:ascii="Arial Narrow" w:hAnsi="Arial Narrow" w:cs="Arial Narrow"/>
          <w:sz w:val="22"/>
          <w:szCs w:val="22"/>
        </w:rPr>
        <w:t>%.</w:t>
      </w:r>
    </w:p>
    <w:p w:rsidR="001E5B24" w:rsidRPr="00A2473F" w:rsidP="001E5B24">
      <w:pPr>
        <w:bidi w:val="0"/>
        <w:jc w:val="both"/>
        <w:rPr>
          <w:rFonts w:ascii="Arial Narrow" w:hAnsi="Arial Narrow" w:cs="Arial Narrow"/>
          <w:sz w:val="22"/>
          <w:szCs w:val="22"/>
        </w:rPr>
      </w:pPr>
    </w:p>
    <w:p w:rsidR="001E5B24" w:rsidRPr="00A2473F" w:rsidP="001E5B24">
      <w:pPr>
        <w:bidi w:val="0"/>
        <w:ind w:firstLine="708"/>
        <w:jc w:val="both"/>
        <w:rPr>
          <w:rFonts w:ascii="Arial Narrow" w:hAnsi="Arial Narrow" w:cs="Arial Narrow"/>
          <w:sz w:val="22"/>
          <w:szCs w:val="22"/>
        </w:rPr>
      </w:pPr>
      <w:r w:rsidRPr="00DB394A">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DB394A">
        <w:rPr>
          <w:rFonts w:ascii="Arial Narrow" w:hAnsi="Arial Narrow" w:cs="Arial Narrow"/>
          <w:sz w:val="22"/>
          <w:szCs w:val="22"/>
        </w:rPr>
        <w:t xml:space="preserve"> rok 2011 rozpočtuje na úrovni 156 mil. eur, čo v porovnaní s rokom 2010 predstavuje pokles 4,73 % (7,76 mil. eur). Medziročný pokles osobných výdavkov je ovplyvnený viazaním osobných výdavkov na úrovni 10 </w:t>
      </w:r>
      <w:r w:rsidR="00475F5B">
        <w:rPr>
          <w:rFonts w:ascii="Arial Narrow" w:hAnsi="Arial Narrow" w:cs="Arial Narrow"/>
          <w:sz w:val="22"/>
          <w:szCs w:val="22"/>
        </w:rPr>
        <w:t>% pre</w:t>
      </w:r>
      <w:r w:rsidRPr="00DB394A">
        <w:rPr>
          <w:rFonts w:ascii="Arial Narrow" w:hAnsi="Arial Narrow" w:cs="Arial Narrow"/>
          <w:sz w:val="22"/>
          <w:szCs w:val="22"/>
        </w:rPr>
        <w:t xml:space="preserve"> štátnych zamestnancov, zamestnancov pri výkone práce vo verejnom záujme a colníkov pri zohľadnení dopočtu 1% valorizácie z roku 2010, 10% viazaním osobných výdavkov ministra z úrovne roku 2010 a dofinancovaním Daňového riaditeľstva SR vo výške 7,09 mil. eur a zároveň kapitola si pri rozpise výdavkov zvýšila výdavky na poistné o 70,6 tis. eur. Pri nezapočítaní týchto dvoch titulov by osobné výdavky v roku 2011 oproti schválenému rozpočtu 2010 klesli o 9,1%.</w:t>
      </w:r>
    </w:p>
    <w:p w:rsidR="001E5B24" w:rsidP="001E5B24">
      <w:pPr>
        <w:bidi w:val="0"/>
        <w:ind w:firstLine="708"/>
        <w:jc w:val="both"/>
        <w:rPr>
          <w:rFonts w:ascii="Arial Narrow" w:hAnsi="Arial Narrow" w:cs="Arial Narrow"/>
          <w:sz w:val="22"/>
          <w:szCs w:val="22"/>
        </w:rPr>
      </w:pPr>
    </w:p>
    <w:p w:rsidR="001E5B24" w:rsidRPr="00313B59" w:rsidP="001E5B24">
      <w:pPr>
        <w:bidi w:val="0"/>
        <w:ind w:firstLine="708"/>
        <w:jc w:val="both"/>
        <w:rPr>
          <w:rFonts w:ascii="Arial Narrow" w:hAnsi="Arial Narrow" w:cs="Arial Narrow"/>
          <w:sz w:val="22"/>
          <w:szCs w:val="22"/>
        </w:rPr>
      </w:pPr>
      <w:r w:rsidRPr="00313B59">
        <w:rPr>
          <w:rFonts w:ascii="Arial Narrow" w:hAnsi="Arial Narrow" w:cs="Arial Narrow"/>
          <w:sz w:val="22"/>
          <w:szCs w:val="22"/>
        </w:rPr>
        <w:t xml:space="preserve">Výdavky na prevádzku v roku 2011 oproti schválenému rozpočtu v roku 2010 rastú o 5,3%. Skutočné výdavky na financovanie prevádzkových potrieb kapitoly sa v roku 2009 pohybovali na úrovni 140 mil. eur. V schválenom rozpočte roka 2010 boli prevádzkové výdavky rozpočtované v sume 107 mil. eur, čiže boli značne poddimenzované, a to najmä v daňovej správe a v informačných systémoch, pričom za predchádzajúcej vlády neboli prijímané žiadne výrazné úsporné opatrenia. Úpravou schváleného rozpočtu na rok 2010 prostredníctvom zvýšenia limitu kapitoly na ich reálnu úroveň ich objem dosiahol 137 mil. eur. Návrh rozpočtu na rok 2011 v sume 113 mil. eur zohľadňuje potrebu úspor na strane prevádzkových výdavkov kapitoly, pretože dochádza k ich poklesu oproti upravenému rozpočtu roka 2010 o 22,4 mil. eur, čo predstavuje 16,5%. </w:t>
      </w:r>
    </w:p>
    <w:p w:rsidR="001E5B24" w:rsidRPr="00313B59"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4C2830">
        <w:rPr>
          <w:rFonts w:ascii="Arial Narrow" w:hAnsi="Arial Narrow" w:cs="Arial Narrow"/>
          <w:sz w:val="22"/>
          <w:szCs w:val="22"/>
        </w:rPr>
        <w:t xml:space="preserve">ýdavky na bežné transfery </w:t>
      </w:r>
      <w:r>
        <w:rPr>
          <w:rFonts w:ascii="Arial Narrow" w:hAnsi="Arial Narrow" w:cs="Arial Narrow"/>
          <w:sz w:val="22"/>
          <w:szCs w:val="22"/>
        </w:rPr>
        <w:t xml:space="preserve">v roku 2011 v porovnaní so schváleným rozpočtom v roku 2010 rastú </w:t>
      </w:r>
      <w:r w:rsidRPr="004C2830">
        <w:rPr>
          <w:rFonts w:ascii="Arial Narrow" w:hAnsi="Arial Narrow" w:cs="Arial Narrow"/>
          <w:sz w:val="22"/>
          <w:szCs w:val="22"/>
        </w:rPr>
        <w:t>o 1</w:t>
      </w:r>
      <w:r>
        <w:rPr>
          <w:rFonts w:ascii="Arial Narrow" w:hAnsi="Arial Narrow" w:cs="Arial Narrow"/>
          <w:sz w:val="22"/>
          <w:szCs w:val="22"/>
        </w:rPr>
        <w:t>4</w:t>
      </w:r>
      <w:r w:rsidRPr="004C2830">
        <w:rPr>
          <w:rFonts w:ascii="Arial Narrow" w:hAnsi="Arial Narrow" w:cs="Arial Narrow"/>
          <w:sz w:val="22"/>
          <w:szCs w:val="22"/>
        </w:rPr>
        <w:t xml:space="preserve">9% </w:t>
      </w:r>
      <w:r>
        <w:rPr>
          <w:rFonts w:ascii="Arial Narrow" w:hAnsi="Arial Narrow" w:cs="Arial Narrow"/>
          <w:sz w:val="22"/>
          <w:szCs w:val="22"/>
        </w:rPr>
        <w:t>najmä z dôvodu rastu transferov na odchodné a odstupné v daňovej správe (rast celkom o 2,2 mil. eur) a rastu príspevkov do medzinárodných organizácií (rast o 123 tis. eur).</w:t>
      </w:r>
    </w:p>
    <w:p w:rsidR="001E5B24" w:rsidP="001E5B24">
      <w:pPr>
        <w:bidi w:val="0"/>
        <w:ind w:firstLine="708"/>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313B59">
        <w:rPr>
          <w:rFonts w:ascii="Arial Narrow" w:hAnsi="Arial Narrow" w:cs="Arial Narrow"/>
          <w:sz w:val="22"/>
          <w:szCs w:val="22"/>
        </w:rPr>
        <w:t>Kapitálové výdavky v roku 2011 rastú v porovnaní so schváleným rozpočtom v roku 2010 o 35,5% z dôvodu zreálnenia výdavkov najmä na informačné systémy (rast o 4,95 mil. eur), inštitucionálnu podporu (rast o 179 tis. eur) a kontrolu (rast o 16,7 tis. eur). Čerpanie kapitálových výdavkov sa v rokoch 2008 a 2009 pohybovalo na úrovni 40 mil. eur. V schválenom rozpočte na rok 2010 boli rozpočtované v sume 12,3 mil. eur, čo obdobne ako pri tovaroch a službách neodzrkadľovalo ich reálnu potrebu. Po ich zreálnení dosahujú v upravenom rozpočte roka 2010 sumu 40,1 mil. eur. Návrh kapitálových výdavkov na rok 2011 v sume 16,7 mil. eur je v porovnaní s upraveným rozpočtom roka 2010 nižší o 58%.</w:t>
      </w:r>
    </w:p>
    <w:p w:rsidR="001E5B24" w:rsidRPr="004C2830" w:rsidP="001E5B24">
      <w:pPr>
        <w:bidi w:val="0"/>
        <w:jc w:val="both"/>
        <w:rPr>
          <w:rFonts w:ascii="Arial Narrow" w:hAnsi="Arial Narrow" w:cs="Arial Narrow"/>
          <w:b/>
          <w:bCs/>
          <w:sz w:val="22"/>
          <w:szCs w:val="22"/>
        </w:rPr>
      </w:pPr>
    </w:p>
    <w:p w:rsidR="001E5B24" w:rsidRPr="00F837B3" w:rsidP="001E5B24">
      <w:pPr>
        <w:bidi w:val="0"/>
        <w:jc w:val="both"/>
        <w:rPr>
          <w:rFonts w:ascii="Arial Narrow" w:hAnsi="Arial Narrow" w:cs="Arial Narrow"/>
          <w:sz w:val="22"/>
          <w:szCs w:val="22"/>
        </w:rPr>
      </w:pPr>
      <w:r w:rsidRPr="00F837B3">
        <w:rPr>
          <w:rFonts w:ascii="Arial Narrow" w:hAnsi="Arial Narrow" w:cs="Arial Narrow"/>
          <w:sz w:val="22"/>
          <w:szCs w:val="22"/>
        </w:rPr>
        <w:t>Výber daní a cla</w:t>
      </w:r>
    </w:p>
    <w:p w:rsidR="001E5B24" w:rsidRPr="004C2830" w:rsidP="001E5B24">
      <w:pPr>
        <w:bidi w:val="0"/>
        <w:jc w:val="both"/>
        <w:rPr>
          <w:rFonts w:ascii="Arial Narrow" w:hAnsi="Arial Narrow" w:cs="Arial Narrow"/>
          <w:i/>
          <w:iCs/>
          <w:sz w:val="22"/>
          <w:szCs w:val="22"/>
        </w:rPr>
      </w:pPr>
    </w:p>
    <w:tbl>
      <w:tblPr>
        <w:tblStyle w:val="TableNormal"/>
        <w:tblW w:w="4962" w:type="pct"/>
        <w:tblInd w:w="70" w:type="dxa"/>
        <w:tblCellMar>
          <w:left w:w="70" w:type="dxa"/>
          <w:right w:w="70" w:type="dxa"/>
        </w:tblCellMar>
        <w:tblLook w:val="00A0"/>
      </w:tblPr>
      <w:tblGrid>
        <w:gridCol w:w="4159"/>
        <w:gridCol w:w="831"/>
        <w:gridCol w:w="831"/>
        <w:gridCol w:w="831"/>
        <w:gridCol w:w="830"/>
        <w:gridCol w:w="830"/>
        <w:gridCol w:w="830"/>
      </w:tblGrid>
      <w:tr>
        <w:tblPrEx>
          <w:tblW w:w="4962" w:type="pct"/>
          <w:tblInd w:w="70" w:type="dxa"/>
          <w:tblCellMar>
            <w:left w:w="70" w:type="dxa"/>
            <w:right w:w="70" w:type="dxa"/>
          </w:tblCellMar>
          <w:tblLook w:val="00A0"/>
        </w:tblPrEx>
        <w:trPr>
          <w:trHeight w:val="255"/>
        </w:trPr>
        <w:tc>
          <w:tcPr>
            <w:tcW w:w="22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9C2D62" w:rsidP="001E5B24">
            <w:pPr>
              <w:bidi w:val="0"/>
              <w:rPr>
                <w:rFonts w:ascii="Arial Narrow" w:hAnsi="Arial Narrow" w:cs="Arial Narrow"/>
                <w:sz w:val="16"/>
                <w:szCs w:val="16"/>
                <w:lang w:eastAsia="sk-SK"/>
              </w:rPr>
            </w:pPr>
            <w:r w:rsidRPr="009C2D62">
              <w:rPr>
                <w:rFonts w:ascii="Arial Narrow" w:hAnsi="Arial Narrow" w:cs="Arial Narrow"/>
                <w:sz w:val="16"/>
                <w:szCs w:val="16"/>
                <w:lang w:eastAsia="sk-SK"/>
              </w:rPr>
              <w:t xml:space="preserve">Výdavky na výber daní a ciel </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213 900</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218 806</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193 052</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191 259</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188 771</w:t>
            </w:r>
          </w:p>
        </w:tc>
        <w:tc>
          <w:tcPr>
            <w:tcW w:w="454" w:type="pct"/>
            <w:tcBorders>
              <w:top w:val="nil"/>
              <w:left w:val="nil"/>
              <w:bottom w:val="single" w:sz="4" w:space="0" w:color="auto"/>
              <w:right w:val="single" w:sz="4" w:space="0" w:color="auto"/>
            </w:tcBorders>
            <w:noWrap/>
            <w:textDirection w:val="lrTb"/>
            <w:vAlign w:val="bottom"/>
          </w:tcPr>
          <w:p w:rsidR="001E5B24" w:rsidRPr="009C2D62" w:rsidP="001E5B24">
            <w:pPr>
              <w:bidi w:val="0"/>
              <w:jc w:val="right"/>
              <w:rPr>
                <w:rFonts w:ascii="Arial Narrow" w:hAnsi="Arial Narrow" w:cs="Arial Narrow"/>
                <w:sz w:val="16"/>
                <w:szCs w:val="16"/>
                <w:lang w:eastAsia="sk-SK"/>
              </w:rPr>
            </w:pPr>
            <w:r w:rsidRPr="009C2D62">
              <w:rPr>
                <w:rFonts w:ascii="Arial Narrow" w:hAnsi="Arial Narrow" w:cs="Arial Narrow"/>
                <w:sz w:val="16"/>
                <w:szCs w:val="16"/>
                <w:lang w:eastAsia="sk-SK"/>
              </w:rPr>
              <w:t>190 316</w:t>
            </w:r>
          </w:p>
        </w:tc>
      </w:tr>
    </w:tbl>
    <w:p w:rsidR="001E5B24" w:rsidRPr="004C2830" w:rsidP="001E5B24">
      <w:pPr>
        <w:bidi w:val="0"/>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Na výber daní a ciel je v roku 2011 rozpočtovaných 19</w:t>
      </w:r>
      <w:r>
        <w:rPr>
          <w:rFonts w:ascii="Arial Narrow" w:hAnsi="Arial Narrow" w:cs="Arial Narrow"/>
          <w:sz w:val="22"/>
          <w:szCs w:val="22"/>
        </w:rPr>
        <w:t>1</w:t>
      </w:r>
      <w:r w:rsidRPr="004C2830">
        <w:rPr>
          <w:rFonts w:ascii="Arial Narrow" w:hAnsi="Arial Narrow" w:cs="Arial Narrow"/>
          <w:sz w:val="22"/>
          <w:szCs w:val="22"/>
        </w:rPr>
        <w:t xml:space="preserve"> mil. eur</w:t>
      </w:r>
      <w:r>
        <w:rPr>
          <w:rFonts w:ascii="Arial Narrow" w:hAnsi="Arial Narrow" w:cs="Arial Narrow"/>
          <w:sz w:val="22"/>
          <w:szCs w:val="22"/>
        </w:rPr>
        <w:t>,</w:t>
      </w:r>
      <w:r w:rsidRPr="004C2830">
        <w:rPr>
          <w:rFonts w:ascii="Arial Narrow" w:hAnsi="Arial Narrow" w:cs="Arial Narrow"/>
          <w:sz w:val="22"/>
          <w:szCs w:val="22"/>
        </w:rPr>
        <w:t xml:space="preserve"> čo predstavuje pokles </w:t>
      </w:r>
      <w:r>
        <w:rPr>
          <w:rFonts w:ascii="Arial Narrow" w:hAnsi="Arial Narrow" w:cs="Arial Narrow"/>
          <w:sz w:val="22"/>
          <w:szCs w:val="22"/>
        </w:rPr>
        <w:t xml:space="preserve">v porovnaní so schváleným rozpočtom v roku 2010 </w:t>
      </w:r>
      <w:r w:rsidRPr="004C2830">
        <w:rPr>
          <w:rFonts w:ascii="Arial Narrow" w:hAnsi="Arial Narrow" w:cs="Arial Narrow"/>
          <w:sz w:val="22"/>
          <w:szCs w:val="22"/>
        </w:rPr>
        <w:t>o</w:t>
      </w:r>
      <w:r>
        <w:rPr>
          <w:rFonts w:ascii="Arial Narrow" w:hAnsi="Arial Narrow" w:cs="Arial Narrow"/>
          <w:sz w:val="22"/>
          <w:szCs w:val="22"/>
        </w:rPr>
        <w:t> 0,9</w:t>
      </w:r>
      <w:r w:rsidRPr="004C2830">
        <w:rPr>
          <w:rFonts w:ascii="Arial Narrow" w:hAnsi="Arial Narrow" w:cs="Arial Narrow"/>
          <w:sz w:val="22"/>
          <w:szCs w:val="22"/>
        </w:rPr>
        <w:t>%</w:t>
      </w:r>
      <w:r>
        <w:rPr>
          <w:rFonts w:ascii="Arial Narrow" w:hAnsi="Arial Narrow" w:cs="Arial Narrow"/>
          <w:sz w:val="22"/>
          <w:szCs w:val="22"/>
        </w:rPr>
        <w:t>, ale v porovnaní s dosiahnutou skutočnosťou v roku 2009 ide o pokles vo výške 12,6%</w:t>
      </w:r>
      <w:r w:rsidRPr="004C2830">
        <w:rPr>
          <w:rFonts w:ascii="Arial Narrow" w:hAnsi="Arial Narrow" w:cs="Arial Narrow"/>
          <w:sz w:val="22"/>
          <w:szCs w:val="22"/>
        </w:rPr>
        <w:t xml:space="preserve">. </w:t>
      </w:r>
    </w:p>
    <w:p w:rsidR="001E5B24" w:rsidRPr="004C2830" w:rsidP="001E5B24">
      <w:pPr>
        <w:bidi w:val="0"/>
        <w:ind w:firstLine="708"/>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Výber daní gestoruje Daňové riaditeľstvo SR a daňové úrady. Hlavným poslaním Daňovej správy Slovenskej republiky je efektívny výber a správa daní, ako aj ochrana ekonomických záujmov štátu. Daňová správa Slovenskej republiky plní úlohy stanovené štátnym rozpočtom a zároveň odzrkadľuje strednodobé ciele hospodárskej politiky Slovenskej republiky a Európskej únie.</w:t>
      </w:r>
    </w:p>
    <w:p w:rsidR="001E5B24" w:rsidRPr="004C2830" w:rsidP="001E5B24">
      <w:pPr>
        <w:bidi w:val="0"/>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Výber ciel a daní v správe colných úradov gestoruje Colné riaditeľstvo a colné úrady. Poslaním colnej správy je ochrana ekonomických záujmov štátu, napĺňanie príjmovej časti a ochrana výdavkovej časti štátneho rozpočtu SR a rozpočtu Európskej únie, zamedzenie porušovaniu colných a daňových predpisov a správa spotrebných daní. Colná správa vykonáva predovšetkým dohľad nad dodržiavaním zákonov, osobitných predpisov, iných všeobecne záväzných právnych predpisov a medzinárodných zmlúv, ktorými zabezpečuje realizáciu obchodnej politiky, finančnej politiky a poľnohospodárskej politiky pri obehu tovaru v styku s tretími štátmi a na vnútornom trhu a robí opatrenia na zabránenie protiprávnemu konaniu pri dovoze, vývoze a tranzite tovaru s cieľom ochrany ekonomických záujmov SR a Európskeho spoločenstva. Činnosť colnej správy je súčasťou systému colného dohľadu nad tovarom v rámci jednotného colného územia EÚ.</w:t>
      </w:r>
    </w:p>
    <w:p w:rsidR="001E5B24" w:rsidRPr="004C2830" w:rsidP="001E5B24">
      <w:pPr>
        <w:bidi w:val="0"/>
        <w:jc w:val="both"/>
        <w:rPr>
          <w:rFonts w:ascii="Arial Narrow" w:hAnsi="Arial Narrow" w:cs="Arial Narrow"/>
          <w:sz w:val="22"/>
          <w:szCs w:val="22"/>
        </w:rPr>
      </w:pPr>
    </w:p>
    <w:p w:rsidR="001E5B24" w:rsidRPr="004C2830" w:rsidP="001E5B24">
      <w:pPr>
        <w:bidi w:val="0"/>
        <w:jc w:val="both"/>
        <w:rPr>
          <w:rFonts w:ascii="Arial Narrow" w:hAnsi="Arial Narrow" w:cs="Arial Narrow"/>
          <w:sz w:val="22"/>
          <w:szCs w:val="22"/>
        </w:rPr>
      </w:pPr>
      <w:r w:rsidRPr="004C2830">
        <w:rPr>
          <w:rFonts w:ascii="Arial Narrow" w:hAnsi="Arial Narrow" w:cs="Arial Narrow"/>
          <w:sz w:val="22"/>
          <w:szCs w:val="22"/>
        </w:rPr>
        <w:t>Výdavky na informatizáciu spoločnosti</w:t>
      </w:r>
    </w:p>
    <w:p w:rsidR="001E5B24" w:rsidRPr="004C2830"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4159"/>
        <w:gridCol w:w="831"/>
        <w:gridCol w:w="831"/>
        <w:gridCol w:w="831"/>
        <w:gridCol w:w="830"/>
        <w:gridCol w:w="830"/>
        <w:gridCol w:w="830"/>
      </w:tblGrid>
      <w:tr>
        <w:tblPrEx>
          <w:tblW w:w="4962" w:type="pct"/>
          <w:tblInd w:w="70" w:type="dxa"/>
          <w:tblCellMar>
            <w:left w:w="70" w:type="dxa"/>
            <w:right w:w="70" w:type="dxa"/>
          </w:tblCellMar>
          <w:tblLook w:val="00A0"/>
        </w:tblPrEx>
        <w:trPr>
          <w:trHeight w:val="255"/>
        </w:trPr>
        <w:tc>
          <w:tcPr>
            <w:tcW w:w="22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BB1D37" w:rsidP="001E5B24">
            <w:pPr>
              <w:bidi w:val="0"/>
              <w:rPr>
                <w:rFonts w:ascii="Arial Narrow" w:hAnsi="Arial Narrow" w:cs="Arial Narrow"/>
                <w:b/>
                <w:bCs/>
                <w:sz w:val="16"/>
                <w:szCs w:val="16"/>
                <w:lang w:eastAsia="sk-SK"/>
              </w:rPr>
            </w:pPr>
            <w:r w:rsidRPr="00BB1D37">
              <w:rPr>
                <w:rFonts w:ascii="Arial Narrow" w:hAnsi="Arial Narrow" w:cs="Arial Narrow"/>
                <w:b/>
                <w:bCs/>
                <w:sz w:val="16"/>
                <w:szCs w:val="16"/>
                <w:lang w:eastAsia="sk-SK"/>
              </w:rPr>
              <w:t>Výdavky na Informatizáciu spoločnosti spolu, z toho:</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12 885</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23 824</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217 121</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337 883</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449 609</w:t>
            </w:r>
          </w:p>
        </w:tc>
        <w:tc>
          <w:tcPr>
            <w:tcW w:w="454" w:type="pct"/>
            <w:tcBorders>
              <w:top w:val="nil"/>
              <w:left w:val="nil"/>
              <w:bottom w:val="single" w:sz="4" w:space="0" w:color="auto"/>
              <w:right w:val="single" w:sz="4" w:space="0" w:color="auto"/>
            </w:tcBorders>
            <w:shd w:val="clear" w:color="000000" w:fill="BFBFBF"/>
            <w:noWrap/>
            <w:textDirection w:val="lrTb"/>
            <w:vAlign w:val="bottom"/>
          </w:tcPr>
          <w:p w:rsidR="001E5B24" w:rsidRPr="00BB1D37" w:rsidP="001E5B24">
            <w:pPr>
              <w:bidi w:val="0"/>
              <w:jc w:val="right"/>
              <w:rPr>
                <w:rFonts w:ascii="Arial Narrow" w:hAnsi="Arial Narrow" w:cs="Arial Narrow"/>
                <w:b/>
                <w:bCs/>
                <w:sz w:val="16"/>
                <w:szCs w:val="16"/>
                <w:lang w:eastAsia="sk-SK"/>
              </w:rPr>
            </w:pPr>
            <w:r w:rsidRPr="00BB1D37">
              <w:rPr>
                <w:rFonts w:ascii="Arial Narrow" w:hAnsi="Arial Narrow" w:cs="Arial Narrow"/>
                <w:b/>
                <w:bCs/>
                <w:sz w:val="16"/>
                <w:szCs w:val="16"/>
                <w:lang w:eastAsia="sk-SK"/>
              </w:rPr>
              <w:t>183 226</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Rozpočtové domáce zdroje</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12 293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23 279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10 393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5 308</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7 813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12 269</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Európske zdroje</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503</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392</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171 702</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258 259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350 916</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139 033</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Spolufinancovanie zo ŠR</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69</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34 941</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74 231</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90 795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31 839</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BB1D37" w:rsidP="001E5B24">
            <w:pPr>
              <w:bidi w:val="0"/>
              <w:rPr>
                <w:rFonts w:ascii="Arial Narrow" w:hAnsi="Arial Narrow" w:cs="Arial Narrow"/>
                <w:sz w:val="16"/>
                <w:szCs w:val="16"/>
                <w:lang w:eastAsia="sk-SK"/>
              </w:rPr>
            </w:pPr>
            <w:r w:rsidRPr="00BB1D37">
              <w:rPr>
                <w:rFonts w:ascii="Arial Narrow" w:hAnsi="Arial Narrow" w:cs="Arial Narrow"/>
                <w:sz w:val="16"/>
                <w:szCs w:val="16"/>
                <w:lang w:eastAsia="sk-SK"/>
              </w:rPr>
              <w:t>transfer od UDZS</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0</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c>
          <w:tcPr>
            <w:tcW w:w="454" w:type="pct"/>
            <w:tcBorders>
              <w:top w:val="nil"/>
              <w:left w:val="nil"/>
              <w:bottom w:val="single" w:sz="4" w:space="0" w:color="auto"/>
              <w:right w:val="single" w:sz="4" w:space="0" w:color="auto"/>
            </w:tcBorders>
            <w:noWrap/>
            <w:textDirection w:val="lrTb"/>
            <w:vAlign w:val="bottom"/>
          </w:tcPr>
          <w:p w:rsidR="001E5B24" w:rsidRPr="00BB1D37" w:rsidP="001E5B24">
            <w:pPr>
              <w:bidi w:val="0"/>
              <w:jc w:val="right"/>
              <w:rPr>
                <w:rFonts w:ascii="Arial Narrow" w:hAnsi="Arial Narrow" w:cs="Arial Narrow"/>
                <w:sz w:val="16"/>
                <w:szCs w:val="16"/>
                <w:lang w:eastAsia="sk-SK"/>
              </w:rPr>
            </w:pPr>
            <w:r w:rsidRPr="00BB1D37">
              <w:rPr>
                <w:rFonts w:ascii="Arial Narrow" w:hAnsi="Arial Narrow" w:cs="Arial Narrow"/>
                <w:sz w:val="16"/>
                <w:szCs w:val="16"/>
                <w:lang w:eastAsia="sk-SK"/>
              </w:rPr>
              <w:t>85</w:t>
            </w:r>
          </w:p>
        </w:tc>
      </w:tr>
    </w:tbl>
    <w:p w:rsidR="001E5B24" w:rsidRPr="004C2830"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 xml:space="preserve">Významnú položku </w:t>
      </w:r>
      <w:r w:rsidR="00475F5B">
        <w:rPr>
          <w:rFonts w:ascii="Arial Narrow" w:hAnsi="Arial Narrow" w:cs="Arial Narrow"/>
          <w:sz w:val="22"/>
          <w:szCs w:val="22"/>
        </w:rPr>
        <w:t xml:space="preserve">vo výdavkoch kapitoly </w:t>
      </w:r>
      <w:r w:rsidRPr="004C2830">
        <w:rPr>
          <w:rFonts w:ascii="Arial Narrow" w:hAnsi="Arial Narrow" w:cs="Arial Narrow"/>
          <w:sz w:val="22"/>
          <w:szCs w:val="22"/>
        </w:rPr>
        <w:t xml:space="preserve">predstavujú taktiež prostriedky rozpočtované na podporu rozvojových úloh v oblasti informatizácie spoločnosti vo výške </w:t>
      </w:r>
      <w:r>
        <w:rPr>
          <w:rFonts w:ascii="Arial Narrow" w:hAnsi="Arial Narrow" w:cs="Arial Narrow"/>
          <w:sz w:val="22"/>
          <w:szCs w:val="22"/>
        </w:rPr>
        <w:t>338</w:t>
      </w:r>
      <w:r w:rsidRPr="004C2830">
        <w:rPr>
          <w:rFonts w:ascii="Arial Narrow" w:hAnsi="Arial Narrow" w:cs="Arial Narrow"/>
          <w:sz w:val="22"/>
          <w:szCs w:val="22"/>
        </w:rPr>
        <w:t xml:space="preserve"> mil. eur, čo predstavuje rast v porovnaní s</w:t>
      </w:r>
      <w:r>
        <w:rPr>
          <w:rFonts w:ascii="Arial Narrow" w:hAnsi="Arial Narrow" w:cs="Arial Narrow"/>
          <w:sz w:val="22"/>
          <w:szCs w:val="22"/>
        </w:rPr>
        <w:t>o schváleným rozpočtom v roku 2010</w:t>
      </w:r>
      <w:r w:rsidRPr="004C2830">
        <w:rPr>
          <w:rFonts w:ascii="Arial Narrow" w:hAnsi="Arial Narrow" w:cs="Arial Narrow"/>
          <w:sz w:val="22"/>
          <w:szCs w:val="22"/>
        </w:rPr>
        <w:t xml:space="preserve"> o 55,6 %</w:t>
      </w:r>
      <w:r>
        <w:rPr>
          <w:rFonts w:ascii="Arial Narrow" w:hAnsi="Arial Narrow" w:cs="Arial Narrow"/>
          <w:sz w:val="22"/>
          <w:szCs w:val="22"/>
        </w:rPr>
        <w:t xml:space="preserve"> z dôvodu rastu zdrojov z EÚ</w:t>
      </w:r>
      <w:r w:rsidRPr="004C2830">
        <w:rPr>
          <w:rFonts w:ascii="Arial Narrow" w:hAnsi="Arial Narrow" w:cs="Arial Narrow"/>
          <w:sz w:val="22"/>
          <w:szCs w:val="22"/>
        </w:rPr>
        <w:t xml:space="preserve">. </w:t>
      </w:r>
      <w:r>
        <w:rPr>
          <w:rFonts w:ascii="Arial Narrow" w:hAnsi="Arial Narrow" w:cs="Arial Narrow"/>
          <w:sz w:val="22"/>
          <w:szCs w:val="22"/>
        </w:rPr>
        <w:t>Výdavky zo štátneho rozpočtu v danej oblasti v roku 2011 oproti schválenému rozpočtu v roku 2010 klesajú o 48,9% a v porovnaní s upraveným rozpočtom v roku 2010 klesajú o 68,1%.</w:t>
      </w:r>
    </w:p>
    <w:p w:rsidR="001E5B24" w:rsidP="001E5B24">
      <w:pPr>
        <w:bidi w:val="0"/>
        <w:ind w:firstLine="708"/>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 xml:space="preserve">Hlavným cieľom </w:t>
      </w:r>
      <w:r w:rsidR="00475F5B">
        <w:rPr>
          <w:rFonts w:ascii="Arial Narrow" w:hAnsi="Arial Narrow" w:cs="Arial Narrow"/>
          <w:sz w:val="22"/>
          <w:szCs w:val="22"/>
        </w:rPr>
        <w:t xml:space="preserve">informatizácie spoločnosti </w:t>
      </w:r>
      <w:r w:rsidRPr="004C2830">
        <w:rPr>
          <w:rFonts w:ascii="Arial Narrow" w:hAnsi="Arial Narrow" w:cs="Arial Narrow"/>
          <w:sz w:val="22"/>
          <w:szCs w:val="22"/>
        </w:rPr>
        <w:t>je elektronizácia verejnej správy, rozvoj pamäťových a fondových inštitúcií, ako aj zvýšenie prístupnosti k širokopásmovému internetu.</w:t>
      </w:r>
    </w:p>
    <w:p w:rsidR="001E5B24" w:rsidRPr="004C2830" w:rsidP="001E5B24">
      <w:pPr>
        <w:bidi w:val="0"/>
        <w:jc w:val="both"/>
        <w:rPr>
          <w:rFonts w:ascii="Arial Narrow" w:hAnsi="Arial Narrow" w:cs="Arial Narrow"/>
          <w:sz w:val="22"/>
          <w:szCs w:val="22"/>
        </w:rPr>
      </w:pPr>
    </w:p>
    <w:p w:rsidR="001E5B24" w:rsidRPr="004C2830" w:rsidP="001E5B24">
      <w:pPr>
        <w:bidi w:val="0"/>
        <w:jc w:val="both"/>
        <w:rPr>
          <w:rFonts w:ascii="Arial Narrow" w:hAnsi="Arial Narrow" w:cs="Arial Narrow"/>
          <w:sz w:val="22"/>
          <w:szCs w:val="22"/>
        </w:rPr>
      </w:pPr>
      <w:r w:rsidRPr="004C2830">
        <w:rPr>
          <w:rFonts w:ascii="Arial Narrow" w:hAnsi="Arial Narrow" w:cs="Arial Narrow"/>
          <w:sz w:val="22"/>
          <w:szCs w:val="22"/>
        </w:rPr>
        <w:t>Výdavky na inštitucionálnu podporu a kontrolu</w:t>
      </w:r>
    </w:p>
    <w:p w:rsidR="001E5B24" w:rsidRPr="004C2830"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4159"/>
        <w:gridCol w:w="831"/>
        <w:gridCol w:w="831"/>
        <w:gridCol w:w="831"/>
        <w:gridCol w:w="830"/>
        <w:gridCol w:w="830"/>
        <w:gridCol w:w="830"/>
      </w:tblGrid>
      <w:tr>
        <w:tblPrEx>
          <w:tblW w:w="4962" w:type="pct"/>
          <w:tblInd w:w="70" w:type="dxa"/>
          <w:tblCellMar>
            <w:left w:w="70" w:type="dxa"/>
            <w:right w:w="70" w:type="dxa"/>
          </w:tblCellMar>
          <w:tblLook w:val="00A0"/>
        </w:tblPrEx>
        <w:trPr>
          <w:trHeight w:val="255"/>
        </w:trPr>
        <w:tc>
          <w:tcPr>
            <w:tcW w:w="22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454"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2273" w:type="pct"/>
            <w:tcBorders>
              <w:top w:val="nil"/>
              <w:left w:val="single" w:sz="4" w:space="0" w:color="auto"/>
              <w:bottom w:val="single" w:sz="4" w:space="0" w:color="auto"/>
              <w:right w:val="single" w:sz="4" w:space="0" w:color="auto"/>
            </w:tcBorders>
            <w:noWrap/>
            <w:textDirection w:val="lrTb"/>
            <w:vAlign w:val="bottom"/>
          </w:tcPr>
          <w:p w:rsidR="001E5B24" w:rsidRPr="00CB2E91" w:rsidP="001E5B24">
            <w:pPr>
              <w:bidi w:val="0"/>
              <w:rPr>
                <w:rFonts w:ascii="Arial Narrow" w:hAnsi="Arial Narrow" w:cs="Arial Narrow"/>
                <w:sz w:val="16"/>
                <w:szCs w:val="16"/>
                <w:lang w:eastAsia="sk-SK"/>
              </w:rPr>
            </w:pPr>
            <w:r w:rsidRPr="00CB2E91">
              <w:rPr>
                <w:rFonts w:ascii="Arial Narrow" w:hAnsi="Arial Narrow" w:cs="Arial Narrow"/>
                <w:sz w:val="16"/>
                <w:szCs w:val="16"/>
                <w:lang w:eastAsia="sk-SK"/>
              </w:rPr>
              <w:t>Inštitucionálna podpora a kontrola</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sidRPr="00CB2E91">
              <w:rPr>
                <w:rFonts w:ascii="Arial Narrow" w:hAnsi="Arial Narrow" w:cs="Arial Narrow"/>
                <w:sz w:val="16"/>
                <w:szCs w:val="16"/>
                <w:lang w:eastAsia="sk-SK"/>
              </w:rPr>
              <w:t>120 209</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sidRPr="00CB2E91">
              <w:rPr>
                <w:rFonts w:ascii="Arial Narrow" w:hAnsi="Arial Narrow" w:cs="Arial Narrow"/>
                <w:sz w:val="16"/>
                <w:szCs w:val="16"/>
                <w:lang w:eastAsia="sk-SK"/>
              </w:rPr>
              <w:t>128 730</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sidRPr="00CB2E91">
              <w:rPr>
                <w:rFonts w:ascii="Arial Narrow" w:hAnsi="Arial Narrow" w:cs="Arial Narrow"/>
                <w:sz w:val="16"/>
                <w:szCs w:val="16"/>
                <w:lang w:eastAsia="sk-SK"/>
              </w:rPr>
              <w:t>81 168</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sidRPr="00CB2E91">
              <w:rPr>
                <w:rFonts w:ascii="Arial Narrow" w:hAnsi="Arial Narrow" w:cs="Arial Narrow"/>
                <w:sz w:val="16"/>
                <w:szCs w:val="16"/>
                <w:lang w:eastAsia="sk-SK"/>
              </w:rPr>
              <w:t>9</w:t>
            </w:r>
            <w:r>
              <w:rPr>
                <w:rFonts w:ascii="Arial Narrow" w:hAnsi="Arial Narrow" w:cs="Arial Narrow"/>
                <w:sz w:val="16"/>
                <w:szCs w:val="16"/>
                <w:lang w:eastAsia="sk-SK"/>
              </w:rPr>
              <w:t>3</w:t>
            </w:r>
            <w:r w:rsidRPr="00CB2E91">
              <w:rPr>
                <w:rFonts w:ascii="Arial Narrow" w:hAnsi="Arial Narrow" w:cs="Arial Narrow"/>
                <w:sz w:val="16"/>
                <w:szCs w:val="16"/>
                <w:lang w:eastAsia="sk-SK"/>
              </w:rPr>
              <w:t xml:space="preserve"> </w:t>
            </w:r>
            <w:r>
              <w:rPr>
                <w:rFonts w:ascii="Arial Narrow" w:hAnsi="Arial Narrow" w:cs="Arial Narrow"/>
                <w:sz w:val="16"/>
                <w:szCs w:val="16"/>
                <w:lang w:eastAsia="sk-SK"/>
              </w:rPr>
              <w:t>175</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89 845</w:t>
            </w:r>
          </w:p>
        </w:tc>
        <w:tc>
          <w:tcPr>
            <w:tcW w:w="454" w:type="pct"/>
            <w:tcBorders>
              <w:top w:val="nil"/>
              <w:left w:val="nil"/>
              <w:bottom w:val="single" w:sz="4" w:space="0" w:color="auto"/>
              <w:right w:val="single" w:sz="4" w:space="0" w:color="auto"/>
            </w:tcBorders>
            <w:noWrap/>
            <w:textDirection w:val="lrTb"/>
            <w:vAlign w:val="bottom"/>
          </w:tcPr>
          <w:p w:rsidR="001E5B24" w:rsidRPr="00CB2E91"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84 045</w:t>
            </w:r>
          </w:p>
        </w:tc>
      </w:tr>
    </w:tbl>
    <w:p w:rsidR="001E5B24" w:rsidRPr="004C2830"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Výdavky na inštitucionálnu podporu a kontrolu sú rozpočtované v sume 9</w:t>
      </w:r>
      <w:r>
        <w:rPr>
          <w:rFonts w:ascii="Arial Narrow" w:hAnsi="Arial Narrow" w:cs="Arial Narrow"/>
          <w:sz w:val="22"/>
          <w:szCs w:val="22"/>
        </w:rPr>
        <w:t>3,2</w:t>
      </w:r>
      <w:r w:rsidRPr="004C2830">
        <w:rPr>
          <w:rFonts w:ascii="Arial Narrow" w:hAnsi="Arial Narrow" w:cs="Arial Narrow"/>
          <w:sz w:val="22"/>
          <w:szCs w:val="22"/>
        </w:rPr>
        <w:t xml:space="preserve"> mil. eur, čo predstavuje </w:t>
      </w:r>
      <w:r>
        <w:rPr>
          <w:rFonts w:ascii="Arial Narrow" w:hAnsi="Arial Narrow" w:cs="Arial Narrow"/>
          <w:sz w:val="22"/>
          <w:szCs w:val="22"/>
        </w:rPr>
        <w:t>v porovnaní so schváleným rozpočtom v roku 2010</w:t>
      </w:r>
      <w:r w:rsidRPr="004C2830">
        <w:rPr>
          <w:rFonts w:ascii="Arial Narrow" w:hAnsi="Arial Narrow" w:cs="Arial Narrow"/>
          <w:sz w:val="22"/>
          <w:szCs w:val="22"/>
        </w:rPr>
        <w:t xml:space="preserve"> rast o</w:t>
      </w:r>
      <w:r>
        <w:rPr>
          <w:rFonts w:ascii="Arial Narrow" w:hAnsi="Arial Narrow" w:cs="Arial Narrow"/>
          <w:sz w:val="22"/>
          <w:szCs w:val="22"/>
        </w:rPr>
        <w:t> </w:t>
      </w:r>
      <w:r w:rsidRPr="004C2830">
        <w:rPr>
          <w:rFonts w:ascii="Arial Narrow" w:hAnsi="Arial Narrow" w:cs="Arial Narrow"/>
          <w:sz w:val="22"/>
          <w:szCs w:val="22"/>
        </w:rPr>
        <w:t>14</w:t>
      </w:r>
      <w:r>
        <w:rPr>
          <w:rFonts w:ascii="Arial Narrow" w:hAnsi="Arial Narrow" w:cs="Arial Narrow"/>
          <w:sz w:val="22"/>
          <w:szCs w:val="22"/>
        </w:rPr>
        <w:t xml:space="preserve">,8% ale oproti skutočnosti dosiahnutej v roku 2009 ide o pokles o 27,6%. </w:t>
      </w:r>
    </w:p>
    <w:p w:rsidR="001E5B24" w:rsidP="001E5B24">
      <w:pPr>
        <w:bidi w:val="0"/>
        <w:ind w:firstLine="708"/>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Uvedenými výdavkami sa zabezpečuje viacero úloh, napr. v oblasti rozpočtovej politiky, kontroly, štátneho výkazníctva a  úlohy v oblasti finančného trhu v gescii MF SR, ako aj distribúcia kolkov. Dôležitou súčasťou sú výdavky na činnosť štátnej pokladnice a na ostatné informačné systémy riadenia verejných financií nadrezortného charakteru, ktoré zabezpečujú Štátna pokladnica, Datacentrum, Agentúra pre riadenie dlhu a likvidity (ARDAL) a Úrad ministerstva financií.</w:t>
      </w:r>
    </w:p>
    <w:p w:rsidR="001E5B24" w:rsidP="001E5B24">
      <w:pPr>
        <w:bidi w:val="0"/>
        <w:ind w:firstLine="708"/>
        <w:jc w:val="both"/>
        <w:rPr>
          <w:rFonts w:ascii="Arial Narrow" w:hAnsi="Arial Narrow" w:cs="Arial Narrow"/>
          <w:sz w:val="22"/>
          <w:szCs w:val="22"/>
        </w:rPr>
      </w:pPr>
    </w:p>
    <w:p w:rsidR="001E5B24" w:rsidRPr="004C2830" w:rsidP="001E5B24">
      <w:pPr>
        <w:bidi w:val="0"/>
        <w:ind w:firstLine="708"/>
        <w:jc w:val="both"/>
        <w:rPr>
          <w:rFonts w:ascii="Arial Narrow" w:hAnsi="Arial Narrow" w:cs="Arial Narrow"/>
          <w:sz w:val="22"/>
          <w:szCs w:val="22"/>
        </w:rPr>
      </w:pPr>
      <w:r w:rsidRPr="004C2830">
        <w:rPr>
          <w:rFonts w:ascii="Arial Narrow" w:hAnsi="Arial Narrow" w:cs="Arial Narrow"/>
          <w:sz w:val="22"/>
          <w:szCs w:val="22"/>
        </w:rPr>
        <w:t xml:space="preserve">Významnou úlohou </w:t>
      </w:r>
      <w:r>
        <w:rPr>
          <w:rFonts w:ascii="Arial Narrow" w:hAnsi="Arial Narrow" w:cs="Arial Narrow"/>
          <w:sz w:val="22"/>
          <w:szCs w:val="22"/>
        </w:rPr>
        <w:t xml:space="preserve">v rámci kapitoly </w:t>
      </w:r>
      <w:r w:rsidRPr="004C2830">
        <w:rPr>
          <w:rFonts w:ascii="Arial Narrow" w:hAnsi="Arial Narrow" w:cs="Arial Narrow"/>
          <w:sz w:val="22"/>
          <w:szCs w:val="22"/>
        </w:rPr>
        <w:t>je taktiež vytvorenie Jednotného systému štátneho účtovníctva a výkazníctva na akruálnom princípe. Cieľom projektu je vytvoriť novú metodiku účtovníctva, ktorá by poskytovala jednotné pravidlá účtovania a vykazovania pre všetky jednotky štátneho a verejného sektora na báze medzinárodných štandardov a na integrovanej technicko-technologickej platforme, kompatibilnej so systémom štátnej pokladnice. Nový systém zvýši mieru transparentnosti, preukázateľnosti a overiteľnosti operácií subjektov sektora a tak bude predstavovať významný nástroj komplexného ekonomického riadenia, ktorý podporuje a zavádza do svojich národných systémov väčšina krajín EÚ.</w:t>
      </w:r>
    </w:p>
    <w:p w:rsidR="001E5B24" w:rsidP="001E5B24">
      <w:pPr>
        <w:bidi w:val="0"/>
        <w:ind w:firstLine="708"/>
        <w:jc w:val="both"/>
        <w:rPr>
          <w:rFonts w:ascii="Arial Narrow" w:hAnsi="Arial Narrow" w:cs="Arial Narrow"/>
          <w:sz w:val="22"/>
          <w:szCs w:val="22"/>
        </w:rPr>
      </w:pPr>
    </w:p>
    <w:p w:rsidR="001E5B24" w:rsidP="001E5B24">
      <w:pPr>
        <w:bidi w:val="0"/>
        <w:jc w:val="both"/>
        <w:rPr>
          <w:rFonts w:ascii="Arial Narrow" w:hAnsi="Arial Narrow" w:cs="Arial Narrow"/>
          <w:b/>
          <w:bCs/>
          <w:sz w:val="22"/>
          <w:szCs w:val="22"/>
        </w:rPr>
      </w:pPr>
    </w:p>
    <w:p w:rsidR="001E5B24" w:rsidRPr="0015768D" w:rsidP="001E5B24">
      <w:pPr>
        <w:pBdr>
          <w:bottom w:val="single" w:sz="4" w:space="1" w:color="auto"/>
        </w:pBdr>
        <w:bidi w:val="0"/>
        <w:jc w:val="both"/>
        <w:rPr>
          <w:rFonts w:ascii="Arial Narrow" w:hAnsi="Arial Narrow" w:cs="Arial Narrow"/>
          <w:b/>
          <w:bCs/>
          <w:sz w:val="22"/>
          <w:szCs w:val="22"/>
        </w:rPr>
      </w:pPr>
      <w:r w:rsidRPr="0015768D">
        <w:rPr>
          <w:rFonts w:ascii="Arial Narrow" w:hAnsi="Arial Narrow" w:cs="Arial Narrow"/>
          <w:b/>
          <w:bCs/>
          <w:sz w:val="22"/>
          <w:szCs w:val="22"/>
        </w:rPr>
        <w:t xml:space="preserve">Ministerstvo hospodárstva </w:t>
      </w:r>
      <w:r>
        <w:rPr>
          <w:rFonts w:ascii="Arial Narrow" w:hAnsi="Arial Narrow" w:cs="Arial Narrow"/>
          <w:b/>
          <w:bCs/>
          <w:sz w:val="22"/>
          <w:szCs w:val="22"/>
        </w:rPr>
        <w:t xml:space="preserve">a výstavby </w:t>
      </w:r>
      <w:r w:rsidRPr="0015768D">
        <w:rPr>
          <w:rFonts w:ascii="Arial Narrow" w:hAnsi="Arial Narrow" w:cs="Arial Narrow"/>
          <w:b/>
          <w:bCs/>
          <w:sz w:val="22"/>
          <w:szCs w:val="22"/>
        </w:rPr>
        <w:t xml:space="preserve">SR </w:t>
      </w:r>
    </w:p>
    <w:p w:rsidR="001E5B24" w:rsidRPr="008D2798" w:rsidP="001E5B24">
      <w:pPr>
        <w:bidi w:val="0"/>
        <w:jc w:val="both"/>
        <w:rPr>
          <w:rFonts w:ascii="Arial Narrow" w:hAnsi="Arial Narrow" w:cs="Arial Narrow"/>
          <w:sz w:val="22"/>
          <w:szCs w:val="22"/>
        </w:rPr>
      </w:pPr>
    </w:p>
    <w:tbl>
      <w:tblPr>
        <w:tblStyle w:val="TableNormal"/>
        <w:tblW w:w="8930" w:type="dxa"/>
        <w:tblInd w:w="70" w:type="dxa"/>
        <w:tblCellMar>
          <w:left w:w="70" w:type="dxa"/>
          <w:right w:w="70" w:type="dxa"/>
        </w:tblCellMar>
        <w:tblLook w:val="00A0"/>
      </w:tblPr>
      <w:tblGrid>
        <w:gridCol w:w="2330"/>
        <w:gridCol w:w="1100"/>
        <w:gridCol w:w="1100"/>
        <w:gridCol w:w="1100"/>
        <w:gridCol w:w="1100"/>
        <w:gridCol w:w="1100"/>
        <w:gridCol w:w="1100"/>
      </w:tblGrid>
      <w:tr>
        <w:tblPrEx>
          <w:tblW w:w="8930" w:type="dxa"/>
          <w:tblInd w:w="70" w:type="dxa"/>
          <w:tblCellMar>
            <w:left w:w="70" w:type="dxa"/>
            <w:right w:w="70" w:type="dxa"/>
          </w:tblCellMar>
          <w:tblLook w:val="00A0"/>
        </w:tblPrEx>
        <w:trPr>
          <w:trHeight w:val="255"/>
        </w:trPr>
        <w:tc>
          <w:tcPr>
            <w:tcW w:w="233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AD214A" w:rsidP="001E5B24">
            <w:pPr>
              <w:bidi w:val="0"/>
              <w:rPr>
                <w:rFonts w:ascii="Arial Narrow" w:hAnsi="Arial Narrow" w:cs="Arial Narrow"/>
                <w:b/>
                <w:bCs/>
                <w:sz w:val="16"/>
                <w:szCs w:val="16"/>
              </w:rPr>
            </w:pPr>
            <w:r w:rsidRPr="00AD214A">
              <w:rPr>
                <w:rFonts w:ascii="Arial Narrow" w:hAnsi="Arial Narrow" w:cs="Arial Narrow"/>
                <w:b/>
                <w:bCs/>
                <w:sz w:val="16"/>
                <w:szCs w:val="16"/>
              </w:rPr>
              <w:t>v tis. eur</w:t>
            </w:r>
          </w:p>
        </w:tc>
        <w:tc>
          <w:tcPr>
            <w:tcW w:w="1100"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2008 S</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2009 S</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2010 R</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2011 N</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2012 N</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AD214A" w:rsidP="001E5B24">
            <w:pPr>
              <w:bidi w:val="0"/>
              <w:jc w:val="center"/>
              <w:rPr>
                <w:rFonts w:ascii="Arial Narrow" w:hAnsi="Arial Narrow" w:cs="Arial Narrow"/>
                <w:b/>
                <w:bCs/>
                <w:sz w:val="16"/>
                <w:szCs w:val="16"/>
              </w:rPr>
            </w:pPr>
            <w:r w:rsidRPr="00AD214A">
              <w:rPr>
                <w:rFonts w:ascii="Arial Narrow" w:hAnsi="Arial Narrow" w:cs="Arial Narrow"/>
                <w:b/>
                <w:bCs/>
                <w:sz w:val="16"/>
                <w:szCs w:val="16"/>
              </w:rPr>
              <w:t>2013 N</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shd w:val="clear" w:color="000000" w:fill="C0C0C0"/>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Zdroje príslušnej kapitoly</w:t>
            </w:r>
          </w:p>
        </w:tc>
        <w:tc>
          <w:tcPr>
            <w:tcW w:w="1100" w:type="dxa"/>
            <w:tcBorders>
              <w:top w:val="nil"/>
              <w:left w:val="single" w:sz="4" w:space="0" w:color="auto"/>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443 646</w:t>
            </w:r>
          </w:p>
        </w:tc>
        <w:tc>
          <w:tcPr>
            <w:tcW w:w="1100" w:type="dxa"/>
            <w:tcBorders>
              <w:top w:val="nil"/>
              <w:left w:val="nil"/>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272 331</w:t>
            </w:r>
          </w:p>
        </w:tc>
        <w:tc>
          <w:tcPr>
            <w:tcW w:w="1100" w:type="dxa"/>
            <w:tcBorders>
              <w:top w:val="nil"/>
              <w:left w:val="nil"/>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320 409</w:t>
            </w:r>
          </w:p>
        </w:tc>
        <w:tc>
          <w:tcPr>
            <w:tcW w:w="1100" w:type="dxa"/>
            <w:tcBorders>
              <w:top w:val="nil"/>
              <w:left w:val="nil"/>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333 807</w:t>
            </w:r>
          </w:p>
        </w:tc>
        <w:tc>
          <w:tcPr>
            <w:tcW w:w="1100" w:type="dxa"/>
            <w:tcBorders>
              <w:top w:val="nil"/>
              <w:left w:val="nil"/>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179 276</w:t>
            </w:r>
          </w:p>
        </w:tc>
        <w:tc>
          <w:tcPr>
            <w:tcW w:w="1100" w:type="dxa"/>
            <w:tcBorders>
              <w:top w:val="nil"/>
              <w:left w:val="nil"/>
              <w:bottom w:val="single" w:sz="4" w:space="0" w:color="auto"/>
              <w:right w:val="single" w:sz="4" w:space="0" w:color="auto"/>
            </w:tcBorders>
            <w:shd w:val="clear" w:color="000000" w:fill="C0C0C0"/>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113 003</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z toho:</w:t>
            </w:r>
          </w:p>
        </w:tc>
        <w:tc>
          <w:tcPr>
            <w:tcW w:w="110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rozpočtové zdroje kapitoly </w:t>
            </w:r>
          </w:p>
        </w:tc>
        <w:tc>
          <w:tcPr>
            <w:tcW w:w="110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148 525</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145 880</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92 688</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105 989</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65 985</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49 370</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presun z min. rokov   § 8 </w:t>
            </w:r>
          </w:p>
        </w:tc>
        <w:tc>
          <w:tcPr>
            <w:tcW w:w="1100" w:type="dxa"/>
            <w:tcBorders>
              <w:top w:val="nil"/>
              <w:left w:val="single" w:sz="4" w:space="0" w:color="auto"/>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11 030</w:t>
            </w:r>
          </w:p>
        </w:tc>
        <w:tc>
          <w:tcPr>
            <w:tcW w:w="1100" w:type="dxa"/>
            <w:tcBorders>
              <w:top w:val="nil"/>
              <w:left w:val="nil"/>
              <w:bottom w:val="single" w:sz="4" w:space="0" w:color="auto"/>
              <w:right w:val="single" w:sz="4" w:space="0" w:color="auto"/>
            </w:tcBorders>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30 394</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zdroje EÚ</w:t>
            </w:r>
          </w:p>
        </w:tc>
        <w:tc>
          <w:tcPr>
            <w:tcW w:w="110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45 231</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75 023</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192 476</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196 027</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98 013</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54 873</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zdroje spolufinancovania</w:t>
            </w:r>
          </w:p>
        </w:tc>
        <w:tc>
          <w:tcPr>
            <w:tcW w:w="110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238 860</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21 000</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34 003</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31 657</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15 278</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8 760</w:t>
            </w:r>
          </w:p>
        </w:tc>
      </w:tr>
      <w:tr>
        <w:tblPrEx>
          <w:tblW w:w="8930" w:type="dxa"/>
          <w:tblInd w:w="70" w:type="dxa"/>
          <w:tblCellMar>
            <w:left w:w="70" w:type="dxa"/>
            <w:right w:w="70" w:type="dxa"/>
          </w:tblCellMar>
          <w:tblLook w:val="00A0"/>
        </w:tblPrEx>
        <w:trPr>
          <w:trHeight w:val="255"/>
        </w:trPr>
        <w:tc>
          <w:tcPr>
            <w:tcW w:w="233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iné zdroje: NFM, EHP, zo zahr.</w:t>
            </w:r>
          </w:p>
        </w:tc>
        <w:tc>
          <w:tcPr>
            <w:tcW w:w="110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34</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1 242</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134</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1100"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r>
    </w:tbl>
    <w:p w:rsidR="001E5B24" w:rsidP="001E5B24">
      <w:pPr>
        <w:bidi w:val="0"/>
        <w:ind w:firstLine="708"/>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Rezort hospodárstva má v roku 2011 k dispozícii výdavky vo výške 334 mil. eur, v tom rozpočtové prostriedky predstavujú sumu 106 mil. eur, výdavky EÚ sumu 196 mil. eur, výdavky na spolufinancovanie zo štátneho rozpočtu sumu 31,7 mil. eur a výdavky NFM a EHP sumu 134 tis. eur. Celkové výdavky kapitoly na rok 2011 rastú oproti schválenému rozpočtu na rok 2010 o 4,18 %, z toho výdavky EÚ a spolufinancovania v roku 2011 oproti schválenému rozpočtu na rok 2010  rastú o 0,53 %.</w:t>
      </w:r>
    </w:p>
    <w:p w:rsidR="001E5B24" w:rsidRPr="0015768D"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Rozpočtové prostriedky kapitoly na rok 2011 oproti schválenému rozpočtu na rok 2010 rastú o 14,4 %. Pri hodnotení porovnateľnej základne, výdavky kapitoly v návrhu rozpočtu na rok 2011 oproti schválenému rozpočtu na rok 2010, klesajú  o 6,77 %. Porovnateľná úroveň výdavkov na rok 2011 bola vytvorená očistením výdavkov na investičné projekty s výnimkou výdavkov pre SARIO a sumy 500 tis. eur na osobitný príspevok baníkom. V schválenom rozpočte na rok 2010 boli  výdavky znížené o výdavky na investičné projekty s výnimkou výdavkov pre SARIO a výdavkov na cestovný ruch.</w:t>
      </w:r>
    </w:p>
    <w:p w:rsidR="001E5B24" w:rsidRPr="007B45A1" w:rsidP="001E5B24">
      <w:pPr>
        <w:bidi w:val="0"/>
        <w:jc w:val="both"/>
        <w:rPr>
          <w:rFonts w:ascii="Arial Narrow" w:hAnsi="Arial Narrow" w:cs="Arial Narrow"/>
          <w:strike/>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15768D">
        <w:rPr>
          <w:rFonts w:ascii="Arial Narrow" w:hAnsi="Arial Narrow" w:cs="Arial Narrow"/>
          <w:sz w:val="22"/>
          <w:szCs w:val="22"/>
        </w:rPr>
        <w:t xml:space="preserve"> rok 2011 rozpočtuje na úrovni 17,7 mil. eur, čo v porovnaní so schváleným rozpočtom na rok 2010 predstavuje pokles 11,3 % (2,25 mil. eur)</w:t>
      </w:r>
      <w:r>
        <w:rPr>
          <w:rFonts w:ascii="Arial Narrow" w:hAnsi="Arial Narrow" w:cs="Arial Narrow"/>
          <w:sz w:val="22"/>
          <w:szCs w:val="22"/>
        </w:rPr>
        <w:t>. T</w:t>
      </w:r>
      <w:r w:rsidRPr="0015768D">
        <w:rPr>
          <w:rFonts w:ascii="Arial Narrow" w:hAnsi="Arial Narrow" w:cs="Arial Narrow"/>
          <w:sz w:val="22"/>
          <w:szCs w:val="22"/>
        </w:rPr>
        <w:t xml:space="preserve">ento pokles osobných výdavkov je ovplyvnený viazaním osobných výdavkov na úrovni 10 % </w:t>
      </w:r>
      <w:r w:rsidR="00475F5B">
        <w:rPr>
          <w:rFonts w:ascii="Arial Narrow" w:hAnsi="Arial Narrow" w:cs="Arial Narrow"/>
          <w:sz w:val="22"/>
          <w:szCs w:val="22"/>
        </w:rPr>
        <w:t>pre</w:t>
      </w:r>
      <w:r w:rsidRPr="0015768D">
        <w:rPr>
          <w:rFonts w:ascii="Arial Narrow" w:hAnsi="Arial Narrow" w:cs="Arial Narrow"/>
          <w:sz w:val="22"/>
          <w:szCs w:val="22"/>
        </w:rPr>
        <w:t xml:space="preserve"> štátnych zamestnancov a zamestnancov pri výkone práce vo verejnom záujme pri zohľadnení dopočtu 1% valorizácie z roku 2010 a 10% viazaním osobných </w:t>
      </w:r>
      <w:r w:rsidRPr="003F3A15">
        <w:rPr>
          <w:rFonts w:ascii="Arial Narrow" w:hAnsi="Arial Narrow" w:cs="Arial Narrow"/>
          <w:sz w:val="22"/>
          <w:szCs w:val="22"/>
        </w:rPr>
        <w:t xml:space="preserve">výdavkov ministra z úrovne roka 2010. V limite počtu zamestnancov je premietnuté zníženie o 1 miesto štátneho tajomníka. Návrh rozpočtu súčasne zohľadňuje delimitáciu sekcie cestovného ruchu do kapitoly Ministerstva dopravy, </w:t>
      </w:r>
      <w:r w:rsidR="00475F5B">
        <w:rPr>
          <w:rFonts w:ascii="Arial Narrow" w:hAnsi="Arial Narrow" w:cs="Arial Narrow"/>
          <w:sz w:val="22"/>
          <w:szCs w:val="22"/>
        </w:rPr>
        <w:t>pôst a telekomunikácií</w:t>
      </w:r>
      <w:r w:rsidRPr="003F3A15">
        <w:rPr>
          <w:rFonts w:ascii="Arial Narrow" w:hAnsi="Arial Narrow" w:cs="Arial Narrow"/>
          <w:sz w:val="22"/>
          <w:szCs w:val="22"/>
        </w:rPr>
        <w:t xml:space="preserve"> SR vo výške 549,5 tis. eur. Po abstrahovaní od predmetnej delimitácie a úpravy vyššieho rozpisu poistného kapitolou by osobné výdavky v roku 2011 oproti schválenému rozpočtu na rok 2010 klesali o 9,11 %.</w:t>
      </w:r>
    </w:p>
    <w:p w:rsidR="001E5B24" w:rsidRPr="0015768D" w:rsidP="001E5B24">
      <w:pPr>
        <w:bidi w:val="0"/>
        <w:jc w:val="both"/>
        <w:rPr>
          <w:rFonts w:ascii="Arial Narrow" w:hAnsi="Arial Narrow" w:cs="Arial Narrow"/>
          <w:sz w:val="22"/>
          <w:szCs w:val="22"/>
        </w:rPr>
      </w:pPr>
    </w:p>
    <w:p w:rsidR="001E5B24" w:rsidRPr="004227A6"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 xml:space="preserve">Výdavky na tovary a služby v roku 2011 oproti schválenému rozpočtu výdavkov na rok 2010 klesajú o 2,11 mil. eur, </w:t>
      </w:r>
      <w:r w:rsidR="007C7DA8">
        <w:rPr>
          <w:rFonts w:ascii="Arial Narrow" w:hAnsi="Arial Narrow" w:cs="Arial Narrow"/>
          <w:sz w:val="22"/>
          <w:szCs w:val="22"/>
        </w:rPr>
        <w:t>t. j.</w:t>
      </w:r>
      <w:r w:rsidRPr="004227A6">
        <w:rPr>
          <w:rFonts w:ascii="Arial Narrow" w:hAnsi="Arial Narrow" w:cs="Arial Narrow"/>
          <w:sz w:val="22"/>
          <w:szCs w:val="22"/>
        </w:rPr>
        <w:t xml:space="preserve"> 11,9 %, najvýznamnejší pokles zaznamenáva oblasť podpory programov rezortu, kde výdavky na obchodno-ekonomické oddelenia v zahraničí v roku 2011 oproti schválenému rozpočtu na rok 2010 klesajú o 2,98 mil. eur. Návrh rozpočtu na rok 2011 zohľadňuje delimitáciu výdavkov na tovary a služby v oblasti cestovného ruchu, ktoré v roku 2010 predstavovali sumu 104 tis. eur, do kapitoly Ministerstva dopravy, </w:t>
      </w:r>
      <w:r w:rsidR="00475F5B">
        <w:rPr>
          <w:rFonts w:ascii="Arial Narrow" w:hAnsi="Arial Narrow" w:cs="Arial Narrow"/>
          <w:sz w:val="22"/>
          <w:szCs w:val="22"/>
        </w:rPr>
        <w:t>pôst a telekomunikácií</w:t>
      </w:r>
      <w:r w:rsidRPr="004227A6">
        <w:rPr>
          <w:rFonts w:ascii="Arial Narrow" w:hAnsi="Arial Narrow" w:cs="Arial Narrow"/>
          <w:sz w:val="22"/>
          <w:szCs w:val="22"/>
        </w:rPr>
        <w:t xml:space="preserve"> SR. Z porovnania návrhu rozpočtu na rok 2011 oproti schválenému rozpočtu na rok 2010 bez cestovného ruchu vyplýva pokles výdavkov na tovary a služby o 11,3 %.</w:t>
      </w:r>
    </w:p>
    <w:p w:rsidR="001E5B24" w:rsidRPr="004227A6" w:rsidP="001E5B24">
      <w:pPr>
        <w:bidi w:val="0"/>
        <w:jc w:val="both"/>
        <w:rPr>
          <w:rFonts w:ascii="Arial Narrow" w:hAnsi="Arial Narrow" w:cs="Arial Narrow"/>
          <w:sz w:val="22"/>
          <w:szCs w:val="22"/>
        </w:rPr>
      </w:pPr>
    </w:p>
    <w:p w:rsidR="001E5B24" w:rsidRPr="004227A6"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4227A6">
        <w:rPr>
          <w:rFonts w:ascii="Arial Narrow" w:hAnsi="Arial Narrow" w:cs="Arial Narrow"/>
          <w:sz w:val="22"/>
          <w:szCs w:val="22"/>
        </w:rPr>
        <w:t xml:space="preserve">ýdavky na bežné transfery v roku 2011 oproti schválenému rozpočtu na rok 2010 rastú o 184 tis. eur, </w:t>
      </w:r>
      <w:r w:rsidR="007C7DA8">
        <w:rPr>
          <w:rFonts w:ascii="Arial Narrow" w:hAnsi="Arial Narrow" w:cs="Arial Narrow"/>
          <w:sz w:val="22"/>
          <w:szCs w:val="22"/>
        </w:rPr>
        <w:t>t. j.</w:t>
      </w:r>
      <w:r w:rsidRPr="004227A6">
        <w:rPr>
          <w:rFonts w:ascii="Arial Narrow" w:hAnsi="Arial Narrow" w:cs="Arial Narrow"/>
          <w:sz w:val="22"/>
          <w:szCs w:val="22"/>
        </w:rPr>
        <w:t xml:space="preserve"> 1,77 % najmä z dôvodu nárastu výdavkov na príspevky do medzinárodných organizácií o 271 tis. eur, na odstupné o 2</w:t>
      </w:r>
      <w:r>
        <w:rPr>
          <w:rFonts w:ascii="Arial Narrow" w:hAnsi="Arial Narrow" w:cs="Arial Narrow"/>
          <w:sz w:val="22"/>
          <w:szCs w:val="22"/>
        </w:rPr>
        <w:t>18</w:t>
      </w:r>
      <w:r w:rsidRPr="004227A6">
        <w:rPr>
          <w:rFonts w:ascii="Arial Narrow" w:hAnsi="Arial Narrow" w:cs="Arial Narrow"/>
          <w:sz w:val="22"/>
          <w:szCs w:val="22"/>
        </w:rPr>
        <w:t xml:space="preserve"> tis. eur, príspevkovej organizácii Slovenská inovačná a energetická agentúra o 300 tis. eur, výdavkov na rudné baníctvo o 399 tis. eur a najmä rozpočtovaním bežných transferov na realizáciu projektu AU Optronics v sume </w:t>
      </w:r>
      <w:r>
        <w:rPr>
          <w:rFonts w:ascii="Arial Narrow" w:hAnsi="Arial Narrow" w:cs="Arial Narrow"/>
          <w:sz w:val="22"/>
          <w:szCs w:val="22"/>
        </w:rPr>
        <w:t>1,22</w:t>
      </w:r>
      <w:r w:rsidRPr="004227A6">
        <w:rPr>
          <w:rFonts w:ascii="Arial Narrow" w:hAnsi="Arial Narrow" w:cs="Arial Narrow"/>
          <w:sz w:val="22"/>
          <w:szCs w:val="22"/>
        </w:rPr>
        <w:t xml:space="preserve"> mil. eur. Návrh rozpočtu na rok 2011 zohľadňuje delimitáciu výdavkov na bežné transfery v oblasti cestovného ruchu , ktoré v roku 2010 predstavovali sumu 1,95 mil. eur, do kapitoly Ministerstva dopravy, </w:t>
      </w:r>
      <w:r w:rsidR="00475F5B">
        <w:rPr>
          <w:rFonts w:ascii="Arial Narrow" w:hAnsi="Arial Narrow" w:cs="Arial Narrow"/>
          <w:sz w:val="22"/>
          <w:szCs w:val="22"/>
        </w:rPr>
        <w:t>pôst a telekomunikácií</w:t>
      </w:r>
      <w:r w:rsidRPr="004227A6">
        <w:rPr>
          <w:rFonts w:ascii="Arial Narrow" w:hAnsi="Arial Narrow" w:cs="Arial Narrow"/>
          <w:sz w:val="22"/>
          <w:szCs w:val="22"/>
        </w:rPr>
        <w:t xml:space="preserve"> SR. Výdavky kapitoly na bežné transfery na rok 2011 oproti schválenému rozpočtu na rok 2010, zníženému o výdavky na cestovný ruch, rastú o 24,7 %.</w:t>
      </w:r>
    </w:p>
    <w:p w:rsidR="001E5B24" w:rsidRPr="004227A6" w:rsidP="001E5B24">
      <w:pPr>
        <w:bidi w:val="0"/>
        <w:ind w:firstLine="708"/>
        <w:jc w:val="both"/>
        <w:rPr>
          <w:rFonts w:ascii="Arial Narrow" w:hAnsi="Arial Narrow" w:cs="Arial Narrow"/>
          <w:sz w:val="22"/>
          <w:szCs w:val="22"/>
        </w:rPr>
      </w:pPr>
    </w:p>
    <w:p w:rsidR="001E5B24" w:rsidRPr="004227A6"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Kapitálové výdavky v roku 2011 oproti schválenému rozpočtu na rok 2010 rastú o 39,2 %, najmä z dôvodu nárastu výdavkov na investičné projekty</w:t>
      </w:r>
      <w:r w:rsidR="00475F5B">
        <w:rPr>
          <w:rFonts w:ascii="Arial Narrow" w:hAnsi="Arial Narrow" w:cs="Arial Narrow"/>
          <w:sz w:val="22"/>
          <w:szCs w:val="22"/>
        </w:rPr>
        <w:t>,</w:t>
      </w:r>
      <w:r w:rsidRPr="004227A6">
        <w:rPr>
          <w:rFonts w:ascii="Arial Narrow" w:hAnsi="Arial Narrow" w:cs="Arial Narrow"/>
          <w:sz w:val="22"/>
          <w:szCs w:val="22"/>
        </w:rPr>
        <w:t xml:space="preserve"> ktoré v roku 2011 oproti schválenému rozpočtu na rok 2010 rastú o 17,4 mil. eur</w:t>
      </w:r>
      <w:r>
        <w:rPr>
          <w:rFonts w:ascii="Arial Narrow" w:hAnsi="Arial Narrow" w:cs="Arial Narrow"/>
          <w:sz w:val="22"/>
          <w:szCs w:val="22"/>
        </w:rPr>
        <w:t>,</w:t>
      </w:r>
      <w:r w:rsidRPr="004227A6">
        <w:rPr>
          <w:rFonts w:ascii="Arial Narrow" w:hAnsi="Arial Narrow" w:cs="Arial Narrow"/>
          <w:sz w:val="22"/>
          <w:szCs w:val="22"/>
        </w:rPr>
        <w:t xml:space="preserve"> </w:t>
      </w:r>
      <w:r w:rsidR="007C7DA8">
        <w:rPr>
          <w:rFonts w:ascii="Arial Narrow" w:hAnsi="Arial Narrow" w:cs="Arial Narrow"/>
          <w:sz w:val="22"/>
          <w:szCs w:val="22"/>
        </w:rPr>
        <w:t>t. j.</w:t>
      </w:r>
      <w:r w:rsidRPr="004227A6">
        <w:rPr>
          <w:rFonts w:ascii="Arial Narrow" w:hAnsi="Arial Narrow" w:cs="Arial Narrow"/>
          <w:sz w:val="22"/>
          <w:szCs w:val="22"/>
        </w:rPr>
        <w:t xml:space="preserve"> 40,6 %. Z porovnania kapitálových výdavkov bez podpory investičných projektov v roku 2011 oproti schválenému rozpočtu na rok 2010 vyplýva nárast výdavkov o 83,6 tis. eur, </w:t>
      </w:r>
      <w:r w:rsidR="007C7DA8">
        <w:rPr>
          <w:rFonts w:ascii="Arial Narrow" w:hAnsi="Arial Narrow" w:cs="Arial Narrow"/>
          <w:sz w:val="22"/>
          <w:szCs w:val="22"/>
        </w:rPr>
        <w:t>t. j.</w:t>
      </w:r>
      <w:r w:rsidRPr="004227A6">
        <w:rPr>
          <w:rFonts w:ascii="Arial Narrow" w:hAnsi="Arial Narrow" w:cs="Arial Narrow"/>
          <w:sz w:val="22"/>
          <w:szCs w:val="22"/>
        </w:rPr>
        <w:t xml:space="preserve"> 5,07 %.</w:t>
      </w:r>
    </w:p>
    <w:p w:rsidR="001E5B24" w:rsidRPr="004227A6"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Návrh rozpočtu osobných ani vecných výdavkov nezohľadňuje pripravovanú novelu kompetenčného zákona, ktorým na Ministerstvo zahraničných vecí SR prechádza pôsobnosť v oblasti riadenia obchodno-ekonomických oddelení v termíne od 1.11.2010.</w:t>
      </w:r>
      <w:r w:rsidRPr="0015768D">
        <w:rPr>
          <w:rFonts w:ascii="Arial Narrow" w:hAnsi="Arial Narrow" w:cs="Arial Narrow"/>
          <w:sz w:val="22"/>
          <w:szCs w:val="22"/>
        </w:rPr>
        <w:t xml:space="preserve"> </w:t>
      </w:r>
    </w:p>
    <w:p w:rsidR="001E5B24" w:rsidRPr="0015768D" w:rsidP="001E5B24">
      <w:pPr>
        <w:bidi w:val="0"/>
        <w:jc w:val="both"/>
        <w:rPr>
          <w:rFonts w:ascii="Arial Narrow" w:hAnsi="Arial Narrow" w:cs="Arial Narrow"/>
          <w:sz w:val="22"/>
          <w:szCs w:val="22"/>
        </w:rPr>
      </w:pPr>
    </w:p>
    <w:p w:rsidR="001E5B24" w:rsidRPr="0015768D" w:rsidP="00DB4442">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Výdavky kapitoly Ministerstva hospodárstva </w:t>
      </w:r>
      <w:r>
        <w:rPr>
          <w:rFonts w:ascii="Arial Narrow" w:hAnsi="Arial Narrow" w:cs="Arial Narrow"/>
          <w:sz w:val="22"/>
          <w:szCs w:val="22"/>
        </w:rPr>
        <w:t xml:space="preserve">a výstavby </w:t>
      </w:r>
      <w:r w:rsidRPr="0015768D">
        <w:rPr>
          <w:rFonts w:ascii="Arial Narrow" w:hAnsi="Arial Narrow" w:cs="Arial Narrow"/>
          <w:sz w:val="22"/>
          <w:szCs w:val="22"/>
        </w:rPr>
        <w:t>SR sú smerované do nasledovných oblastí:</w:t>
      </w:r>
    </w:p>
    <w:p w:rsidR="001E5B24" w:rsidRPr="0015768D" w:rsidP="001E5B24">
      <w:pPr>
        <w:bidi w:val="0"/>
        <w:jc w:val="both"/>
        <w:rPr>
          <w:rFonts w:ascii="Arial Narrow" w:hAnsi="Arial Narrow" w:cs="Arial Narrow"/>
          <w:sz w:val="22"/>
          <w:szCs w:val="22"/>
        </w:rPr>
      </w:pPr>
    </w:p>
    <w:p w:rsidR="001E5B24" w:rsidRPr="0015768D" w:rsidP="001E5B24">
      <w:pPr>
        <w:bidi w:val="0"/>
        <w:jc w:val="both"/>
        <w:rPr>
          <w:rFonts w:ascii="Arial Narrow" w:hAnsi="Arial Narrow" w:cs="Arial Narrow"/>
          <w:sz w:val="22"/>
          <w:szCs w:val="22"/>
        </w:rPr>
      </w:pPr>
      <w:r w:rsidRPr="0015768D">
        <w:rPr>
          <w:rFonts w:ascii="Arial Narrow" w:hAnsi="Arial Narrow" w:cs="Arial Narrow"/>
          <w:sz w:val="22"/>
          <w:szCs w:val="22"/>
        </w:rPr>
        <w:t>Reštrukturalizácia priemyselných odvetví</w:t>
      </w:r>
    </w:p>
    <w:p w:rsidR="001E5B24" w:rsidRPr="0015768D" w:rsidP="001E5B24">
      <w:pPr>
        <w:bidi w:val="0"/>
        <w:jc w:val="both"/>
        <w:rPr>
          <w:rFonts w:ascii="Arial Narrow" w:hAnsi="Arial Narrow" w:cs="Arial Narrow"/>
          <w:sz w:val="22"/>
          <w:szCs w:val="22"/>
        </w:rPr>
      </w:pPr>
    </w:p>
    <w:tbl>
      <w:tblPr>
        <w:tblStyle w:val="TableNormal"/>
        <w:tblW w:w="9240" w:type="dxa"/>
        <w:tblInd w:w="55" w:type="dxa"/>
        <w:tblLayout w:type="fixed"/>
        <w:tblCellMar>
          <w:left w:w="70" w:type="dxa"/>
          <w:right w:w="70" w:type="dxa"/>
        </w:tblCellMar>
        <w:tblLook w:val="00A0"/>
      </w:tblPr>
      <w:tblGrid>
        <w:gridCol w:w="3795"/>
        <w:gridCol w:w="907"/>
        <w:gridCol w:w="908"/>
        <w:gridCol w:w="907"/>
        <w:gridCol w:w="908"/>
        <w:gridCol w:w="907"/>
        <w:gridCol w:w="908"/>
      </w:tblGrid>
      <w:tr>
        <w:tblPrEx>
          <w:tblW w:w="9240" w:type="dxa"/>
          <w:tblInd w:w="55" w:type="dxa"/>
          <w:tblLayout w:type="fixed"/>
          <w:tblCellMar>
            <w:left w:w="70" w:type="dxa"/>
            <w:right w:w="70" w:type="dxa"/>
          </w:tblCellMar>
          <w:tblLook w:val="00A0"/>
        </w:tblPrEx>
        <w:trPr>
          <w:trHeight w:val="240"/>
        </w:trPr>
        <w:tc>
          <w:tcPr>
            <w:tcW w:w="37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07"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0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0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240" w:type="dxa"/>
          <w:tblInd w:w="55" w:type="dxa"/>
          <w:tblLayout w:type="fixed"/>
          <w:tblCellMar>
            <w:left w:w="70" w:type="dxa"/>
            <w:right w:w="70" w:type="dxa"/>
          </w:tblCellMar>
          <w:tblLook w:val="00A0"/>
        </w:tblPrEx>
        <w:trPr>
          <w:trHeight w:val="240"/>
        </w:trPr>
        <w:tc>
          <w:tcPr>
            <w:tcW w:w="3795"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Reštrukturalizácia priemyselných odvetví</w:t>
            </w:r>
          </w:p>
        </w:tc>
        <w:tc>
          <w:tcPr>
            <w:tcW w:w="907"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47 021</w:t>
            </w:r>
          </w:p>
        </w:tc>
        <w:tc>
          <w:tcPr>
            <w:tcW w:w="90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77 367</w:t>
            </w:r>
          </w:p>
        </w:tc>
        <w:tc>
          <w:tcPr>
            <w:tcW w:w="907"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2 617</w:t>
            </w:r>
          </w:p>
        </w:tc>
        <w:tc>
          <w:tcPr>
            <w:tcW w:w="90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2 975</w:t>
            </w:r>
          </w:p>
        </w:tc>
        <w:tc>
          <w:tcPr>
            <w:tcW w:w="907"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3 014</w:t>
            </w:r>
          </w:p>
        </w:tc>
        <w:tc>
          <w:tcPr>
            <w:tcW w:w="90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2 925</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Uhoľné baníctvo </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4 480</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7 107</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639</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465</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504</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683</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Rudné baníctvo  </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2 821</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3 603</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1 779</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2 178</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2 178</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1 897</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Štátna pomoc Siderit </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3 467</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xml:space="preserve">Podpora predaja motor. vozid. </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48 729</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Program vyššieho využitia biomasy a slnečnej energie</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499</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0</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T</w:t>
            </w:r>
            <w:r>
              <w:rPr>
                <w:rFonts w:ascii="Arial Narrow" w:hAnsi="Arial Narrow" w:cs="Arial Narrow"/>
                <w:sz w:val="16"/>
                <w:szCs w:val="16"/>
              </w:rPr>
              <w:t>ransfer do NJF</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105</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219</w:t>
            </w:r>
          </w:p>
        </w:tc>
        <w:tc>
          <w:tcPr>
            <w:tcW w:w="907" w:type="dxa"/>
            <w:tcBorders>
              <w:top w:val="nil"/>
              <w:left w:val="nil"/>
              <w:bottom w:val="single" w:sz="4" w:space="0" w:color="auto"/>
              <w:right w:val="single" w:sz="4" w:space="0" w:color="auto"/>
            </w:tcBorders>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 xml:space="preserve">199   </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332</w:t>
            </w:r>
          </w:p>
        </w:tc>
        <w:tc>
          <w:tcPr>
            <w:tcW w:w="907"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332</w:t>
            </w:r>
          </w:p>
        </w:tc>
        <w:tc>
          <w:tcPr>
            <w:tcW w:w="908"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345</w:t>
            </w:r>
          </w:p>
        </w:tc>
      </w:tr>
      <w:tr>
        <w:tblPrEx>
          <w:tblW w:w="9240" w:type="dxa"/>
          <w:tblInd w:w="55" w:type="dxa"/>
          <w:tblLayout w:type="fixed"/>
          <w:tblCellMar>
            <w:left w:w="70" w:type="dxa"/>
            <w:right w:w="70" w:type="dxa"/>
          </w:tblCellMar>
          <w:tblLook w:val="00A0"/>
        </w:tblPrEx>
        <w:trPr>
          <w:trHeight w:val="240"/>
        </w:trPr>
        <w:tc>
          <w:tcPr>
            <w:tcW w:w="3795"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Výdavky EÚ a spolufinancovania</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36 148</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17 210</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7"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c>
          <w:tcPr>
            <w:tcW w:w="908"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sz w:val="16"/>
                <w:szCs w:val="16"/>
              </w:rPr>
            </w:pPr>
            <w:r w:rsidRPr="0015768D">
              <w:rPr>
                <w:rFonts w:ascii="Arial Narrow" w:hAnsi="Arial Narrow" w:cs="Arial Narrow"/>
                <w:sz w:val="16"/>
                <w:szCs w:val="16"/>
              </w:rPr>
              <w:t>0 </w:t>
            </w:r>
          </w:p>
        </w:tc>
      </w:tr>
    </w:tbl>
    <w:p w:rsidR="001E5B24" w:rsidP="001E5B24">
      <w:pPr>
        <w:bidi w:val="0"/>
        <w:jc w:val="both"/>
        <w:rPr>
          <w:rFonts w:ascii="Arial" w:hAnsi="Arial" w:cs="Arial"/>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Celkové výdavky v tejto oblasti predstavujú na rok 2011 sumu 2,97 mil. eur, v porovnaní so schváleným rozpočtom na rok 2010 rastú o 13,7% </w:t>
      </w:r>
      <w:r>
        <w:rPr>
          <w:rFonts w:ascii="Arial Narrow" w:hAnsi="Arial Narrow" w:cs="Arial Narrow"/>
          <w:sz w:val="22"/>
          <w:szCs w:val="22"/>
        </w:rPr>
        <w:t xml:space="preserve">najmä </w:t>
      </w:r>
      <w:r w:rsidRPr="0015768D">
        <w:rPr>
          <w:rFonts w:ascii="Arial Narrow" w:hAnsi="Arial Narrow" w:cs="Arial Narrow"/>
          <w:sz w:val="22"/>
          <w:szCs w:val="22"/>
        </w:rPr>
        <w:t xml:space="preserve">z dôvodu vyšších výdavkov pre rudné baníctvo o 22,4 %. Nárast vyplýva z nárastu výdavkov na zákonné sociálne dávky v nadväznosti na zákon NR SR č. 200/2009 Z. z., ktorým sa mení a dopĺňa zákon č. 98/1987 Zb. o osobitnom príspevku baníkom v znení neskorších predpisov. </w:t>
      </w:r>
    </w:p>
    <w:p w:rsidR="001E5B24" w:rsidRPr="0015768D" w:rsidP="001E5B24">
      <w:pPr>
        <w:bidi w:val="0"/>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color w:val="000000"/>
          <w:sz w:val="22"/>
          <w:szCs w:val="22"/>
        </w:rPr>
      </w:pPr>
      <w:r w:rsidRPr="0015768D">
        <w:rPr>
          <w:rFonts w:ascii="Arial Narrow" w:hAnsi="Arial Narrow" w:cs="Arial Narrow"/>
          <w:sz w:val="22"/>
          <w:szCs w:val="22"/>
        </w:rPr>
        <w:t>Výdavky v tejto oblasti sú smerované do uhoľného baníctva na deputátne uhlie pre dôchodcov a vdovy po baníkoch (na r</w:t>
      </w:r>
      <w:r>
        <w:rPr>
          <w:rFonts w:ascii="Arial Narrow" w:hAnsi="Arial Narrow" w:cs="Arial Narrow"/>
          <w:sz w:val="22"/>
          <w:szCs w:val="22"/>
        </w:rPr>
        <w:t>ok</w:t>
      </w:r>
      <w:r w:rsidRPr="0015768D">
        <w:rPr>
          <w:rFonts w:ascii="Arial Narrow" w:hAnsi="Arial Narrow" w:cs="Arial Narrow"/>
          <w:sz w:val="22"/>
          <w:szCs w:val="22"/>
        </w:rPr>
        <w:t xml:space="preserve"> 2011 v sume 425 tis. eur) a na útlm v bani Dolina a.s. Veľký Krtíš (na r</w:t>
      </w:r>
      <w:r>
        <w:rPr>
          <w:rFonts w:ascii="Arial Narrow" w:hAnsi="Arial Narrow" w:cs="Arial Narrow"/>
          <w:sz w:val="22"/>
          <w:szCs w:val="22"/>
        </w:rPr>
        <w:t>ok</w:t>
      </w:r>
      <w:r w:rsidRPr="0015768D">
        <w:rPr>
          <w:rFonts w:ascii="Arial Narrow" w:hAnsi="Arial Narrow" w:cs="Arial Narrow"/>
          <w:sz w:val="22"/>
          <w:szCs w:val="22"/>
        </w:rPr>
        <w:t xml:space="preserve"> 2011 v sume 40 tis. eur). V oblasti  rudného baníctva sú výdavky určené na technické práce na útlm (v r</w:t>
      </w:r>
      <w:r>
        <w:rPr>
          <w:rFonts w:ascii="Arial Narrow" w:hAnsi="Arial Narrow" w:cs="Arial Narrow"/>
          <w:sz w:val="22"/>
          <w:szCs w:val="22"/>
        </w:rPr>
        <w:t>ok</w:t>
      </w:r>
      <w:r w:rsidRPr="0015768D">
        <w:rPr>
          <w:rFonts w:ascii="Arial Narrow" w:hAnsi="Arial Narrow" w:cs="Arial Narrow"/>
          <w:sz w:val="22"/>
          <w:szCs w:val="22"/>
        </w:rPr>
        <w:t xml:space="preserve"> 2011 v sume 1,32 mil. eur) a na zákonné sociálne náklady (na r</w:t>
      </w:r>
      <w:r>
        <w:rPr>
          <w:rFonts w:ascii="Arial Narrow" w:hAnsi="Arial Narrow" w:cs="Arial Narrow"/>
          <w:sz w:val="22"/>
          <w:szCs w:val="22"/>
        </w:rPr>
        <w:t>ok</w:t>
      </w:r>
      <w:r w:rsidRPr="0015768D">
        <w:rPr>
          <w:rFonts w:ascii="Arial Narrow" w:hAnsi="Arial Narrow" w:cs="Arial Narrow"/>
          <w:sz w:val="22"/>
          <w:szCs w:val="22"/>
        </w:rPr>
        <w:t xml:space="preserve"> 2011 v sume 850 tis. eur, z toho suma 500 tis. eur bola kapitole zvýšená v nadväznosti na vyššie cit. zákon).</w:t>
      </w:r>
      <w:r w:rsidRPr="0015768D">
        <w:rPr>
          <w:rFonts w:ascii="Arial Narrow" w:hAnsi="Arial Narrow" w:cs="Arial Narrow"/>
          <w:color w:val="000000"/>
          <w:sz w:val="22"/>
          <w:szCs w:val="22"/>
        </w:rPr>
        <w:t xml:space="preserve"> Dotácia pre Národný jadrový fond na vyraďovanie jadrových zariadení a na nakladanie s vyhoretým jadrovým palivom a rádioaktívnymi odpadmi  (ďalej len „NJF“), určená  v zmysle zákona NR SR č. 238/2006 Z.z. o NJF na úhradu nákladov vynaložených na nakladanie s jadrovým materiálom alebo rádioaktívnymi odpadmi, ktorých pôvodca nie je známy, je na r</w:t>
      </w:r>
      <w:r w:rsidR="00475F5B">
        <w:rPr>
          <w:rFonts w:ascii="Arial Narrow" w:hAnsi="Arial Narrow" w:cs="Arial Narrow"/>
          <w:color w:val="000000"/>
          <w:sz w:val="22"/>
          <w:szCs w:val="22"/>
        </w:rPr>
        <w:t>ok</w:t>
      </w:r>
      <w:r w:rsidRPr="0015768D">
        <w:rPr>
          <w:rFonts w:ascii="Arial Narrow" w:hAnsi="Arial Narrow" w:cs="Arial Narrow"/>
          <w:color w:val="000000"/>
          <w:sz w:val="22"/>
          <w:szCs w:val="22"/>
        </w:rPr>
        <w:t xml:space="preserve"> 2011 rozpočtovaná v sume 332 tis. eur. Výdavky na dotácie do NJF v roku 2011 oproti schválenému rozpočtu na rok 2010 rastú o 40 % z dôvodu predpokladaných vyšších nákladov na nakladanie s jadrovým materiálom alebo rádioaktívnymi odpadmi, ktorých pôvodca nie je známy.</w:t>
      </w:r>
    </w:p>
    <w:p w:rsidR="001E5B24" w:rsidP="001E5B24">
      <w:pPr>
        <w:bidi w:val="0"/>
        <w:jc w:val="both"/>
        <w:rPr>
          <w:rFonts w:ascii="Arial Narrow" w:hAnsi="Arial Narrow" w:cs="Arial Narrow"/>
          <w:sz w:val="22"/>
          <w:szCs w:val="22"/>
        </w:rPr>
      </w:pPr>
    </w:p>
    <w:p w:rsidR="00BC03F9" w:rsidP="001E5B24">
      <w:pPr>
        <w:bidi w:val="0"/>
        <w:jc w:val="both"/>
        <w:rPr>
          <w:rFonts w:ascii="Arial Narrow" w:hAnsi="Arial Narrow" w:cs="Arial Narrow"/>
          <w:sz w:val="22"/>
          <w:szCs w:val="22"/>
        </w:rPr>
      </w:pPr>
    </w:p>
    <w:p w:rsidR="00BC03F9" w:rsidP="001E5B24">
      <w:pPr>
        <w:bidi w:val="0"/>
        <w:jc w:val="both"/>
        <w:rPr>
          <w:rFonts w:ascii="Arial Narrow" w:hAnsi="Arial Narrow" w:cs="Arial Narrow"/>
          <w:sz w:val="22"/>
          <w:szCs w:val="22"/>
        </w:rPr>
      </w:pPr>
    </w:p>
    <w:p w:rsidR="00BC03F9" w:rsidP="001E5B24">
      <w:pPr>
        <w:bidi w:val="0"/>
        <w:jc w:val="both"/>
        <w:rPr>
          <w:rFonts w:ascii="Arial Narrow" w:hAnsi="Arial Narrow" w:cs="Arial Narrow"/>
          <w:sz w:val="22"/>
          <w:szCs w:val="22"/>
        </w:rPr>
      </w:pPr>
    </w:p>
    <w:p w:rsidR="001E5B24" w:rsidRPr="0015768D" w:rsidP="001E5B24">
      <w:pPr>
        <w:bidi w:val="0"/>
        <w:jc w:val="both"/>
        <w:rPr>
          <w:rFonts w:ascii="Arial Narrow" w:hAnsi="Arial Narrow" w:cs="Arial Narrow"/>
          <w:sz w:val="22"/>
          <w:szCs w:val="22"/>
        </w:rPr>
      </w:pPr>
      <w:r w:rsidRPr="0015768D">
        <w:rPr>
          <w:rFonts w:ascii="Arial Narrow" w:hAnsi="Arial Narrow" w:cs="Arial Narrow"/>
          <w:sz w:val="22"/>
          <w:szCs w:val="22"/>
        </w:rPr>
        <w:t>Podpora podnikania</w:t>
      </w:r>
    </w:p>
    <w:p w:rsidR="001E5B24" w:rsidRPr="00385239" w:rsidP="001E5B24">
      <w:pPr>
        <w:bidi w:val="0"/>
        <w:jc w:val="both"/>
        <w:rPr>
          <w:rFonts w:ascii="Arial Narrow" w:hAnsi="Arial Narrow" w:cs="Arial Narrow"/>
          <w:sz w:val="22"/>
          <w:szCs w:val="22"/>
        </w:rPr>
      </w:pPr>
    </w:p>
    <w:tbl>
      <w:tblPr>
        <w:tblStyle w:val="TableNormal"/>
        <w:tblW w:w="9240" w:type="dxa"/>
        <w:tblInd w:w="55" w:type="dxa"/>
        <w:tblLayout w:type="fixed"/>
        <w:tblCellMar>
          <w:left w:w="70" w:type="dxa"/>
          <w:right w:w="70" w:type="dxa"/>
        </w:tblCellMar>
        <w:tblLook w:val="00A0"/>
      </w:tblPr>
      <w:tblGrid>
        <w:gridCol w:w="4410"/>
        <w:gridCol w:w="805"/>
        <w:gridCol w:w="805"/>
        <w:gridCol w:w="805"/>
        <w:gridCol w:w="805"/>
        <w:gridCol w:w="805"/>
        <w:gridCol w:w="805"/>
      </w:tblGrid>
      <w:tr>
        <w:tblPrEx>
          <w:tblW w:w="9240" w:type="dxa"/>
          <w:tblInd w:w="55" w:type="dxa"/>
          <w:tblLayout w:type="fixed"/>
          <w:tblCellMar>
            <w:left w:w="70" w:type="dxa"/>
            <w:right w:w="70" w:type="dxa"/>
          </w:tblCellMar>
          <w:tblLook w:val="00A0"/>
        </w:tblPrEx>
        <w:trPr>
          <w:trHeight w:val="255"/>
        </w:trPr>
        <w:tc>
          <w:tcPr>
            <w:tcW w:w="441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80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80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80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80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80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80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240" w:type="dxa"/>
          <w:tblInd w:w="55" w:type="dxa"/>
          <w:tblLayout w:type="fixed"/>
          <w:tblCellMar>
            <w:left w:w="70" w:type="dxa"/>
            <w:right w:w="70" w:type="dxa"/>
          </w:tblCellMar>
          <w:tblLook w:val="00A0"/>
        </w:tblPrEx>
        <w:trPr>
          <w:trHeight w:val="255"/>
        </w:trPr>
        <w:tc>
          <w:tcPr>
            <w:tcW w:w="4410"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Podpora podnikania</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3 556</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16 084</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34 881</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39 334</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20 488</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12 297</w:t>
            </w:r>
          </w:p>
        </w:tc>
      </w:tr>
      <w:tr>
        <w:tblPrEx>
          <w:tblW w:w="9240" w:type="dxa"/>
          <w:tblInd w:w="55" w:type="dxa"/>
          <w:tblLayout w:type="fixed"/>
          <w:tblCellMar>
            <w:left w:w="70" w:type="dxa"/>
            <w:right w:w="70" w:type="dxa"/>
          </w:tblCellMar>
          <w:tblLook w:val="00A0"/>
        </w:tblPrEx>
        <w:trPr>
          <w:trHeight w:val="255"/>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Administrácia NARMSP</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1 427</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1 328</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883</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870</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870</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870</w:t>
            </w:r>
          </w:p>
        </w:tc>
      </w:tr>
      <w:tr>
        <w:tblPrEx>
          <w:tblW w:w="9240" w:type="dxa"/>
          <w:tblInd w:w="55" w:type="dxa"/>
          <w:tblLayout w:type="fixed"/>
          <w:tblCellMar>
            <w:left w:w="70" w:type="dxa"/>
            <w:right w:w="70" w:type="dxa"/>
          </w:tblCellMar>
          <w:tblLook w:val="00A0"/>
        </w:tblPrEx>
        <w:trPr>
          <w:trHeight w:val="255"/>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Podporné programy MSP</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737</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1 586</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681</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682</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682</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699</w:t>
            </w:r>
          </w:p>
        </w:tc>
      </w:tr>
      <w:tr>
        <w:tblPrEx>
          <w:tblW w:w="9240" w:type="dxa"/>
          <w:tblInd w:w="55" w:type="dxa"/>
          <w:tblLayout w:type="fixed"/>
          <w:tblCellMar>
            <w:left w:w="70" w:type="dxa"/>
            <w:right w:w="70" w:type="dxa"/>
          </w:tblCellMar>
          <w:tblLook w:val="00A0"/>
        </w:tblPrEx>
        <w:trPr>
          <w:trHeight w:val="255"/>
        </w:trPr>
        <w:tc>
          <w:tcPr>
            <w:tcW w:w="4410" w:type="dxa"/>
            <w:tcBorders>
              <w:top w:val="nil"/>
              <w:left w:val="single" w:sz="4" w:space="0" w:color="auto"/>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z toho:</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rPr>
                <w:rFonts w:ascii="Arial Narrow" w:hAnsi="Arial Narrow" w:cs="Arial Narrow"/>
                <w:sz w:val="16"/>
                <w:szCs w:val="16"/>
              </w:rPr>
            </w:pPr>
            <w:r w:rsidRPr="0015768D">
              <w:rPr>
                <w:rFonts w:ascii="Arial Narrow" w:hAnsi="Arial Narrow" w:cs="Arial Narrow"/>
                <w:sz w:val="16"/>
                <w:szCs w:val="16"/>
              </w:rPr>
              <w:t> </w:t>
            </w:r>
          </w:p>
        </w:tc>
      </w:tr>
      <w:tr>
        <w:tblPrEx>
          <w:tblW w:w="9240" w:type="dxa"/>
          <w:tblInd w:w="55" w:type="dxa"/>
          <w:tblLayout w:type="fixed"/>
          <w:tblCellMar>
            <w:left w:w="70" w:type="dxa"/>
            <w:right w:w="70" w:type="dxa"/>
          </w:tblCellMar>
          <w:tblLook w:val="00A0"/>
        </w:tblPrEx>
        <w:trPr>
          <w:trHeight w:val="228"/>
        </w:trPr>
        <w:tc>
          <w:tcPr>
            <w:tcW w:w="4410" w:type="dxa"/>
            <w:tcBorders>
              <w:top w:val="nil"/>
              <w:left w:val="single" w:sz="4" w:space="0" w:color="auto"/>
              <w:bottom w:val="single" w:sz="4" w:space="0" w:color="auto"/>
              <w:right w:val="single" w:sz="4" w:space="0" w:color="auto"/>
            </w:tcBorders>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Podpora MSP prostredníctvom siete inkubátorov a metódy Research based spin off</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149</w:t>
            </w:r>
          </w:p>
        </w:tc>
        <w:tc>
          <w:tcPr>
            <w:tcW w:w="805" w:type="dxa"/>
            <w:tcBorders>
              <w:top w:val="nil"/>
              <w:left w:val="nil"/>
              <w:bottom w:val="single" w:sz="4" w:space="0" w:color="auto"/>
              <w:right w:val="single" w:sz="4" w:space="0" w:color="auto"/>
            </w:tcBorders>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90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r>
      <w:tr>
        <w:tblPrEx>
          <w:tblW w:w="9240" w:type="dxa"/>
          <w:tblInd w:w="55" w:type="dxa"/>
          <w:tblLayout w:type="fixed"/>
          <w:tblCellMar>
            <w:left w:w="70" w:type="dxa"/>
            <w:right w:w="70" w:type="dxa"/>
          </w:tblCellMar>
          <w:tblLook w:val="00A0"/>
        </w:tblPrEx>
        <w:trPr>
          <w:trHeight w:val="276"/>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Podpora vzdelávania a poradenstva pre vybrané skupiny záujemcov o podnikanie a začínajúcich podnikateľov</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133</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536</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265</w:t>
            </w:r>
          </w:p>
        </w:tc>
      </w:tr>
      <w:tr>
        <w:tblPrEx>
          <w:tblW w:w="9240" w:type="dxa"/>
          <w:tblInd w:w="55" w:type="dxa"/>
          <w:tblLayout w:type="fixed"/>
          <w:tblCellMar>
            <w:left w:w="70" w:type="dxa"/>
            <w:right w:w="70" w:type="dxa"/>
          </w:tblCellMar>
          <w:tblLook w:val="00A0"/>
        </w:tblPrEx>
        <w:trPr>
          <w:trHeight w:val="237"/>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Monitoring a výskum MSP</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149</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515</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26</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27</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27</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27</w:t>
            </w:r>
          </w:p>
        </w:tc>
      </w:tr>
      <w:tr>
        <w:tblPrEx>
          <w:tblW w:w="9240" w:type="dxa"/>
          <w:tblInd w:w="55" w:type="dxa"/>
          <w:tblLayout w:type="fixed"/>
          <w:tblCellMar>
            <w:left w:w="70" w:type="dxa"/>
            <w:right w:w="70" w:type="dxa"/>
          </w:tblCellMar>
          <w:tblLook w:val="00A0"/>
        </w:tblPrEx>
        <w:trPr>
          <w:trHeight w:val="237"/>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WWW stránka MSP</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40</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80</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32</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32</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32</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32</w:t>
            </w:r>
          </w:p>
        </w:tc>
      </w:tr>
      <w:tr>
        <w:tblPrEx>
          <w:tblW w:w="9240" w:type="dxa"/>
          <w:tblInd w:w="55" w:type="dxa"/>
          <w:tblLayout w:type="fixed"/>
          <w:tblCellMar>
            <w:left w:w="70" w:type="dxa"/>
            <w:right w:w="70" w:type="dxa"/>
          </w:tblCellMar>
          <w:tblLook w:val="00A0"/>
        </w:tblPrEx>
        <w:trPr>
          <w:trHeight w:val="237"/>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Pomoc MSP na trhu EU</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133</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200</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93</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93</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93</w:t>
            </w:r>
          </w:p>
        </w:tc>
        <w:tc>
          <w:tcPr>
            <w:tcW w:w="805" w:type="dxa"/>
            <w:tcBorders>
              <w:top w:val="nil"/>
              <w:left w:val="nil"/>
              <w:bottom w:val="single" w:sz="4" w:space="0" w:color="auto"/>
              <w:right w:val="single" w:sz="4" w:space="0" w:color="auto"/>
            </w:tcBorders>
            <w:shd w:val="clear" w:color="000000" w:fill="FFFFFF"/>
            <w:textDirection w:val="lrTb"/>
            <w:vAlign w:val="center"/>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110</w:t>
            </w:r>
          </w:p>
        </w:tc>
      </w:tr>
      <w:tr>
        <w:tblPrEx>
          <w:tblW w:w="9240" w:type="dxa"/>
          <w:tblInd w:w="55" w:type="dxa"/>
          <w:tblLayout w:type="fixed"/>
          <w:tblCellMar>
            <w:left w:w="70" w:type="dxa"/>
            <w:right w:w="70" w:type="dxa"/>
          </w:tblCellMar>
          <w:tblLook w:val="00A0"/>
        </w:tblPrEx>
        <w:trPr>
          <w:trHeight w:val="237"/>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Informačná kampaň pre MSP k zavedeniu spoločnej menu - eura v SR</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133</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r>
      <w:tr>
        <w:tblPrEx>
          <w:tblW w:w="9240" w:type="dxa"/>
          <w:tblInd w:w="55" w:type="dxa"/>
          <w:tblLayout w:type="fixed"/>
          <w:tblCellMar>
            <w:left w:w="70" w:type="dxa"/>
            <w:right w:w="70" w:type="dxa"/>
          </w:tblCellMar>
          <w:tblLook w:val="00A0"/>
        </w:tblPrEx>
        <w:trPr>
          <w:trHeight w:val="237"/>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i/>
                <w:iCs/>
                <w:sz w:val="16"/>
                <w:szCs w:val="16"/>
              </w:rPr>
            </w:pPr>
            <w:r w:rsidRPr="0015768D">
              <w:rPr>
                <w:rFonts w:ascii="Arial Narrow" w:hAnsi="Arial Narrow" w:cs="Arial Narrow"/>
                <w:i/>
                <w:iCs/>
                <w:sz w:val="16"/>
                <w:szCs w:val="16"/>
              </w:rPr>
              <w:t>Podpora úspešnej podnikateľskej praxe a výchovy k podnikaniu</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165</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i/>
                <w:iCs/>
                <w:sz w:val="16"/>
                <w:szCs w:val="16"/>
              </w:rPr>
            </w:pPr>
            <w:r w:rsidRPr="0015768D">
              <w:rPr>
                <w:rFonts w:ascii="Arial Narrow" w:hAnsi="Arial Narrow" w:cs="Arial Narrow"/>
                <w:i/>
                <w:iCs/>
                <w:sz w:val="16"/>
                <w:szCs w:val="16"/>
              </w:rPr>
              <w:t> 0</w:t>
            </w:r>
          </w:p>
        </w:tc>
      </w:tr>
      <w:tr>
        <w:tblPrEx>
          <w:tblW w:w="9240" w:type="dxa"/>
          <w:tblInd w:w="55" w:type="dxa"/>
          <w:tblLayout w:type="fixed"/>
          <w:tblCellMar>
            <w:left w:w="70" w:type="dxa"/>
            <w:right w:w="70" w:type="dxa"/>
          </w:tblCellMar>
          <w:tblLook w:val="00A0"/>
        </w:tblPrEx>
        <w:trPr>
          <w:trHeight w:val="228"/>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Národný program zvyšovania produktivity a konkurencieschopnosti slovenskej ekonomiky</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191</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107</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200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100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100</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100</w:t>
            </w:r>
          </w:p>
        </w:tc>
      </w:tr>
      <w:tr>
        <w:tblPrEx>
          <w:tblW w:w="9240" w:type="dxa"/>
          <w:tblInd w:w="55" w:type="dxa"/>
          <w:tblLayout w:type="fixed"/>
          <w:tblCellMar>
            <w:left w:w="70" w:type="dxa"/>
            <w:right w:w="70" w:type="dxa"/>
          </w:tblCellMar>
          <w:tblLook w:val="00A0"/>
        </w:tblPrEx>
        <w:trPr>
          <w:trHeight w:val="223"/>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5768D" w:rsidP="001E5B24">
            <w:pPr>
              <w:bidi w:val="0"/>
              <w:rPr>
                <w:rFonts w:ascii="Arial Narrow" w:hAnsi="Arial Narrow" w:cs="Arial Narrow"/>
                <w:b/>
                <w:bCs/>
                <w:sz w:val="16"/>
                <w:szCs w:val="16"/>
              </w:rPr>
            </w:pPr>
            <w:r w:rsidRPr="0015768D">
              <w:rPr>
                <w:rFonts w:ascii="Arial Narrow" w:hAnsi="Arial Narrow" w:cs="Arial Narrow"/>
                <w:b/>
                <w:bCs/>
                <w:sz w:val="16"/>
                <w:szCs w:val="16"/>
              </w:rPr>
              <w:t>Akčný plán znižovania administratívneho bremena SR</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79</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2 662</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133</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133</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133</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15768D" w:rsidP="001E5B24">
            <w:pPr>
              <w:bidi w:val="0"/>
              <w:jc w:val="right"/>
              <w:rPr>
                <w:rFonts w:ascii="Arial Narrow" w:hAnsi="Arial Narrow" w:cs="Arial Narrow"/>
                <w:b/>
                <w:bCs/>
                <w:sz w:val="16"/>
                <w:szCs w:val="16"/>
              </w:rPr>
            </w:pPr>
            <w:r w:rsidRPr="0015768D">
              <w:rPr>
                <w:rFonts w:ascii="Arial Narrow" w:hAnsi="Arial Narrow" w:cs="Arial Narrow"/>
                <w:b/>
                <w:bCs/>
                <w:sz w:val="16"/>
                <w:szCs w:val="16"/>
              </w:rPr>
              <w:t>133</w:t>
            </w:r>
          </w:p>
        </w:tc>
      </w:tr>
      <w:tr>
        <w:tblPrEx>
          <w:tblW w:w="9240" w:type="dxa"/>
          <w:tblInd w:w="55" w:type="dxa"/>
          <w:tblLayout w:type="fixed"/>
          <w:tblCellMar>
            <w:left w:w="70" w:type="dxa"/>
            <w:right w:w="70" w:type="dxa"/>
          </w:tblCellMar>
          <w:tblLook w:val="00A0"/>
        </w:tblPrEx>
        <w:trPr>
          <w:trHeight w:val="223"/>
        </w:trPr>
        <w:tc>
          <w:tcPr>
            <w:tcW w:w="441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717FAD" w:rsidP="001E5B24">
            <w:pPr>
              <w:bidi w:val="0"/>
              <w:rPr>
                <w:rFonts w:ascii="Arial Narrow" w:hAnsi="Arial Narrow" w:cs="Arial Narrow"/>
                <w:b/>
                <w:sz w:val="16"/>
                <w:szCs w:val="16"/>
              </w:rPr>
            </w:pPr>
            <w:r w:rsidRPr="00717FAD">
              <w:rPr>
                <w:rFonts w:ascii="Arial Narrow" w:hAnsi="Arial Narrow" w:cs="Arial Narrow"/>
                <w:b/>
                <w:sz w:val="16"/>
                <w:szCs w:val="16"/>
              </w:rPr>
              <w:t>Výdavky EÚ a spolufinancovania</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1 122</w:t>
            </w:r>
          </w:p>
        </w:tc>
        <w:tc>
          <w:tcPr>
            <w:tcW w:w="805" w:type="dxa"/>
            <w:tcBorders>
              <w:top w:val="nil"/>
              <w:left w:val="nil"/>
              <w:bottom w:val="single" w:sz="4" w:space="0" w:color="auto"/>
              <w:right w:val="single" w:sz="4" w:space="0" w:color="auto"/>
            </w:tcBorders>
            <w:shd w:val="clear" w:color="000000" w:fill="FFFFF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10 401</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32 984</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37 549</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18 703</w:t>
            </w:r>
          </w:p>
        </w:tc>
        <w:tc>
          <w:tcPr>
            <w:tcW w:w="805" w:type="dxa"/>
            <w:tcBorders>
              <w:top w:val="nil"/>
              <w:left w:val="nil"/>
              <w:bottom w:val="single" w:sz="4" w:space="0" w:color="auto"/>
              <w:right w:val="single" w:sz="4" w:space="0" w:color="auto"/>
            </w:tcBorders>
            <w:shd w:val="clear" w:color="000000" w:fill="FFFFFF"/>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10 495</w:t>
            </w:r>
          </w:p>
        </w:tc>
      </w:tr>
    </w:tbl>
    <w:p w:rsidR="001E5B24" w:rsidP="001E5B24">
      <w:pPr>
        <w:bidi w:val="0"/>
        <w:jc w:val="both"/>
        <w:rPr>
          <w:rFonts w:ascii="ms sans serif" w:hAnsi="ms sans serif" w:cs="ms sans serif"/>
          <w:color w:val="000000"/>
          <w:sz w:val="20"/>
          <w:szCs w:val="20"/>
        </w:rPr>
      </w:pPr>
    </w:p>
    <w:p w:rsidR="001E5B24" w:rsidP="001E5B24">
      <w:pPr>
        <w:bidi w:val="0"/>
        <w:ind w:firstLine="708"/>
        <w:jc w:val="both"/>
        <w:rPr>
          <w:rFonts w:ascii="Arial Narrow" w:hAnsi="Arial Narrow" w:cs="Arial Narrow"/>
          <w:color w:val="000000"/>
          <w:sz w:val="22"/>
          <w:szCs w:val="22"/>
        </w:rPr>
      </w:pPr>
      <w:r w:rsidRPr="0015768D">
        <w:rPr>
          <w:rFonts w:ascii="Arial Narrow" w:hAnsi="Arial Narrow" w:cs="Arial Narrow"/>
          <w:color w:val="000000"/>
          <w:sz w:val="22"/>
          <w:szCs w:val="22"/>
        </w:rPr>
        <w:t xml:space="preserve">V oblasti podpory podnikania sú na rok 2011 rozpočtované výdavky v sume </w:t>
        <w:br/>
        <w:t>39,3 mil. eur, v porovnaní so schváleným rozpočtom na rok 2010 rastú o 12,8 %. Pritom výdavky EÚ a spolufinancovania v roku 2011 oproti schválenému rozpočtu na rok 2010 rastú o 13,8 %, rozpočtové prostriedky v roku 2011 oproti schválenému rozpočtu na rok 2010 klesajú o 5,90 %.</w:t>
      </w:r>
    </w:p>
    <w:p w:rsidR="001E5B24" w:rsidRPr="0015768D" w:rsidP="001E5B24">
      <w:pPr>
        <w:bidi w:val="0"/>
        <w:ind w:firstLine="708"/>
        <w:jc w:val="both"/>
        <w:rPr>
          <w:rFonts w:ascii="Arial Narrow" w:hAnsi="Arial Narrow" w:cs="Arial Narrow"/>
          <w:color w:val="000000"/>
          <w:sz w:val="22"/>
          <w:szCs w:val="22"/>
        </w:rPr>
      </w:pPr>
    </w:p>
    <w:p w:rsidR="001E5B24" w:rsidP="001E5B24">
      <w:pPr>
        <w:bidi w:val="0"/>
        <w:ind w:firstLine="708"/>
        <w:jc w:val="both"/>
        <w:rPr>
          <w:rFonts w:ascii="Arial Narrow" w:hAnsi="Arial Narrow" w:cs="Arial Narrow"/>
          <w:color w:val="000000"/>
          <w:sz w:val="22"/>
          <w:szCs w:val="22"/>
        </w:rPr>
      </w:pPr>
      <w:r w:rsidRPr="0015768D">
        <w:rPr>
          <w:rFonts w:ascii="Arial Narrow" w:hAnsi="Arial Narrow" w:cs="Arial Narrow"/>
          <w:color w:val="000000"/>
          <w:sz w:val="22"/>
          <w:szCs w:val="22"/>
        </w:rPr>
        <w:t xml:space="preserve"> Výdavky na rok 2011 v sume 870 tis. eur sú smerované na zabezpečenie administrácie Národnej agentúry pre rozvoj malého a stredného podnikania, ako aj podporné programy v oblasti malého a stredného podnikania v sume 682 tis. eur. </w:t>
      </w:r>
    </w:p>
    <w:p w:rsidR="001E5B24" w:rsidRPr="0015768D" w:rsidP="001E5B24">
      <w:pPr>
        <w:bidi w:val="0"/>
        <w:ind w:firstLine="708"/>
        <w:jc w:val="both"/>
        <w:rPr>
          <w:rFonts w:ascii="Arial Narrow" w:hAnsi="Arial Narrow" w:cs="Arial Narrow"/>
          <w:color w:val="000000"/>
          <w:sz w:val="22"/>
          <w:szCs w:val="22"/>
        </w:rPr>
      </w:pPr>
    </w:p>
    <w:p w:rsidR="001E5B24" w:rsidP="001E5B24">
      <w:pPr>
        <w:bidi w:val="0"/>
        <w:ind w:firstLine="708"/>
        <w:jc w:val="both"/>
        <w:rPr>
          <w:rFonts w:ascii="Arial Narrow" w:hAnsi="Arial Narrow" w:cs="Arial Narrow"/>
          <w:color w:val="000000"/>
          <w:sz w:val="22"/>
          <w:szCs w:val="22"/>
        </w:rPr>
      </w:pPr>
      <w:r w:rsidRPr="0015768D">
        <w:rPr>
          <w:rFonts w:ascii="Arial Narrow" w:hAnsi="Arial Narrow" w:cs="Arial Narrow"/>
          <w:color w:val="000000"/>
          <w:sz w:val="22"/>
          <w:szCs w:val="22"/>
        </w:rPr>
        <w:t>Na akčný plán znižovania administratívneho bremena je na rok 2011 rozpočtovaná suma  132 tis. eur. Na Národný program zvyšovania produktivity a konkurencieschopnosti slovenskej ekonomiky sú na rok 2011 určené výdavky v sume 100 tis. eur, oproti schválenému rozpočtu na rok 2010 klesajú o 50 %.</w:t>
      </w:r>
    </w:p>
    <w:p w:rsidR="001E5B24" w:rsidRPr="0015768D" w:rsidP="001E5B24">
      <w:pPr>
        <w:bidi w:val="0"/>
        <w:ind w:firstLine="708"/>
        <w:jc w:val="both"/>
        <w:rPr>
          <w:rFonts w:ascii="Arial Narrow" w:hAnsi="Arial Narrow" w:cs="Arial Narrow"/>
          <w:color w:val="000000"/>
          <w:sz w:val="22"/>
          <w:szCs w:val="22"/>
        </w:rPr>
      </w:pPr>
    </w:p>
    <w:p w:rsidR="001E5B24" w:rsidRPr="0015768D" w:rsidP="001E5B24">
      <w:pPr>
        <w:bidi w:val="0"/>
        <w:ind w:firstLine="708"/>
        <w:jc w:val="both"/>
        <w:rPr>
          <w:rFonts w:ascii="Arial Narrow" w:hAnsi="Arial Narrow" w:cs="Arial Narrow"/>
          <w:color w:val="000000"/>
          <w:sz w:val="22"/>
          <w:szCs w:val="22"/>
        </w:rPr>
      </w:pPr>
      <w:r w:rsidRPr="0015768D">
        <w:rPr>
          <w:rFonts w:ascii="Arial Narrow" w:hAnsi="Arial Narrow" w:cs="Arial Narrow"/>
          <w:color w:val="000000"/>
          <w:sz w:val="22"/>
          <w:szCs w:val="22"/>
        </w:rPr>
        <w:t xml:space="preserve"> Výdavky EÚ a spolufinancovania v rámci Podpory spoločných služieb pre podnikateľov – opatrenie 1.2. OP KaHR sú na rok 2011 rozpočtované v sume 37,5 mil. eur a sú určené najmä na výstavbu a revitalizáciu hnedých parkov, na budovanie zelených parkov a to výnimočne s veľkým socio-ekonomickým dopadom pre región, rekonštrukciu, výstavbu budov a technologických priestorov vrátane sietí, realizáciu pr</w:t>
      </w:r>
      <w:r>
        <w:rPr>
          <w:rFonts w:ascii="Arial Narrow" w:hAnsi="Arial Narrow" w:cs="Arial Narrow"/>
          <w:color w:val="000000"/>
          <w:sz w:val="22"/>
          <w:szCs w:val="22"/>
        </w:rPr>
        <w:t xml:space="preserve">ojektu pre ochranu spotrebiteľa a </w:t>
      </w:r>
      <w:r w:rsidRPr="0015768D">
        <w:rPr>
          <w:rFonts w:ascii="Arial Narrow" w:hAnsi="Arial Narrow" w:cs="Arial Narrow"/>
          <w:color w:val="000000"/>
          <w:sz w:val="22"/>
          <w:szCs w:val="22"/>
        </w:rPr>
        <w:t>iné nešpecifikované aktivity súvisiace s projektom.</w:t>
      </w:r>
    </w:p>
    <w:p w:rsidR="001E5B24" w:rsidRPr="0015768D" w:rsidP="001E5B24">
      <w:pPr>
        <w:bidi w:val="0"/>
        <w:jc w:val="both"/>
        <w:rPr>
          <w:rFonts w:ascii="Arial Narrow" w:hAnsi="Arial Narrow" w:cs="Arial Narrow"/>
          <w:color w:val="000000"/>
          <w:sz w:val="22"/>
          <w:szCs w:val="22"/>
        </w:rPr>
      </w:pPr>
    </w:p>
    <w:p w:rsidR="001E5B24" w:rsidRPr="0015768D" w:rsidP="001E5B24">
      <w:pPr>
        <w:bidi w:val="0"/>
        <w:jc w:val="both"/>
        <w:rPr>
          <w:rFonts w:ascii="Arial Narrow" w:hAnsi="Arial Narrow" w:cs="Arial Narrow"/>
          <w:sz w:val="22"/>
          <w:szCs w:val="22"/>
        </w:rPr>
      </w:pPr>
      <w:r w:rsidRPr="0015768D">
        <w:rPr>
          <w:rFonts w:ascii="Arial Narrow" w:hAnsi="Arial Narrow" w:cs="Arial Narrow"/>
          <w:sz w:val="22"/>
          <w:szCs w:val="22"/>
        </w:rPr>
        <w:t xml:space="preserve">Investičné </w:t>
      </w:r>
      <w:r>
        <w:rPr>
          <w:rFonts w:ascii="Arial Narrow" w:hAnsi="Arial Narrow" w:cs="Arial Narrow"/>
          <w:sz w:val="22"/>
          <w:szCs w:val="22"/>
        </w:rPr>
        <w:t xml:space="preserve">stimuly </w:t>
      </w:r>
    </w:p>
    <w:p w:rsidR="001E5B24" w:rsidP="001E5B24">
      <w:pPr>
        <w:bidi w:val="0"/>
        <w:jc w:val="both"/>
        <w:rPr>
          <w:rFonts w:ascii="Arial Narrow" w:hAnsi="Arial Narrow" w:cs="Arial Narrow"/>
          <w:sz w:val="22"/>
          <w:szCs w:val="22"/>
        </w:rPr>
      </w:pPr>
    </w:p>
    <w:tbl>
      <w:tblPr>
        <w:tblStyle w:val="TableNormal"/>
        <w:tblW w:w="9087" w:type="dxa"/>
        <w:tblInd w:w="55" w:type="dxa"/>
        <w:tblLayout w:type="fixed"/>
        <w:tblCellMar>
          <w:left w:w="70" w:type="dxa"/>
          <w:right w:w="70" w:type="dxa"/>
        </w:tblCellMar>
        <w:tblLook w:val="00A0"/>
      </w:tblPr>
      <w:tblGrid>
        <w:gridCol w:w="4253"/>
        <w:gridCol w:w="1208"/>
        <w:gridCol w:w="1209"/>
        <w:gridCol w:w="1208"/>
        <w:gridCol w:w="1209"/>
      </w:tblGrid>
      <w:tr>
        <w:tblPrEx>
          <w:tblW w:w="9087" w:type="dxa"/>
          <w:tblInd w:w="55" w:type="dxa"/>
          <w:tblLayout w:type="fixed"/>
          <w:tblCellMar>
            <w:left w:w="70" w:type="dxa"/>
            <w:right w:w="70" w:type="dxa"/>
          </w:tblCellMar>
          <w:tblLook w:val="00A0"/>
        </w:tblPrEx>
        <w:trPr>
          <w:trHeight w:val="210"/>
        </w:trPr>
        <w:tc>
          <w:tcPr>
            <w:tcW w:w="425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9538A8" w:rsidP="001E5B24">
            <w:pPr>
              <w:bidi w:val="0"/>
              <w:rPr>
                <w:rFonts w:ascii="Arial Narrow" w:hAnsi="Arial Narrow" w:cs="Arial Narrow"/>
                <w:b/>
                <w:bCs/>
                <w:sz w:val="16"/>
                <w:szCs w:val="16"/>
              </w:rPr>
            </w:pPr>
            <w:r w:rsidRPr="009538A8">
              <w:rPr>
                <w:rFonts w:ascii="Arial Narrow" w:hAnsi="Arial Narrow" w:cs="Arial Narrow"/>
                <w:b/>
                <w:bCs/>
                <w:sz w:val="16"/>
                <w:szCs w:val="16"/>
              </w:rPr>
              <w:t>v tis. eur</w:t>
            </w:r>
          </w:p>
        </w:tc>
        <w:tc>
          <w:tcPr>
            <w:tcW w:w="12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center"/>
              <w:rPr>
                <w:rFonts w:ascii="Arial Narrow" w:hAnsi="Arial Narrow" w:cs="Arial Narrow"/>
                <w:b/>
                <w:bCs/>
                <w:sz w:val="16"/>
                <w:szCs w:val="16"/>
              </w:rPr>
            </w:pPr>
            <w:r w:rsidRPr="009538A8">
              <w:rPr>
                <w:rFonts w:ascii="Arial Narrow" w:hAnsi="Arial Narrow" w:cs="Arial Narrow"/>
                <w:b/>
                <w:bCs/>
                <w:sz w:val="16"/>
                <w:szCs w:val="16"/>
              </w:rPr>
              <w:t>2010 R</w:t>
            </w:r>
          </w:p>
        </w:tc>
        <w:tc>
          <w:tcPr>
            <w:tcW w:w="120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center"/>
              <w:rPr>
                <w:rFonts w:ascii="Arial Narrow" w:hAnsi="Arial Narrow" w:cs="Arial Narrow"/>
                <w:b/>
                <w:bCs/>
                <w:sz w:val="16"/>
                <w:szCs w:val="16"/>
              </w:rPr>
            </w:pPr>
            <w:r w:rsidRPr="009538A8">
              <w:rPr>
                <w:rFonts w:ascii="Arial Narrow" w:hAnsi="Arial Narrow" w:cs="Arial Narrow"/>
                <w:b/>
                <w:bCs/>
                <w:sz w:val="16"/>
                <w:szCs w:val="16"/>
              </w:rPr>
              <w:t>2011 N</w:t>
            </w:r>
          </w:p>
        </w:tc>
        <w:tc>
          <w:tcPr>
            <w:tcW w:w="12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center"/>
              <w:rPr>
                <w:rFonts w:ascii="Arial Narrow" w:hAnsi="Arial Narrow" w:cs="Arial Narrow"/>
                <w:b/>
                <w:bCs/>
                <w:sz w:val="16"/>
                <w:szCs w:val="16"/>
              </w:rPr>
            </w:pPr>
            <w:r w:rsidRPr="009538A8">
              <w:rPr>
                <w:rFonts w:ascii="Arial Narrow" w:hAnsi="Arial Narrow" w:cs="Arial Narrow"/>
                <w:b/>
                <w:bCs/>
                <w:sz w:val="16"/>
                <w:szCs w:val="16"/>
              </w:rPr>
              <w:t>2012 N</w:t>
            </w:r>
          </w:p>
        </w:tc>
        <w:tc>
          <w:tcPr>
            <w:tcW w:w="120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center"/>
              <w:rPr>
                <w:rFonts w:ascii="Arial Narrow" w:hAnsi="Arial Narrow" w:cs="Arial Narrow"/>
                <w:b/>
                <w:bCs/>
                <w:sz w:val="16"/>
                <w:szCs w:val="16"/>
              </w:rPr>
            </w:pPr>
            <w:r w:rsidRPr="009538A8">
              <w:rPr>
                <w:rFonts w:ascii="Arial Narrow" w:hAnsi="Arial Narrow" w:cs="Arial Narrow"/>
                <w:b/>
                <w:bCs/>
                <w:sz w:val="16"/>
                <w:szCs w:val="16"/>
              </w:rPr>
              <w:t>2013 N</w:t>
            </w:r>
          </w:p>
        </w:tc>
      </w:tr>
      <w:tr>
        <w:tblPrEx>
          <w:tblW w:w="9087" w:type="dxa"/>
          <w:tblInd w:w="55" w:type="dxa"/>
          <w:tblLayout w:type="fixed"/>
          <w:tblCellMar>
            <w:left w:w="70" w:type="dxa"/>
            <w:right w:w="70" w:type="dxa"/>
          </w:tblCellMar>
          <w:tblLook w:val="00A0"/>
        </w:tblPrEx>
        <w:trPr>
          <w:trHeight w:val="210"/>
        </w:trPr>
        <w:tc>
          <w:tcPr>
            <w:tcW w:w="4253"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1E5B24" w:rsidRPr="009538A8" w:rsidP="001E5B24">
            <w:pPr>
              <w:bidi w:val="0"/>
              <w:rPr>
                <w:rFonts w:ascii="Arial Narrow" w:hAnsi="Arial Narrow" w:cs="Arial Narrow"/>
                <w:b/>
                <w:bCs/>
                <w:sz w:val="16"/>
                <w:szCs w:val="16"/>
              </w:rPr>
            </w:pPr>
            <w:r w:rsidRPr="009538A8">
              <w:rPr>
                <w:rFonts w:ascii="Arial Narrow" w:hAnsi="Arial Narrow" w:cs="Arial Narrow"/>
                <w:b/>
                <w:bCs/>
                <w:sz w:val="16"/>
                <w:szCs w:val="16"/>
              </w:rPr>
              <w:t>Investičné stimuly</w:t>
            </w:r>
            <w:r>
              <w:rPr>
                <w:rFonts w:ascii="Arial Narrow" w:hAnsi="Arial Narrow" w:cs="Arial Narrow"/>
                <w:b/>
                <w:bCs/>
                <w:sz w:val="16"/>
                <w:szCs w:val="16"/>
              </w:rPr>
              <w:t>, z toho:</w:t>
            </w:r>
          </w:p>
        </w:tc>
        <w:tc>
          <w:tcPr>
            <w:tcW w:w="120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9538A8" w:rsidP="001E5B24">
            <w:pPr>
              <w:bidi w:val="0"/>
              <w:jc w:val="right"/>
              <w:rPr>
                <w:rFonts w:ascii="Arial Narrow" w:hAnsi="Arial Narrow" w:cs="Arial Narrow"/>
                <w:b/>
                <w:bCs/>
                <w:sz w:val="16"/>
                <w:szCs w:val="16"/>
              </w:rPr>
            </w:pPr>
            <w:r w:rsidRPr="009538A8">
              <w:rPr>
                <w:rFonts w:ascii="Arial Narrow" w:hAnsi="Arial Narrow" w:cs="Arial Narrow"/>
                <w:b/>
                <w:bCs/>
                <w:sz w:val="16"/>
                <w:szCs w:val="16"/>
              </w:rPr>
              <w:t>44 829</w:t>
            </w:r>
          </w:p>
        </w:tc>
        <w:tc>
          <w:tcPr>
            <w:tcW w:w="120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9538A8" w:rsidP="001E5B24">
            <w:pPr>
              <w:bidi w:val="0"/>
              <w:jc w:val="right"/>
              <w:rPr>
                <w:rFonts w:ascii="Arial Narrow" w:hAnsi="Arial Narrow" w:cs="Arial Narrow"/>
                <w:b/>
                <w:bCs/>
                <w:sz w:val="16"/>
                <w:szCs w:val="16"/>
              </w:rPr>
            </w:pPr>
            <w:r w:rsidRPr="009538A8">
              <w:rPr>
                <w:rFonts w:ascii="Arial Narrow" w:hAnsi="Arial Narrow" w:cs="Arial Narrow"/>
                <w:b/>
                <w:bCs/>
                <w:sz w:val="16"/>
                <w:szCs w:val="16"/>
              </w:rPr>
              <w:t>63 456</w:t>
            </w:r>
          </w:p>
        </w:tc>
        <w:tc>
          <w:tcPr>
            <w:tcW w:w="120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9538A8" w:rsidP="001E5B24">
            <w:pPr>
              <w:bidi w:val="0"/>
              <w:jc w:val="right"/>
              <w:rPr>
                <w:rFonts w:ascii="Arial Narrow" w:hAnsi="Arial Narrow" w:cs="Arial Narrow"/>
                <w:b/>
                <w:bCs/>
                <w:sz w:val="16"/>
                <w:szCs w:val="16"/>
              </w:rPr>
            </w:pPr>
            <w:r w:rsidRPr="009538A8">
              <w:rPr>
                <w:rFonts w:ascii="Arial Narrow" w:hAnsi="Arial Narrow" w:cs="Arial Narrow"/>
                <w:b/>
                <w:bCs/>
                <w:sz w:val="16"/>
                <w:szCs w:val="16"/>
              </w:rPr>
              <w:t>23 576</w:t>
            </w:r>
          </w:p>
        </w:tc>
        <w:tc>
          <w:tcPr>
            <w:tcW w:w="120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9538A8" w:rsidP="001E5B24">
            <w:pPr>
              <w:bidi w:val="0"/>
              <w:jc w:val="right"/>
              <w:rPr>
                <w:rFonts w:ascii="Arial Narrow" w:hAnsi="Arial Narrow" w:cs="Arial Narrow"/>
                <w:b/>
                <w:bCs/>
                <w:sz w:val="16"/>
                <w:szCs w:val="16"/>
              </w:rPr>
            </w:pPr>
            <w:r w:rsidRPr="009538A8">
              <w:rPr>
                <w:rFonts w:ascii="Arial Narrow" w:hAnsi="Arial Narrow" w:cs="Arial Narrow"/>
                <w:b/>
                <w:bCs/>
                <w:sz w:val="16"/>
                <w:szCs w:val="16"/>
              </w:rPr>
              <w:t>4 919</w:t>
            </w:r>
          </w:p>
        </w:tc>
      </w:tr>
      <w:tr>
        <w:tblPrEx>
          <w:tblW w:w="9087" w:type="dxa"/>
          <w:tblInd w:w="55" w:type="dxa"/>
          <w:tblLayout w:type="fixed"/>
          <w:tblCellMar>
            <w:left w:w="70" w:type="dxa"/>
            <w:right w:w="70" w:type="dxa"/>
          </w:tblCellMar>
          <w:tblLook w:val="00A0"/>
        </w:tblPrEx>
        <w:trPr>
          <w:trHeight w:val="210"/>
        </w:trPr>
        <w:tc>
          <w:tcPr>
            <w:tcW w:w="4253"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9538A8" w:rsidP="001E5B24">
            <w:pPr>
              <w:bidi w:val="0"/>
              <w:rPr>
                <w:rFonts w:ascii="Arial Narrow" w:hAnsi="Arial Narrow" w:cs="Arial Narrow"/>
                <w:sz w:val="16"/>
                <w:szCs w:val="16"/>
              </w:rPr>
            </w:pPr>
            <w:r w:rsidRPr="009538A8">
              <w:rPr>
                <w:rFonts w:ascii="Arial Narrow" w:hAnsi="Arial Narrow" w:cs="Arial Narrow"/>
                <w:sz w:val="16"/>
                <w:szCs w:val="16"/>
              </w:rPr>
              <w:t xml:space="preserve">SARIO </w:t>
            </w:r>
          </w:p>
        </w:tc>
        <w:tc>
          <w:tcPr>
            <w:tcW w:w="1208" w:type="dxa"/>
            <w:tcBorders>
              <w:top w:val="nil"/>
              <w:left w:val="nil"/>
              <w:bottom w:val="single" w:sz="4" w:space="0" w:color="auto"/>
              <w:right w:val="single" w:sz="4" w:space="0" w:color="auto"/>
            </w:tcBorders>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1 972</w:t>
            </w:r>
          </w:p>
        </w:tc>
        <w:tc>
          <w:tcPr>
            <w:tcW w:w="1209" w:type="dxa"/>
            <w:tcBorders>
              <w:top w:val="nil"/>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1 939</w:t>
            </w:r>
          </w:p>
        </w:tc>
        <w:tc>
          <w:tcPr>
            <w:tcW w:w="1208" w:type="dxa"/>
            <w:tcBorders>
              <w:top w:val="nil"/>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1 969</w:t>
            </w:r>
          </w:p>
        </w:tc>
        <w:tc>
          <w:tcPr>
            <w:tcW w:w="1209" w:type="dxa"/>
            <w:tcBorders>
              <w:top w:val="nil"/>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1 978</w:t>
            </w:r>
          </w:p>
        </w:tc>
      </w:tr>
      <w:tr>
        <w:tblPrEx>
          <w:tblW w:w="9087" w:type="dxa"/>
          <w:tblInd w:w="55" w:type="dxa"/>
          <w:tblLayout w:type="fixed"/>
          <w:tblCellMar>
            <w:left w:w="70" w:type="dxa"/>
            <w:right w:w="70" w:type="dxa"/>
          </w:tblCellMar>
          <w:tblLook w:val="00A0"/>
        </w:tblPrEx>
        <w:trPr>
          <w:trHeight w:val="210"/>
        </w:trPr>
        <w:tc>
          <w:tcPr>
            <w:tcW w:w="4253"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9538A8" w:rsidP="001E5B24">
            <w:pPr>
              <w:bidi w:val="0"/>
              <w:rPr>
                <w:rFonts w:ascii="Arial Narrow" w:hAnsi="Arial Narrow" w:cs="Arial Narrow"/>
                <w:sz w:val="16"/>
                <w:szCs w:val="16"/>
              </w:rPr>
            </w:pPr>
            <w:r w:rsidRPr="009538A8">
              <w:rPr>
                <w:rFonts w:ascii="Arial Narrow" w:hAnsi="Arial Narrow" w:cs="Arial Narrow"/>
                <w:sz w:val="16"/>
                <w:szCs w:val="16"/>
              </w:rPr>
              <w:t>Investičné  projekty</w:t>
            </w:r>
          </w:p>
        </w:tc>
        <w:tc>
          <w:tcPr>
            <w:tcW w:w="1208" w:type="dxa"/>
            <w:tcBorders>
              <w:top w:val="nil"/>
              <w:left w:val="nil"/>
              <w:bottom w:val="single" w:sz="4" w:space="0" w:color="auto"/>
              <w:right w:val="single" w:sz="4" w:space="0" w:color="auto"/>
            </w:tcBorders>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42 857</w:t>
            </w:r>
          </w:p>
        </w:tc>
        <w:tc>
          <w:tcPr>
            <w:tcW w:w="1209" w:type="dxa"/>
            <w:tcBorders>
              <w:top w:val="nil"/>
              <w:left w:val="nil"/>
              <w:bottom w:val="single" w:sz="4" w:space="0" w:color="auto"/>
              <w:right w:val="single" w:sz="4" w:space="0" w:color="auto"/>
            </w:tcBorders>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53 517</w:t>
            </w:r>
          </w:p>
        </w:tc>
        <w:tc>
          <w:tcPr>
            <w:tcW w:w="1208" w:type="dxa"/>
            <w:tcBorders>
              <w:top w:val="nil"/>
              <w:left w:val="nil"/>
              <w:bottom w:val="single" w:sz="4" w:space="0" w:color="auto"/>
              <w:right w:val="single" w:sz="4" w:space="0" w:color="auto"/>
            </w:tcBorders>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19 141</w:t>
            </w:r>
          </w:p>
        </w:tc>
        <w:tc>
          <w:tcPr>
            <w:tcW w:w="1209" w:type="dxa"/>
            <w:tcBorders>
              <w:top w:val="nil"/>
              <w:left w:val="nil"/>
              <w:bottom w:val="single" w:sz="4" w:space="0" w:color="auto"/>
              <w:right w:val="single" w:sz="4" w:space="0" w:color="auto"/>
            </w:tcBorders>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802</w:t>
            </w:r>
          </w:p>
        </w:tc>
      </w:tr>
      <w:tr>
        <w:tblPrEx>
          <w:tblW w:w="9087" w:type="dxa"/>
          <w:tblInd w:w="55" w:type="dxa"/>
          <w:tblLayout w:type="fixed"/>
          <w:tblCellMar>
            <w:left w:w="70" w:type="dxa"/>
            <w:right w:w="70" w:type="dxa"/>
          </w:tblCellMar>
          <w:tblLook w:val="00A0"/>
        </w:tblPrEx>
        <w:trPr>
          <w:trHeight w:val="210"/>
        </w:trPr>
        <w:tc>
          <w:tcPr>
            <w:tcW w:w="4253"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9538A8" w:rsidP="001E5B24">
            <w:pPr>
              <w:bidi w:val="0"/>
              <w:rPr>
                <w:rFonts w:ascii="Arial Narrow" w:hAnsi="Arial Narrow" w:cs="Arial Narrow"/>
                <w:sz w:val="16"/>
                <w:szCs w:val="16"/>
              </w:rPr>
            </w:pPr>
            <w:r w:rsidRPr="009538A8">
              <w:rPr>
                <w:rFonts w:ascii="Arial Narrow" w:hAnsi="Arial Narrow" w:cs="Arial Narrow"/>
                <w:sz w:val="16"/>
                <w:szCs w:val="16"/>
              </w:rPr>
              <w:t>Rezerva na neschválené investičné projekty</w:t>
            </w:r>
          </w:p>
        </w:tc>
        <w:tc>
          <w:tcPr>
            <w:tcW w:w="1208" w:type="dxa"/>
            <w:tcBorders>
              <w:top w:val="nil"/>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0</w:t>
            </w:r>
          </w:p>
        </w:tc>
        <w:tc>
          <w:tcPr>
            <w:tcW w:w="120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8 000</w:t>
            </w:r>
          </w:p>
        </w:tc>
        <w:tc>
          <w:tcPr>
            <w:tcW w:w="120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2 466</w:t>
            </w:r>
          </w:p>
        </w:tc>
        <w:tc>
          <w:tcPr>
            <w:tcW w:w="120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9538A8" w:rsidP="001E5B24">
            <w:pPr>
              <w:bidi w:val="0"/>
              <w:jc w:val="right"/>
              <w:rPr>
                <w:rFonts w:ascii="Arial Narrow" w:hAnsi="Arial Narrow" w:cs="Arial Narrow"/>
                <w:sz w:val="16"/>
                <w:szCs w:val="16"/>
              </w:rPr>
            </w:pPr>
            <w:r w:rsidRPr="009538A8">
              <w:rPr>
                <w:rFonts w:ascii="Arial Narrow" w:hAnsi="Arial Narrow" w:cs="Arial Narrow"/>
                <w:sz w:val="16"/>
                <w:szCs w:val="16"/>
              </w:rPr>
              <w:t>2 139</w:t>
            </w:r>
          </w:p>
        </w:tc>
      </w:tr>
    </w:tbl>
    <w:p w:rsidR="001E5B24" w:rsidRPr="00936A47" w:rsidP="001E5B24">
      <w:pPr>
        <w:bidi w:val="0"/>
        <w:jc w:val="both"/>
        <w:rPr>
          <w:rFonts w:ascii="Arial" w:hAnsi="Arial" w:cs="Arial"/>
          <w:sz w:val="22"/>
          <w:szCs w:val="22"/>
        </w:rPr>
      </w:pPr>
    </w:p>
    <w:p w:rsidR="001E5B24" w:rsidRPr="004227A6"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Výdavky v tejto oblasti sú na rok 2011 rozpočtované v celkovej sume 63,5 mil. eur, oproti schválenému rozpočtu na rok 2010 rastú </w:t>
      </w:r>
      <w:r w:rsidRPr="004227A6">
        <w:rPr>
          <w:rFonts w:ascii="Arial Narrow" w:hAnsi="Arial Narrow" w:cs="Arial Narrow"/>
          <w:sz w:val="22"/>
          <w:szCs w:val="22"/>
        </w:rPr>
        <w:t xml:space="preserve">o 41,6 % </w:t>
      </w:r>
      <w:r w:rsidR="007C7DA8">
        <w:rPr>
          <w:rFonts w:ascii="Arial Narrow" w:hAnsi="Arial Narrow" w:cs="Arial Narrow"/>
          <w:sz w:val="22"/>
          <w:szCs w:val="22"/>
        </w:rPr>
        <w:t>t. j.</w:t>
      </w:r>
      <w:r w:rsidRPr="004227A6">
        <w:rPr>
          <w:rFonts w:ascii="Arial Narrow" w:hAnsi="Arial Narrow" w:cs="Arial Narrow"/>
          <w:sz w:val="22"/>
          <w:szCs w:val="22"/>
        </w:rPr>
        <w:t xml:space="preserve"> o 18,6 mil. </w:t>
      </w:r>
      <w:r>
        <w:rPr>
          <w:rFonts w:ascii="Arial Narrow" w:hAnsi="Arial Narrow" w:cs="Arial Narrow"/>
          <w:sz w:val="22"/>
          <w:szCs w:val="22"/>
        </w:rPr>
        <w:t>eur</w:t>
      </w:r>
      <w:r w:rsidRPr="004227A6">
        <w:rPr>
          <w:rFonts w:ascii="Arial Narrow" w:hAnsi="Arial Narrow" w:cs="Arial Narrow"/>
          <w:sz w:val="22"/>
          <w:szCs w:val="22"/>
        </w:rPr>
        <w:t>.</w:t>
      </w:r>
    </w:p>
    <w:p w:rsidR="001E5B24" w:rsidRPr="004227A6" w:rsidP="001E5B24">
      <w:pPr>
        <w:bidi w:val="0"/>
        <w:ind w:firstLine="708"/>
        <w:jc w:val="both"/>
        <w:rPr>
          <w:rFonts w:ascii="Arial Narrow" w:hAnsi="Arial Narrow" w:cs="Arial Narrow"/>
          <w:sz w:val="22"/>
          <w:szCs w:val="22"/>
        </w:rPr>
      </w:pPr>
    </w:p>
    <w:p w:rsidR="001E5B24" w:rsidRPr="004227A6"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 xml:space="preserve">Výdavky na financovanie príspevkovej organizácie SARIO predstavujú v roku 2011 sumu 1,94 mil. eur. </w:t>
      </w:r>
    </w:p>
    <w:p w:rsidR="001E5B24" w:rsidRPr="004227A6"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 xml:space="preserve">Výdavky na podporu schválených investičných projektov sú na rok 2011 rozpočtované vo výške 53,5 mil. eur, rezerva na neschválené projekty predstavuje sumu 8 mil. eur. Celkové výdavky na podporu investičných projektov rozpočtované v roku 2011 v sume 61,5 mil. eur sú v porovnaní so schváleným rozpočtom na rok 2010 vyššie o 43,5 %, oproti upravenému rozpočtu </w:t>
      </w:r>
      <w:r>
        <w:rPr>
          <w:rFonts w:ascii="Arial Narrow" w:hAnsi="Arial Narrow" w:cs="Arial Narrow"/>
          <w:sz w:val="22"/>
          <w:szCs w:val="22"/>
        </w:rPr>
        <w:t>roka</w:t>
      </w:r>
      <w:r w:rsidRPr="004227A6">
        <w:rPr>
          <w:rFonts w:ascii="Arial Narrow" w:hAnsi="Arial Narrow" w:cs="Arial Narrow"/>
          <w:sz w:val="22"/>
          <w:szCs w:val="22"/>
        </w:rPr>
        <w:t xml:space="preserve"> 2010 sú nižšie o 45,9 %. </w:t>
      </w:r>
    </w:p>
    <w:p w:rsidR="001E5B24" w:rsidP="001E5B24">
      <w:pPr>
        <w:bidi w:val="0"/>
        <w:ind w:firstLine="708"/>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Výdavky na jednotlivé projekty sú rozpočtované v súlade s kvantifikáciou ich financovania.</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sidRPr="002F5A6E">
        <w:rPr>
          <w:rFonts w:ascii="Arial Narrow" w:hAnsi="Arial Narrow" w:cs="Arial Narrow"/>
          <w:sz w:val="22"/>
          <w:szCs w:val="22"/>
        </w:rPr>
        <w:t>Energetika a</w:t>
      </w:r>
      <w:r>
        <w:rPr>
          <w:rFonts w:ascii="Arial Narrow" w:hAnsi="Arial Narrow" w:cs="Arial Narrow"/>
          <w:sz w:val="22"/>
          <w:szCs w:val="22"/>
        </w:rPr>
        <w:t> </w:t>
      </w:r>
      <w:r w:rsidRPr="002F5A6E">
        <w:rPr>
          <w:rFonts w:ascii="Arial Narrow" w:hAnsi="Arial Narrow" w:cs="Arial Narrow"/>
          <w:sz w:val="22"/>
          <w:szCs w:val="22"/>
        </w:rPr>
        <w:t>inovácie</w:t>
      </w:r>
    </w:p>
    <w:p w:rsidR="001E5B24" w:rsidRPr="0015768D" w:rsidP="001E5B24">
      <w:pPr>
        <w:bidi w:val="0"/>
        <w:jc w:val="both"/>
        <w:rPr>
          <w:rFonts w:ascii="Arial Narrow" w:hAnsi="Arial Narrow" w:cs="Arial Narrow"/>
          <w:sz w:val="22"/>
          <w:szCs w:val="22"/>
        </w:rPr>
      </w:pPr>
    </w:p>
    <w:tbl>
      <w:tblPr>
        <w:tblStyle w:val="TableNormal"/>
        <w:tblW w:w="9240" w:type="dxa"/>
        <w:tblInd w:w="55" w:type="dxa"/>
        <w:tblCellMar>
          <w:left w:w="70" w:type="dxa"/>
          <w:right w:w="70" w:type="dxa"/>
        </w:tblCellMar>
        <w:tblLook w:val="00A0"/>
      </w:tblPr>
      <w:tblGrid>
        <w:gridCol w:w="2400"/>
        <w:gridCol w:w="1340"/>
        <w:gridCol w:w="1100"/>
        <w:gridCol w:w="1100"/>
        <w:gridCol w:w="1100"/>
        <w:gridCol w:w="1100"/>
        <w:gridCol w:w="1100"/>
      </w:tblGrid>
      <w:tr>
        <w:tblPrEx>
          <w:tblW w:w="9240" w:type="dxa"/>
          <w:tblInd w:w="55" w:type="dxa"/>
          <w:tblCellMar>
            <w:left w:w="70" w:type="dxa"/>
            <w:right w:w="70" w:type="dxa"/>
          </w:tblCellMar>
          <w:tblLook w:val="00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E397B" w:rsidP="001E5B24">
            <w:pPr>
              <w:bidi w:val="0"/>
              <w:rPr>
                <w:rFonts w:ascii="Arial Narrow" w:hAnsi="Arial Narrow" w:cs="Arial Narrow"/>
                <w:b/>
                <w:bCs/>
                <w:sz w:val="16"/>
                <w:szCs w:val="16"/>
              </w:rPr>
            </w:pPr>
            <w:r w:rsidRPr="001E397B">
              <w:rPr>
                <w:rFonts w:ascii="Arial Narrow" w:hAnsi="Arial Narrow" w:cs="Arial Narrow"/>
                <w:b/>
                <w:bCs/>
                <w:sz w:val="16"/>
                <w:szCs w:val="16"/>
              </w:rPr>
              <w:t>v tis. eur</w:t>
            </w:r>
          </w:p>
        </w:tc>
        <w:tc>
          <w:tcPr>
            <w:tcW w:w="1340"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2008 S</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2009 S</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2010 R</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2011 N</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2012 N</w:t>
            </w:r>
          </w:p>
        </w:tc>
        <w:tc>
          <w:tcPr>
            <w:tcW w:w="1100"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2013 N</w:t>
            </w:r>
          </w:p>
        </w:tc>
      </w:tr>
      <w:tr>
        <w:tblPrEx>
          <w:tblW w:w="9240" w:type="dxa"/>
          <w:tblInd w:w="55" w:type="dxa"/>
          <w:tblCellMar>
            <w:left w:w="70" w:type="dxa"/>
            <w:right w:w="70" w:type="dxa"/>
          </w:tblCellMar>
          <w:tblLook w:val="00A0"/>
        </w:tblPrEx>
        <w:trPr>
          <w:trHeight w:val="255"/>
        </w:trPr>
        <w:tc>
          <w:tcPr>
            <w:tcW w:w="2400" w:type="dxa"/>
            <w:tcBorders>
              <w:top w:val="nil"/>
              <w:left w:val="single" w:sz="4" w:space="0" w:color="auto"/>
              <w:bottom w:val="single" w:sz="4" w:space="0" w:color="auto"/>
              <w:right w:val="single" w:sz="4" w:space="0" w:color="auto"/>
            </w:tcBorders>
            <w:shd w:val="clear" w:color="000000" w:fill="FFFFFF"/>
            <w:textDirection w:val="lrTb"/>
            <w:vAlign w:val="bottom"/>
          </w:tcPr>
          <w:p w:rsidR="001E5B24" w:rsidRPr="001E397B" w:rsidP="001E5B24">
            <w:pPr>
              <w:bidi w:val="0"/>
              <w:rPr>
                <w:rFonts w:ascii="Arial Narrow" w:hAnsi="Arial Narrow" w:cs="Arial Narrow"/>
                <w:sz w:val="16"/>
                <w:szCs w:val="16"/>
              </w:rPr>
            </w:pPr>
            <w:r w:rsidRPr="001E397B">
              <w:rPr>
                <w:rFonts w:ascii="Arial Narrow" w:hAnsi="Arial Narrow" w:cs="Arial Narrow"/>
                <w:sz w:val="16"/>
                <w:szCs w:val="16"/>
              </w:rPr>
              <w:t>Energetika a inovácie</w:t>
            </w:r>
          </w:p>
        </w:tc>
        <w:tc>
          <w:tcPr>
            <w:tcW w:w="134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0</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42 402</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141 323</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181 265</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90 159</w:t>
            </w:r>
          </w:p>
        </w:tc>
        <w:tc>
          <w:tcPr>
            <w:tcW w:w="1100" w:type="dxa"/>
            <w:tcBorders>
              <w:top w:val="nil"/>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right"/>
              <w:rPr>
                <w:rFonts w:ascii="Arial Narrow" w:hAnsi="Arial Narrow" w:cs="Arial Narrow"/>
                <w:sz w:val="16"/>
                <w:szCs w:val="16"/>
              </w:rPr>
            </w:pPr>
            <w:r w:rsidRPr="001E397B">
              <w:rPr>
                <w:rFonts w:ascii="Arial Narrow" w:hAnsi="Arial Narrow" w:cs="Arial Narrow"/>
                <w:sz w:val="16"/>
                <w:szCs w:val="16"/>
              </w:rPr>
              <w:t>50 635</w:t>
            </w:r>
          </w:p>
        </w:tc>
      </w:tr>
    </w:tbl>
    <w:p w:rsidR="001E5B24" w:rsidRPr="0015768D" w:rsidP="001E5B24">
      <w:pPr>
        <w:bidi w:val="0"/>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Na podporu v oblasti energetiky sa na rok 2011 rozpočtujú len finančné prostriedky EÚ a spolufinancovania v rámci OP KaHR vo výške 60,9 mil. eur, v porovnaní o schváleným rozpočtom na rok 2010 rastú o 43,7 %. Tieto prostriedky sú určené na podporu projektov využívajúcich progresívne úsporné technológie na zásobovanie energiou a zariadenia s vyššou účinnosťou využitia energie s minimálnym dopadom na životné prostredie. Finančné prostriedky sú smerované aj na projekty zabezpečujúce zlepšenie tepelno-technických charakteristík budov a vybavenie zariadení meracími a regulačnými systémami. Podporované budú aj projekty na využívanie nových technologických zariadení na výrobu elektrickej energie a tepla, projekty na využívanie odpadového tepla z výroby elektrickej energie pri súčasnom zlepšení environmentálnych aspektov sektoru priemyslu, ako aj projekty na zníženie strát modernizáciou zariadení slúžiacich na rozvod energetických médií. Zdroje budú smerovať aj na projekty využívajúce obnoviteľné zdroje energie najmä biomasu, geotermálnu energiu, budovanie malých vodných elektrární a energetické využitie komunálneho odpadu. Finančné prostriedky budú použité aj na podporu verejného sektora pri budovaní a modernizácii verejného osvetlenia v mestách a obciach, ako aj informovanie verejnosti o efektívnom využívaní energie a obnoviteľných zdrojov energie.</w:t>
      </w:r>
    </w:p>
    <w:p w:rsidR="001E5B24" w:rsidRPr="0015768D" w:rsidP="001E5B24">
      <w:pPr>
        <w:bidi w:val="0"/>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b/>
          <w:bCs/>
          <w:i/>
          <w:iCs/>
          <w:sz w:val="22"/>
          <w:szCs w:val="22"/>
        </w:rPr>
      </w:pPr>
      <w:r w:rsidRPr="0015768D">
        <w:rPr>
          <w:rFonts w:ascii="Arial Narrow" w:hAnsi="Arial Narrow" w:cs="Arial Narrow"/>
          <w:sz w:val="22"/>
          <w:szCs w:val="22"/>
        </w:rPr>
        <w:t>Na podporu inovácií sa na rok 2011 rozpočtujú len finančné prostriedky EÚ a spolufinancovania v rámci OP KaHR vo výške 120</w:t>
      </w:r>
      <w:r>
        <w:rPr>
          <w:rFonts w:ascii="Arial Narrow" w:hAnsi="Arial Narrow" w:cs="Arial Narrow"/>
          <w:sz w:val="22"/>
          <w:szCs w:val="22"/>
        </w:rPr>
        <w:t>,3</w:t>
      </w:r>
      <w:r w:rsidRPr="0015768D">
        <w:rPr>
          <w:rFonts w:ascii="Arial Narrow" w:hAnsi="Arial Narrow" w:cs="Arial Narrow"/>
          <w:sz w:val="22"/>
          <w:szCs w:val="22"/>
        </w:rPr>
        <w:t xml:space="preserve"> mil. eur, oproti schválenému rozpočtu na rok 2010 rastú o 21,7 %.  Hlavným účelom podpory podnikania v oblasti inovácií a aplikovaného výskumu, ktorý patrí medzi prioritné oblasti Lisabonského procesu, je zvýšenie konkurencieschopnosti priemyslu podporou zavádzania inovácií a technologických transferov, ako aj tvorby pracovných miest prostredníctvom rozvoja podnikania. Výdavky v tejto oblasti sú určené aj na účasť slovenských výrobcov na veľtrhoch, výstavách a obchodných misiách.  Finančné prostriedky budú poskytované aj na implementáciu najlepších postupov a výrobných metód svetovej úrovne do nových a existujúcich spoločností napr. zavádzanie systémov manažérstva kvality, ochranu duševného vlastníctva, priemyselného dizajnu. </w:t>
      </w:r>
    </w:p>
    <w:p w:rsidR="001E5B24" w:rsidRPr="0015768D" w:rsidP="001E5B24">
      <w:pPr>
        <w:bidi w:val="0"/>
        <w:jc w:val="both"/>
        <w:rPr>
          <w:rFonts w:ascii="Arial Narrow" w:hAnsi="Arial Narrow" w:cs="Arial Narrow"/>
          <w:b/>
          <w:bCs/>
          <w:sz w:val="22"/>
          <w:szCs w:val="22"/>
        </w:rPr>
      </w:pPr>
    </w:p>
    <w:p w:rsidR="001E5B24" w:rsidRPr="0015768D" w:rsidP="001E5B24">
      <w:pPr>
        <w:bidi w:val="0"/>
        <w:jc w:val="both"/>
        <w:rPr>
          <w:rFonts w:ascii="Arial Narrow" w:hAnsi="Arial Narrow" w:cs="Arial Narrow"/>
          <w:sz w:val="22"/>
          <w:szCs w:val="22"/>
        </w:rPr>
      </w:pPr>
      <w:r w:rsidRPr="0015768D">
        <w:rPr>
          <w:rFonts w:ascii="Arial Narrow" w:hAnsi="Arial Narrow" w:cs="Arial Narrow"/>
          <w:sz w:val="22"/>
          <w:szCs w:val="22"/>
        </w:rPr>
        <w:t>Administratíva</w:t>
      </w:r>
    </w:p>
    <w:p w:rsidR="001E5B24" w:rsidRPr="000943DD" w:rsidP="001E5B24">
      <w:pPr>
        <w:bidi w:val="0"/>
        <w:jc w:val="both"/>
        <w:rPr>
          <w:rFonts w:ascii="Arial Narrow" w:hAnsi="Arial Narrow" w:cs="Arial Narrow"/>
          <w:sz w:val="22"/>
          <w:szCs w:val="22"/>
        </w:rPr>
      </w:pPr>
    </w:p>
    <w:tbl>
      <w:tblPr>
        <w:tblStyle w:val="TableNormal"/>
        <w:tblW w:w="9240" w:type="dxa"/>
        <w:tblInd w:w="55" w:type="dxa"/>
        <w:tblLayout w:type="fixed"/>
        <w:tblCellMar>
          <w:left w:w="70" w:type="dxa"/>
          <w:right w:w="70" w:type="dxa"/>
        </w:tblCellMar>
        <w:tblLook w:val="00A0"/>
      </w:tblPr>
      <w:tblGrid>
        <w:gridCol w:w="4268"/>
        <w:gridCol w:w="828"/>
        <w:gridCol w:w="829"/>
        <w:gridCol w:w="829"/>
        <w:gridCol w:w="828"/>
        <w:gridCol w:w="829"/>
        <w:gridCol w:w="829"/>
      </w:tblGrid>
      <w:tr>
        <w:tblPrEx>
          <w:tblW w:w="9240" w:type="dxa"/>
          <w:tblInd w:w="55" w:type="dxa"/>
          <w:tblLayout w:type="fixed"/>
          <w:tblCellMar>
            <w:left w:w="70" w:type="dxa"/>
            <w:right w:w="70" w:type="dxa"/>
          </w:tblCellMar>
          <w:tblLook w:val="00A0"/>
        </w:tblPrEx>
        <w:trPr>
          <w:trHeight w:val="252"/>
        </w:trPr>
        <w:tc>
          <w:tcPr>
            <w:tcW w:w="426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E397B" w:rsidP="001E5B24">
            <w:pPr>
              <w:bidi w:val="0"/>
              <w:rPr>
                <w:rFonts w:ascii="Arial Narrow" w:hAnsi="Arial Narrow" w:cs="Arial Narrow"/>
                <w:b/>
                <w:bCs/>
                <w:sz w:val="16"/>
                <w:szCs w:val="16"/>
              </w:rPr>
            </w:pPr>
            <w:r w:rsidRPr="001E397B">
              <w:rPr>
                <w:rFonts w:ascii="Arial Narrow" w:hAnsi="Arial Narrow" w:cs="Arial Narrow"/>
                <w:b/>
                <w:bCs/>
                <w:sz w:val="16"/>
                <w:szCs w:val="16"/>
              </w:rPr>
              <w:t>v tis. eur</w:t>
            </w:r>
          </w:p>
        </w:tc>
        <w:tc>
          <w:tcPr>
            <w:tcW w:w="828"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2008 S</w:t>
            </w:r>
          </w:p>
        </w:tc>
        <w:tc>
          <w:tcPr>
            <w:tcW w:w="82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2009 S</w:t>
            </w:r>
          </w:p>
        </w:tc>
        <w:tc>
          <w:tcPr>
            <w:tcW w:w="82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2010 R</w:t>
            </w:r>
          </w:p>
        </w:tc>
        <w:tc>
          <w:tcPr>
            <w:tcW w:w="82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2011 N</w:t>
            </w:r>
          </w:p>
        </w:tc>
        <w:tc>
          <w:tcPr>
            <w:tcW w:w="82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2012 N</w:t>
            </w:r>
          </w:p>
        </w:tc>
        <w:tc>
          <w:tcPr>
            <w:tcW w:w="829"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E397B" w:rsidP="001E5B24">
            <w:pPr>
              <w:bidi w:val="0"/>
              <w:jc w:val="center"/>
              <w:rPr>
                <w:rFonts w:ascii="Arial Narrow" w:hAnsi="Arial Narrow" w:cs="Arial Narrow"/>
                <w:b/>
                <w:bCs/>
                <w:sz w:val="16"/>
                <w:szCs w:val="16"/>
              </w:rPr>
            </w:pPr>
            <w:r w:rsidRPr="001E397B">
              <w:rPr>
                <w:rFonts w:ascii="Arial Narrow" w:hAnsi="Arial Narrow" w:cs="Arial Narrow"/>
                <w:b/>
                <w:bCs/>
                <w:sz w:val="16"/>
                <w:szCs w:val="16"/>
              </w:rPr>
              <w:t>2013 N</w:t>
            </w:r>
          </w:p>
        </w:tc>
      </w:tr>
      <w:tr>
        <w:tblPrEx>
          <w:tblW w:w="9240" w:type="dxa"/>
          <w:tblInd w:w="55" w:type="dxa"/>
          <w:tblLayout w:type="fixed"/>
          <w:tblCellMar>
            <w:left w:w="70" w:type="dxa"/>
            <w:right w:w="70" w:type="dxa"/>
          </w:tblCellMar>
          <w:tblLook w:val="00A0"/>
        </w:tblPrEx>
        <w:trPr>
          <w:trHeight w:val="252"/>
        </w:trPr>
        <w:tc>
          <w:tcPr>
            <w:tcW w:w="4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1E5B24" w:rsidRPr="00717FAD" w:rsidP="001E5B24">
            <w:pPr>
              <w:bidi w:val="0"/>
              <w:rPr>
                <w:rFonts w:ascii="Arial Narrow" w:hAnsi="Arial Narrow" w:cs="Arial Narrow"/>
                <w:b/>
                <w:bCs/>
                <w:sz w:val="16"/>
                <w:szCs w:val="16"/>
              </w:rPr>
            </w:pPr>
            <w:r w:rsidRPr="00717FAD">
              <w:rPr>
                <w:rFonts w:ascii="Arial Narrow" w:hAnsi="Arial Narrow" w:cs="Arial Narrow"/>
                <w:b/>
                <w:bCs/>
                <w:sz w:val="16"/>
                <w:szCs w:val="16"/>
              </w:rPr>
              <w:t>Administratíva</w:t>
            </w:r>
          </w:p>
        </w:tc>
        <w:tc>
          <w:tcPr>
            <w:tcW w:w="82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54 866</w:t>
            </w:r>
          </w:p>
        </w:tc>
        <w:tc>
          <w:tcPr>
            <w:tcW w:w="82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49 933</w:t>
            </w:r>
          </w:p>
        </w:tc>
        <w:tc>
          <w:tcPr>
            <w:tcW w:w="82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50 054</w:t>
            </w:r>
          </w:p>
        </w:tc>
        <w:tc>
          <w:tcPr>
            <w:tcW w:w="828"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46 778</w:t>
            </w:r>
          </w:p>
        </w:tc>
        <w:tc>
          <w:tcPr>
            <w:tcW w:w="82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42 039</w:t>
            </w:r>
          </w:p>
        </w:tc>
        <w:tc>
          <w:tcPr>
            <w:tcW w:w="829" w:type="dxa"/>
            <w:tcBorders>
              <w:top w:val="single" w:sz="4" w:space="0" w:color="auto"/>
              <w:left w:val="nil"/>
              <w:bottom w:val="single" w:sz="4" w:space="0" w:color="auto"/>
              <w:right w:val="single" w:sz="4" w:space="0" w:color="auto"/>
            </w:tcBorders>
            <w:shd w:val="clear" w:color="000000" w:fill="BFBFBF"/>
            <w:noWrap/>
            <w:textDirection w:val="lrTb"/>
            <w:vAlign w:val="bottom"/>
          </w:tcPr>
          <w:p w:rsidR="001E5B24" w:rsidRPr="00717FAD" w:rsidP="001E5B24">
            <w:pPr>
              <w:bidi w:val="0"/>
              <w:jc w:val="right"/>
              <w:rPr>
                <w:rFonts w:ascii="Arial Narrow" w:hAnsi="Arial Narrow" w:cs="Arial Narrow"/>
                <w:b/>
                <w:sz w:val="16"/>
                <w:szCs w:val="16"/>
              </w:rPr>
            </w:pPr>
            <w:r w:rsidRPr="00717FAD">
              <w:rPr>
                <w:rFonts w:ascii="Arial Narrow" w:hAnsi="Arial Narrow" w:cs="Arial Narrow"/>
                <w:b/>
                <w:sz w:val="16"/>
                <w:szCs w:val="16"/>
              </w:rPr>
              <w:t>42 227</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Administrácia aparátu a podriadených organizácií</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45 390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40 657</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37 362</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33 922</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33 397</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33 807</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Hospodárska mobilizácia</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4 121</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4 568</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2 978</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2 864</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3 225</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4 879</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Rozvoj ochrany obyvateľov SR pred chemickými zbraňami</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50</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20</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66</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Príspevky SR do medzinárodných organizácií</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499</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543</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550</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700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700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750</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 xml:space="preserve">Ľudské zdroje - aktívna politika trhu práce a zvýšenie zamestnateľnosti </w:t>
            </w:r>
          </w:p>
        </w:tc>
        <w:tc>
          <w:tcPr>
            <w:tcW w:w="828" w:type="dxa"/>
            <w:tcBorders>
              <w:top w:val="nil"/>
              <w:left w:val="nil"/>
              <w:bottom w:val="nil"/>
              <w:right w:val="nil"/>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51</w:t>
            </w:r>
          </w:p>
        </w:tc>
        <w:tc>
          <w:tcPr>
            <w:tcW w:w="829" w:type="dxa"/>
            <w:tcBorders>
              <w:top w:val="nil"/>
              <w:left w:val="single" w:sz="4" w:space="0" w:color="auto"/>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1</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Podpora obrany</w:t>
            </w:r>
          </w:p>
        </w:tc>
        <w:tc>
          <w:tcPr>
            <w:tcW w:w="828" w:type="dxa"/>
            <w:tcBorders>
              <w:top w:val="single" w:sz="4" w:space="0" w:color="auto"/>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152</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Cezhraničná spolupráca</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77</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36</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35</w:t>
            </w:r>
          </w:p>
        </w:tc>
        <w:tc>
          <w:tcPr>
            <w:tcW w:w="828"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35</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35</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35</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shd w:val="clear" w:color="000000" w:fill="FFFFFF"/>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 xml:space="preserve">Technická pomoc </w:t>
            </w:r>
          </w:p>
        </w:tc>
        <w:tc>
          <w:tcPr>
            <w:tcW w:w="828"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4 051</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3 801</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7 374</w:t>
            </w:r>
          </w:p>
        </w:tc>
        <w:tc>
          <w:tcPr>
            <w:tcW w:w="828"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8 835</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4 394</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2 468</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shd w:val="clear" w:color="000000" w:fill="FFFFFF"/>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Ostatné výdavky</w:t>
            </w:r>
          </w:p>
        </w:tc>
        <w:tc>
          <w:tcPr>
            <w:tcW w:w="828"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475</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273</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447</w:t>
            </w:r>
          </w:p>
        </w:tc>
        <w:tc>
          <w:tcPr>
            <w:tcW w:w="828"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288</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288</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288</w:t>
            </w:r>
          </w:p>
        </w:tc>
      </w:tr>
      <w:tr>
        <w:tblPrEx>
          <w:tblW w:w="9240" w:type="dxa"/>
          <w:tblInd w:w="55" w:type="dxa"/>
          <w:tblLayout w:type="fixed"/>
          <w:tblCellMar>
            <w:left w:w="70" w:type="dxa"/>
            <w:right w:w="70" w:type="dxa"/>
          </w:tblCellMar>
          <w:tblLook w:val="00A0"/>
        </w:tblPrEx>
        <w:trPr>
          <w:trHeight w:val="252"/>
        </w:trPr>
        <w:tc>
          <w:tcPr>
            <w:tcW w:w="4268" w:type="dxa"/>
            <w:tcBorders>
              <w:top w:val="nil"/>
              <w:left w:val="single" w:sz="4" w:space="0" w:color="auto"/>
              <w:bottom w:val="single" w:sz="4" w:space="0" w:color="auto"/>
              <w:right w:val="single" w:sz="4" w:space="0" w:color="auto"/>
            </w:tcBorders>
            <w:noWrap/>
            <w:textDirection w:val="lrTb"/>
            <w:vAlign w:val="bottom"/>
          </w:tcPr>
          <w:p w:rsidR="001E5B24" w:rsidRPr="002D1700" w:rsidP="001E5B24">
            <w:pPr>
              <w:bidi w:val="0"/>
              <w:rPr>
                <w:rFonts w:ascii="Arial Narrow" w:hAnsi="Arial Narrow" w:cs="Arial Narrow"/>
                <w:sz w:val="16"/>
                <w:szCs w:val="16"/>
              </w:rPr>
            </w:pPr>
            <w:r w:rsidRPr="002D1700">
              <w:rPr>
                <w:rFonts w:ascii="Arial Narrow" w:hAnsi="Arial Narrow" w:cs="Arial Narrow"/>
                <w:sz w:val="16"/>
                <w:szCs w:val="16"/>
              </w:rPr>
              <w:t>Iné zdroje</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34</w:t>
            </w:r>
          </w:p>
        </w:tc>
        <w:tc>
          <w:tcPr>
            <w:tcW w:w="829" w:type="dxa"/>
            <w:tcBorders>
              <w:top w:val="nil"/>
              <w:left w:val="nil"/>
              <w:bottom w:val="single" w:sz="4" w:space="0" w:color="auto"/>
              <w:right w:val="single" w:sz="4" w:space="0" w:color="auto"/>
            </w:tcBorders>
            <w:shd w:val="clear" w:color="000000" w:fill="FFFFFF"/>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1 242</w:t>
            </w:r>
          </w:p>
        </w:tc>
        <w:tc>
          <w:tcPr>
            <w:tcW w:w="828"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134</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c>
          <w:tcPr>
            <w:tcW w:w="829" w:type="dxa"/>
            <w:tcBorders>
              <w:top w:val="nil"/>
              <w:left w:val="nil"/>
              <w:bottom w:val="single" w:sz="4" w:space="0" w:color="auto"/>
              <w:right w:val="single" w:sz="4" w:space="0" w:color="auto"/>
            </w:tcBorders>
            <w:noWrap/>
            <w:textDirection w:val="lrTb"/>
            <w:vAlign w:val="bottom"/>
          </w:tcPr>
          <w:p w:rsidR="001E5B24" w:rsidRPr="002D1700" w:rsidP="001E5B24">
            <w:pPr>
              <w:bidi w:val="0"/>
              <w:jc w:val="right"/>
              <w:rPr>
                <w:rFonts w:ascii="Arial Narrow" w:hAnsi="Arial Narrow" w:cs="Arial Narrow"/>
                <w:sz w:val="16"/>
                <w:szCs w:val="16"/>
              </w:rPr>
            </w:pPr>
            <w:r w:rsidRPr="002D1700">
              <w:rPr>
                <w:rFonts w:ascii="Arial Narrow" w:hAnsi="Arial Narrow" w:cs="Arial Narrow"/>
                <w:sz w:val="16"/>
                <w:szCs w:val="16"/>
              </w:rPr>
              <w:t> </w:t>
            </w:r>
            <w:r>
              <w:rPr>
                <w:rFonts w:ascii="Arial Narrow" w:hAnsi="Arial Narrow" w:cs="Arial Narrow"/>
                <w:sz w:val="16"/>
                <w:szCs w:val="16"/>
              </w:rPr>
              <w:t>0</w:t>
            </w:r>
          </w:p>
        </w:tc>
      </w:tr>
    </w:tbl>
    <w:p w:rsidR="001E5B24" w:rsidRPr="008D2798"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227A6">
        <w:rPr>
          <w:rFonts w:ascii="Arial Narrow" w:hAnsi="Arial Narrow" w:cs="Arial Narrow"/>
          <w:sz w:val="22"/>
          <w:szCs w:val="22"/>
        </w:rPr>
        <w:t xml:space="preserve">Na inštitucionálnu podporu </w:t>
      </w:r>
      <w:r>
        <w:rPr>
          <w:rFonts w:ascii="Arial Narrow" w:hAnsi="Arial Narrow" w:cs="Arial Narrow"/>
          <w:sz w:val="22"/>
          <w:szCs w:val="22"/>
        </w:rPr>
        <w:t>kapitoly</w:t>
      </w:r>
      <w:r w:rsidRPr="004227A6">
        <w:rPr>
          <w:rFonts w:ascii="Arial Narrow" w:hAnsi="Arial Narrow" w:cs="Arial Narrow"/>
          <w:sz w:val="22"/>
          <w:szCs w:val="22"/>
        </w:rPr>
        <w:t xml:space="preserve"> sa v roku 2011 rozpočtuje suma 33,9 mil. eur, čo je oproti schválenému rozpočtu výdavkov na rok 2010 pokles o 9,2 %.</w:t>
      </w:r>
      <w:r w:rsidRPr="0015768D">
        <w:rPr>
          <w:rFonts w:ascii="Arial Narrow" w:hAnsi="Arial Narrow" w:cs="Arial Narrow"/>
          <w:sz w:val="22"/>
          <w:szCs w:val="22"/>
        </w:rPr>
        <w:t xml:space="preserve">  </w:t>
      </w:r>
    </w:p>
    <w:p w:rsidR="001E5B24" w:rsidRPr="0015768D" w:rsidP="001E5B24">
      <w:pPr>
        <w:bidi w:val="0"/>
        <w:ind w:firstLine="708"/>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15768D">
        <w:rPr>
          <w:rFonts w:ascii="Arial Narrow" w:hAnsi="Arial Narrow" w:cs="Arial Narrow"/>
          <w:sz w:val="22"/>
          <w:szCs w:val="22"/>
        </w:rPr>
        <w:t xml:space="preserve"> rok 2011 rozpočtuje na úrovni 17,7 mil. eur, čo v porovnaní so schváleným rozpočtom na rok 2010 predstavuje pokles 11,3 % (2,25 mil. eur). </w:t>
      </w:r>
    </w:p>
    <w:p w:rsidR="001E5B24" w:rsidRPr="0015768D" w:rsidP="001E5B24">
      <w:pPr>
        <w:bidi w:val="0"/>
        <w:ind w:firstLine="708"/>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Výdavky na tovary a služby na inštitucionálnu podporu rezortu sú na rok 2011 rozpočtované vo výške 13,1 mil. eur a v porovnaní so schváleným rozpočtom na rok 2010 klesajú o 12,2 %. Tento pokles je ovplyvnený najmä poklesom výdavkov na obchodno-ekonomické oddelenia v zahraničí. </w:t>
      </w:r>
    </w:p>
    <w:p w:rsidR="001E5B24" w:rsidRPr="0015768D" w:rsidP="001E5B24">
      <w:pPr>
        <w:bidi w:val="0"/>
        <w:ind w:firstLine="708"/>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Výdavky na bežné transfery v rámci inštitucionálnej podpory hospodárstva sú na rok 2011 rozpočtované vo výške 2 mil. eur, v porovnaní so schváleným rozpočtom rastú o 36,1 % </w:t>
      </w:r>
      <w:r>
        <w:rPr>
          <w:rFonts w:ascii="Arial Narrow" w:hAnsi="Arial Narrow" w:cs="Arial Narrow"/>
          <w:sz w:val="22"/>
          <w:szCs w:val="22"/>
        </w:rPr>
        <w:t xml:space="preserve">napríklad </w:t>
      </w:r>
      <w:r w:rsidRPr="0015768D">
        <w:rPr>
          <w:rFonts w:ascii="Arial Narrow" w:hAnsi="Arial Narrow" w:cs="Arial Narrow"/>
          <w:sz w:val="22"/>
          <w:szCs w:val="22"/>
        </w:rPr>
        <w:t>z dôvodu nárastu príspevkov do medzinárodných organizácií.</w:t>
      </w:r>
    </w:p>
    <w:p w:rsidR="001E5B24" w:rsidRPr="0015768D" w:rsidP="001E5B24">
      <w:pPr>
        <w:bidi w:val="0"/>
        <w:jc w:val="both"/>
        <w:rPr>
          <w:rFonts w:ascii="Arial Narrow" w:hAnsi="Arial Narrow" w:cs="Arial Narrow"/>
          <w:sz w:val="22"/>
          <w:szCs w:val="22"/>
        </w:rPr>
      </w:pPr>
      <w:r w:rsidRPr="0015768D">
        <w:rPr>
          <w:rFonts w:ascii="Arial Narrow" w:hAnsi="Arial Narrow" w:cs="Arial Narrow"/>
          <w:sz w:val="22"/>
          <w:szCs w:val="22"/>
        </w:rPr>
        <w:tab/>
      </w: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 xml:space="preserve">Kapitálové výdavky na inštitucionálnu podporu rezortu sú na rok 2011 rozpočtované vo výške 1,13 mil. eur, v porovnaní so schváleným rozpočtom na rok 2010 rastú o 9,03 % najmä z dôvodu výdavkov na </w:t>
      </w:r>
      <w:r>
        <w:rPr>
          <w:rFonts w:ascii="Arial Narrow" w:hAnsi="Arial Narrow" w:cs="Arial Narrow"/>
          <w:sz w:val="22"/>
          <w:szCs w:val="22"/>
        </w:rPr>
        <w:t>pokračujúce projekty bezpečnosti budov rezortu hospodárstva a protipožiarny projekt</w:t>
      </w:r>
      <w:r w:rsidRPr="0015768D">
        <w:rPr>
          <w:rFonts w:ascii="Arial Narrow" w:hAnsi="Arial Narrow" w:cs="Arial Narrow"/>
          <w:sz w:val="22"/>
          <w:szCs w:val="22"/>
        </w:rPr>
        <w:t>.</w:t>
      </w:r>
    </w:p>
    <w:p w:rsidR="001E5B24" w:rsidRPr="0015768D" w:rsidP="001E5B24">
      <w:pPr>
        <w:bidi w:val="0"/>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V rámci  výdavkov aparátu sú rozpočtované výdavky na obchodno-ekonomické oddelenia v zahraničí v sume 6,96 mil. eur, ktoré podľa pripravovaného kompetenčného zákona budú</w:t>
      </w:r>
      <w:r>
        <w:rPr>
          <w:rFonts w:ascii="Arial Narrow" w:hAnsi="Arial Narrow" w:cs="Arial Narrow"/>
          <w:sz w:val="22"/>
          <w:szCs w:val="22"/>
        </w:rPr>
        <w:t xml:space="preserve"> delimitované</w:t>
      </w:r>
      <w:r w:rsidRPr="0015768D">
        <w:rPr>
          <w:rFonts w:ascii="Arial Narrow" w:hAnsi="Arial Narrow" w:cs="Arial Narrow"/>
          <w:sz w:val="22"/>
          <w:szCs w:val="22"/>
        </w:rPr>
        <w:t xml:space="preserve"> do kapitoly Ministerstva zahraničných vecí SR.</w:t>
      </w:r>
    </w:p>
    <w:p w:rsidR="001E5B24" w:rsidRPr="0015768D" w:rsidP="001E5B24">
      <w:pPr>
        <w:bidi w:val="0"/>
        <w:jc w:val="both"/>
        <w:rPr>
          <w:rFonts w:ascii="Arial Narrow" w:hAnsi="Arial Narrow" w:cs="Arial Narrow"/>
          <w:sz w:val="22"/>
          <w:szCs w:val="22"/>
        </w:rPr>
      </w:pPr>
    </w:p>
    <w:p w:rsidR="001E5B24" w:rsidRPr="0015768D" w:rsidP="001E5B24">
      <w:pPr>
        <w:bidi w:val="0"/>
        <w:ind w:firstLine="708"/>
        <w:jc w:val="both"/>
        <w:rPr>
          <w:rFonts w:ascii="Arial Narrow" w:hAnsi="Arial Narrow" w:cs="Arial Narrow"/>
          <w:sz w:val="22"/>
          <w:szCs w:val="22"/>
        </w:rPr>
      </w:pPr>
      <w:r w:rsidRPr="0015768D">
        <w:rPr>
          <w:rFonts w:ascii="Arial Narrow" w:hAnsi="Arial Narrow" w:cs="Arial Narrow"/>
          <w:sz w:val="22"/>
          <w:szCs w:val="22"/>
        </w:rPr>
        <w:t>Ostatné výdavky sú smerované pre občianske združenia na ochranu práv spotrebiteľa, Európske spotrebiteľské centrum a podporu budovania štruktúr v oblasti trhového dozoru na ochranu spotrebiteľa – výdavky pre SOI v súvislosti s notifikáciami cez systém RAPEX a úlohy vyplývajúce z acquis, INTERREG IV C a INTERACT II.</w:t>
      </w:r>
    </w:p>
    <w:p w:rsidR="001E5B24" w:rsidRPr="0015768D" w:rsidP="001E5B24">
      <w:pPr>
        <w:bidi w:val="0"/>
        <w:jc w:val="both"/>
        <w:rPr>
          <w:rFonts w:ascii="Arial Narrow" w:hAnsi="Arial Narrow" w:cs="Arial Narrow"/>
          <w:b/>
          <w:bCs/>
          <w:sz w:val="22"/>
          <w:szCs w:val="22"/>
        </w:rPr>
      </w:pPr>
    </w:p>
    <w:p w:rsidR="001E5B24" w:rsidRPr="000B4E38" w:rsidP="001E5B24">
      <w:pPr>
        <w:bidi w:val="0"/>
        <w:rPr>
          <w:rFonts w:ascii="Arial Narrow" w:hAnsi="Arial Narrow" w:cs="Arial Narrow"/>
          <w:sz w:val="22"/>
          <w:szCs w:val="22"/>
        </w:rPr>
      </w:pPr>
    </w:p>
    <w:p w:rsidR="001E5B24" w:rsidRPr="00B37BC1"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Ministerstvo spravodlivosti SR</w:t>
      </w:r>
    </w:p>
    <w:p w:rsidR="001E5B24" w:rsidRPr="00ED590F" w:rsidP="001E5B24">
      <w:pPr>
        <w:bidi w:val="0"/>
        <w:rPr>
          <w:rFonts w:ascii="Arial Narrow" w:hAnsi="Arial Narrow" w:cs="Arial Narrow"/>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t xml:space="preserve">Rezort ministerstva spravodlivosti v poslednom období prekonáva tri základné problémové okruhy vo svojej činnosti. V prvom rade aktuálne v roku 2010 narástol počet odsúdených a obvinených o 13,2% oproti priemernému stavu odsúdených a obvinených za rok 2009, pričom je možné očakávať ďalší rast počtov väznených osôb. Za druhé sa dlhodobo v rezorte nerozpočtovali dostatočné zdroje na odmeny pre znalcov, advokátov, notárov, exekútorov, svedkov, tlmočníkov a prekladateľov, čím dochádzalo k rastu záväzkov rezortu po lehote splatnosti za nevyplatené faktúry za uvedené služby a v neposlednom rade k zásadným problémom od roku 2008 pribudol aj rastúci deficit na osobitnom účte určenom na sociálne zabezpečenie príslušníkov Zboru väzenskej a justičnej stráže SR. </w:t>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S</w:t>
      </w:r>
      <w:r w:rsidRPr="00A2473F">
        <w:rPr>
          <w:rFonts w:ascii="Arial Narrow" w:hAnsi="Arial Narrow" w:cs="Arial Narrow"/>
          <w:sz w:val="22"/>
          <w:szCs w:val="22"/>
        </w:rPr>
        <w:t>chválené zdroje štátneho rozpočtu na rok 2010 boli o 6,2 mil. eur nižšie ako bolo ich skutočné čerpanie v roku 2009 bez presunu výdavkov z minulých rokov, pričom v rámci zákonnej valorizácie medziročne rástli priemerné platy sudcov o 8,01%, rástla potreba krytia deficitu osobitného účtu, medziročne prišlo k nárastu počtov obvinených a odsúdených a dochádzalo k rastu záväzkov rezortu po lehote splatnosti za nevyplatené faktúry. Napriek uvedeným skutočnostiam sa v schválenom rozpočte roku 2010 nepočítalo s prijímaním osobitných úsporných opatrení.</w:t>
      </w:r>
    </w:p>
    <w:p w:rsidR="001E5B24" w:rsidP="001E5B24">
      <w:pPr>
        <w:bidi w:val="0"/>
        <w:ind w:firstLine="708"/>
        <w:jc w:val="both"/>
        <w:rPr>
          <w:rFonts w:ascii="Arial Narrow" w:hAnsi="Arial Narrow" w:cs="Arial Narrow"/>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548"/>
        <w:gridCol w:w="1120"/>
        <w:gridCol w:w="1096"/>
        <w:gridCol w:w="1095"/>
        <w:gridCol w:w="1095"/>
        <w:gridCol w:w="1095"/>
        <w:gridCol w:w="1093"/>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C931E2" w:rsidP="001E5B24">
            <w:pPr>
              <w:bidi w:val="0"/>
              <w:rPr>
                <w:rFonts w:ascii="Arial Narrow" w:hAnsi="Arial Narrow" w:cs="Arial Narrow"/>
                <w:b/>
                <w:bCs/>
                <w:sz w:val="16"/>
                <w:szCs w:val="16"/>
              </w:rPr>
            </w:pPr>
            <w:r w:rsidRPr="00C931E2">
              <w:rPr>
                <w:rFonts w:ascii="Arial Narrow" w:hAnsi="Arial Narrow" w:cs="Arial Narrow"/>
                <w:b/>
                <w:bCs/>
                <w:sz w:val="16"/>
                <w:szCs w:val="16"/>
              </w:rPr>
              <w:t xml:space="preserve"> v tis. </w:t>
            </w:r>
            <w:r>
              <w:rPr>
                <w:rFonts w:ascii="Arial Narrow" w:hAnsi="Arial Narrow" w:cs="Arial Narrow"/>
                <w:b/>
                <w:bCs/>
                <w:sz w:val="16"/>
                <w:szCs w:val="16"/>
              </w:rPr>
              <w:t>e</w:t>
            </w:r>
            <w:r w:rsidRPr="00C931E2">
              <w:rPr>
                <w:rFonts w:ascii="Arial Narrow" w:hAnsi="Arial Narrow" w:cs="Arial Narrow"/>
                <w:b/>
                <w:bCs/>
                <w:sz w:val="16"/>
                <w:szCs w:val="16"/>
              </w:rPr>
              <w:t>ur</w:t>
            </w:r>
          </w:p>
        </w:tc>
        <w:tc>
          <w:tcPr>
            <w:tcW w:w="612"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2008 S</w:t>
            </w:r>
          </w:p>
        </w:tc>
        <w:tc>
          <w:tcPr>
            <w:tcW w:w="599"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2009 S</w:t>
            </w:r>
          </w:p>
        </w:tc>
        <w:tc>
          <w:tcPr>
            <w:tcW w:w="59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2010 R</w:t>
            </w:r>
          </w:p>
        </w:tc>
        <w:tc>
          <w:tcPr>
            <w:tcW w:w="59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2011 N</w:t>
            </w:r>
          </w:p>
        </w:tc>
        <w:tc>
          <w:tcPr>
            <w:tcW w:w="599"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2012 N</w:t>
            </w:r>
          </w:p>
        </w:tc>
        <w:tc>
          <w:tcPr>
            <w:tcW w:w="59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C931E2" w:rsidP="001E5B24">
            <w:pPr>
              <w:bidi w:val="0"/>
              <w:jc w:val="center"/>
              <w:rPr>
                <w:rFonts w:ascii="Arial Narrow" w:hAnsi="Arial Narrow" w:cs="Arial Narrow"/>
                <w:b/>
                <w:bCs/>
                <w:sz w:val="16"/>
                <w:szCs w:val="16"/>
              </w:rPr>
            </w:pPr>
            <w:r w:rsidRPr="00C931E2">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B6AE2" w:rsidP="001E5B24">
            <w:pPr>
              <w:bidi w:val="0"/>
              <w:rPr>
                <w:rFonts w:ascii="Arial Narrow" w:hAnsi="Arial Narrow" w:cs="Arial Narrow"/>
                <w:b/>
                <w:sz w:val="16"/>
                <w:szCs w:val="16"/>
              </w:rPr>
            </w:pPr>
            <w:r w:rsidRPr="006B6AE2">
              <w:rPr>
                <w:rFonts w:ascii="Arial Narrow" w:hAnsi="Arial Narrow" w:cs="Arial Narrow"/>
                <w:b/>
                <w:sz w:val="16"/>
                <w:szCs w:val="16"/>
              </w:rPr>
              <w:t>Zdroje príslušnej kapitoly</w:t>
            </w:r>
          </w:p>
        </w:tc>
        <w:tc>
          <w:tcPr>
            <w:tcW w:w="612"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Narrow"/>
                <w:b/>
                <w:color w:val="000000"/>
                <w:sz w:val="16"/>
                <w:szCs w:val="16"/>
              </w:rPr>
            </w:pPr>
            <w:r w:rsidRPr="006B6AE2">
              <w:rPr>
                <w:rFonts w:ascii="Arial Narrow" w:hAnsi="Arial Narrow" w:cs="Arial Narrow"/>
                <w:b/>
                <w:color w:val="000000"/>
                <w:sz w:val="16"/>
                <w:szCs w:val="16"/>
              </w:rPr>
              <w:t>268 602</w:t>
            </w:r>
          </w:p>
        </w:tc>
        <w:tc>
          <w:tcPr>
            <w:tcW w:w="599"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Narrow"/>
                <w:b/>
                <w:color w:val="000000"/>
                <w:sz w:val="16"/>
                <w:szCs w:val="16"/>
              </w:rPr>
            </w:pPr>
            <w:r w:rsidRPr="006B6AE2">
              <w:rPr>
                <w:rFonts w:ascii="Arial Narrow" w:hAnsi="Arial Narrow" w:cs="Arial Narrow"/>
                <w:b/>
                <w:color w:val="000000"/>
                <w:sz w:val="16"/>
                <w:szCs w:val="16"/>
              </w:rPr>
              <w:t>280 390</w:t>
            </w:r>
          </w:p>
        </w:tc>
        <w:tc>
          <w:tcPr>
            <w:tcW w:w="599"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Narrow"/>
                <w:b/>
                <w:color w:val="000000"/>
                <w:sz w:val="16"/>
                <w:szCs w:val="16"/>
              </w:rPr>
            </w:pPr>
            <w:r w:rsidRPr="006B6AE2">
              <w:rPr>
                <w:rFonts w:ascii="Arial Narrow" w:hAnsi="Arial Narrow" w:cs="Arial Narrow"/>
                <w:b/>
                <w:color w:val="000000"/>
                <w:sz w:val="16"/>
                <w:szCs w:val="16"/>
              </w:rPr>
              <w:t>270 033</w:t>
            </w:r>
          </w:p>
        </w:tc>
        <w:tc>
          <w:tcPr>
            <w:tcW w:w="599"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w:b/>
                <w:sz w:val="16"/>
                <w:szCs w:val="16"/>
                <w:lang w:eastAsia="sk-SK"/>
              </w:rPr>
            </w:pPr>
            <w:r w:rsidRPr="006B6AE2">
              <w:rPr>
                <w:rFonts w:ascii="Arial Narrow" w:hAnsi="Arial Narrow" w:cs="Arial"/>
                <w:b/>
                <w:sz w:val="16"/>
                <w:szCs w:val="16"/>
                <w:lang w:eastAsia="sk-SK"/>
              </w:rPr>
              <w:t>288 640</w:t>
            </w:r>
          </w:p>
        </w:tc>
        <w:tc>
          <w:tcPr>
            <w:tcW w:w="599"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w:b/>
                <w:sz w:val="16"/>
                <w:szCs w:val="16"/>
              </w:rPr>
            </w:pPr>
            <w:r w:rsidRPr="006B6AE2">
              <w:rPr>
                <w:rFonts w:ascii="Arial Narrow" w:hAnsi="Arial Narrow" w:cs="Arial"/>
                <w:b/>
                <w:sz w:val="16"/>
                <w:szCs w:val="16"/>
              </w:rPr>
              <w:t>285 706</w:t>
            </w:r>
          </w:p>
        </w:tc>
        <w:tc>
          <w:tcPr>
            <w:tcW w:w="598"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B6AE2" w:rsidP="001E5B24">
            <w:pPr>
              <w:bidi w:val="0"/>
              <w:jc w:val="right"/>
              <w:rPr>
                <w:rFonts w:ascii="Arial Narrow" w:hAnsi="Arial Narrow" w:cs="Arial"/>
                <w:b/>
                <w:sz w:val="16"/>
                <w:szCs w:val="16"/>
              </w:rPr>
            </w:pPr>
            <w:r w:rsidRPr="006B6AE2">
              <w:rPr>
                <w:rFonts w:ascii="Arial Narrow" w:hAnsi="Arial Narrow" w:cs="Arial"/>
                <w:b/>
                <w:sz w:val="16"/>
                <w:szCs w:val="16"/>
              </w:rPr>
              <w:t>285 875</w:t>
            </w:r>
          </w:p>
        </w:tc>
      </w:tr>
      <w:tr>
        <w:tblPrEx>
          <w:tblW w:w="4962" w:type="pct"/>
          <w:tblInd w:w="70" w:type="dxa"/>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rPr>
                <w:rFonts w:ascii="Arial Narrow" w:hAnsi="Arial Narrow" w:cs="Arial Narrow"/>
                <w:sz w:val="16"/>
                <w:szCs w:val="16"/>
              </w:rPr>
            </w:pPr>
            <w:r w:rsidRPr="00C931E2">
              <w:rPr>
                <w:rFonts w:ascii="Arial Narrow" w:hAnsi="Arial Narrow" w:cs="Arial Narrow"/>
                <w:sz w:val="16"/>
                <w:szCs w:val="16"/>
              </w:rPr>
              <w:t>z toho:</w:t>
            </w:r>
          </w:p>
        </w:tc>
        <w:tc>
          <w:tcPr>
            <w:tcW w:w="612"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c>
          <w:tcPr>
            <w:tcW w:w="59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c>
          <w:tcPr>
            <w:tcW w:w="59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c>
          <w:tcPr>
            <w:tcW w:w="599"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c>
          <w:tcPr>
            <w:tcW w:w="598"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p>
        </w:tc>
      </w:tr>
      <w:tr>
        <w:tblPrEx>
          <w:tblW w:w="4962" w:type="pct"/>
          <w:tblInd w:w="70" w:type="dxa"/>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rPr>
                <w:rFonts w:ascii="Arial Narrow" w:hAnsi="Arial Narrow" w:cs="Arial Narrow"/>
                <w:sz w:val="16"/>
                <w:szCs w:val="16"/>
              </w:rPr>
            </w:pPr>
            <w:r w:rsidRPr="00C931E2">
              <w:rPr>
                <w:rFonts w:ascii="Arial Narrow" w:hAnsi="Arial Narrow" w:cs="Arial Narrow"/>
                <w:sz w:val="16"/>
                <w:szCs w:val="16"/>
              </w:rPr>
              <w:t xml:space="preserve">rozpočtové zdroje kapitoly </w:t>
            </w:r>
          </w:p>
        </w:tc>
        <w:tc>
          <w:tcPr>
            <w:tcW w:w="612"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265 109</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276 281</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270 033</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288 603</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285 706</w:t>
            </w:r>
          </w:p>
        </w:tc>
        <w:tc>
          <w:tcPr>
            <w:tcW w:w="598" w:type="pct"/>
            <w:tcBorders>
              <w:top w:val="single" w:sz="4" w:space="0" w:color="auto"/>
              <w:left w:val="single" w:sz="4" w:space="0" w:color="auto"/>
              <w:bottom w:val="single" w:sz="4" w:space="0" w:color="auto"/>
              <w:right w:val="single" w:sz="4" w:space="0" w:color="auto"/>
            </w:tcBorders>
            <w:textDirection w:val="lrTb"/>
            <w:vAlign w:val="bottom"/>
          </w:tcPr>
          <w:p w:rsidR="001E5B24" w:rsidP="001E5B24">
            <w:pPr>
              <w:bidi w:val="0"/>
              <w:jc w:val="right"/>
              <w:rPr>
                <w:rFonts w:ascii="Arial Narrow" w:hAnsi="Arial Narrow" w:cs="Arial"/>
                <w:sz w:val="16"/>
                <w:szCs w:val="16"/>
              </w:rPr>
            </w:pPr>
            <w:r>
              <w:rPr>
                <w:rFonts w:ascii="Arial Narrow" w:hAnsi="Arial Narrow" w:cs="Arial"/>
                <w:sz w:val="16"/>
                <w:szCs w:val="16"/>
              </w:rPr>
              <w:t>285 875</w:t>
            </w:r>
          </w:p>
        </w:tc>
      </w:tr>
      <w:tr>
        <w:tblPrEx>
          <w:tblW w:w="4962" w:type="pct"/>
          <w:tblInd w:w="70" w:type="dxa"/>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rPr>
                <w:rFonts w:ascii="Arial Narrow" w:hAnsi="Arial Narrow" w:cs="Arial Narrow"/>
                <w:sz w:val="16"/>
                <w:szCs w:val="16"/>
              </w:rPr>
            </w:pPr>
            <w:r w:rsidRPr="00C931E2">
              <w:rPr>
                <w:rFonts w:ascii="Arial Narrow" w:hAnsi="Arial Narrow" w:cs="Arial Narrow"/>
                <w:sz w:val="16"/>
                <w:szCs w:val="16"/>
              </w:rPr>
              <w:t>presun z minulých rokov §</w:t>
            </w:r>
            <w:r>
              <w:rPr>
                <w:rFonts w:ascii="Arial Narrow" w:hAnsi="Arial Narrow" w:cs="Arial Narrow"/>
                <w:sz w:val="16"/>
                <w:szCs w:val="16"/>
              </w:rPr>
              <w:t xml:space="preserve"> </w:t>
            </w:r>
            <w:r w:rsidRPr="00C931E2">
              <w:rPr>
                <w:rFonts w:ascii="Arial Narrow" w:hAnsi="Arial Narrow" w:cs="Arial Narrow"/>
                <w:sz w:val="16"/>
                <w:szCs w:val="16"/>
              </w:rPr>
              <w:t>8</w:t>
            </w:r>
          </w:p>
        </w:tc>
        <w:tc>
          <w:tcPr>
            <w:tcW w:w="612"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3 225</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4 105</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98"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r>
      <w:tr>
        <w:tblPrEx>
          <w:tblW w:w="4962" w:type="pct"/>
          <w:tblInd w:w="70" w:type="dxa"/>
          <w:tblCellMar>
            <w:left w:w="70" w:type="dxa"/>
            <w:right w:w="70" w:type="dxa"/>
          </w:tblCellMar>
          <w:tblLook w:val="00A0"/>
        </w:tblPrEx>
        <w:trPr>
          <w:trHeight w:val="270"/>
        </w:trPr>
        <w:tc>
          <w:tcPr>
            <w:tcW w:w="139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C931E2" w:rsidP="001E5B24">
            <w:pPr>
              <w:bidi w:val="0"/>
              <w:rPr>
                <w:rFonts w:ascii="Arial Narrow" w:hAnsi="Arial Narrow" w:cs="Arial Narrow"/>
                <w:sz w:val="16"/>
                <w:szCs w:val="16"/>
              </w:rPr>
            </w:pPr>
            <w:r>
              <w:rPr>
                <w:rFonts w:ascii="Arial Narrow" w:hAnsi="Arial Narrow" w:cs="Arial Narrow"/>
                <w:sz w:val="16"/>
                <w:szCs w:val="16"/>
              </w:rPr>
              <w:t>iné zdroje*</w:t>
            </w:r>
          </w:p>
        </w:tc>
        <w:tc>
          <w:tcPr>
            <w:tcW w:w="612"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268</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3</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r>
              <w:rPr>
                <w:rFonts w:ascii="Arial Narrow" w:hAnsi="Arial Narrow" w:cs="Arial Narrow"/>
                <w:color w:val="000000"/>
                <w:sz w:val="16"/>
                <w:szCs w:val="16"/>
              </w:rPr>
              <w:t>0</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37</w:t>
            </w:r>
          </w:p>
        </w:tc>
        <w:tc>
          <w:tcPr>
            <w:tcW w:w="599"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r>
              <w:rPr>
                <w:rFonts w:ascii="Arial Narrow" w:hAnsi="Arial Narrow" w:cs="Arial Narrow"/>
                <w:color w:val="000000"/>
                <w:sz w:val="16"/>
                <w:szCs w:val="16"/>
              </w:rPr>
              <w:t>0</w:t>
            </w:r>
          </w:p>
        </w:tc>
        <w:tc>
          <w:tcPr>
            <w:tcW w:w="598" w:type="pct"/>
            <w:tcBorders>
              <w:top w:val="single" w:sz="4" w:space="0" w:color="auto"/>
              <w:left w:val="single" w:sz="4" w:space="0" w:color="auto"/>
              <w:bottom w:val="single" w:sz="4" w:space="0" w:color="auto"/>
              <w:right w:val="single" w:sz="4" w:space="0" w:color="auto"/>
            </w:tcBorders>
            <w:textDirection w:val="lrTb"/>
            <w:vAlign w:val="bottom"/>
          </w:tcPr>
          <w:p w:rsidR="001E5B24" w:rsidRPr="00C931E2" w:rsidP="001E5B24">
            <w:pPr>
              <w:bidi w:val="0"/>
              <w:jc w:val="right"/>
              <w:rPr>
                <w:rFonts w:ascii="Arial Narrow" w:hAnsi="Arial Narrow" w:cs="Arial Narrow"/>
                <w:color w:val="000000"/>
                <w:sz w:val="16"/>
                <w:szCs w:val="16"/>
              </w:rPr>
            </w:pPr>
            <w:r w:rsidRPr="00C931E2">
              <w:rPr>
                <w:rFonts w:ascii="Arial Narrow" w:hAnsi="Arial Narrow" w:cs="Arial Narrow"/>
                <w:color w:val="000000"/>
                <w:sz w:val="16"/>
                <w:szCs w:val="16"/>
              </w:rPr>
              <w:t> </w:t>
            </w:r>
            <w:r>
              <w:rPr>
                <w:rFonts w:ascii="Arial Narrow" w:hAnsi="Arial Narrow" w:cs="Arial Narrow"/>
                <w:color w:val="000000"/>
                <w:sz w:val="16"/>
                <w:szCs w:val="16"/>
              </w:rPr>
              <w:t>0</w:t>
            </w:r>
          </w:p>
        </w:tc>
      </w:tr>
    </w:tbl>
    <w:p w:rsidR="001E5B24" w:rsidRPr="00C931E2" w:rsidP="001E5B24">
      <w:pPr>
        <w:bidi w:val="0"/>
        <w:jc w:val="both"/>
        <w:rPr>
          <w:rFonts w:ascii="Arial Narrow" w:hAnsi="Arial Narrow" w:cs="Arial Narrow"/>
          <w:sz w:val="16"/>
          <w:szCs w:val="16"/>
        </w:rPr>
      </w:pPr>
      <w:r w:rsidRPr="00C931E2">
        <w:rPr>
          <w:rFonts w:ascii="Arial Narrow" w:hAnsi="Arial Narrow" w:cs="Arial Narrow"/>
          <w:sz w:val="16"/>
          <w:szCs w:val="16"/>
        </w:rPr>
        <w:t>*2008 – 06G – Ľudské zdroje, 2009 – 06G – Ľudské zdroje, 2011 - Nórsky finančný mechanizmus</w:t>
      </w:r>
    </w:p>
    <w:p w:rsidR="001E5B24" w:rsidRPr="00AF0E2D" w:rsidP="001E5B24">
      <w:pPr>
        <w:bidi w:val="0"/>
        <w:jc w:val="both"/>
        <w:rPr>
          <w:rFonts w:ascii="Arial Narrow" w:hAnsi="Arial Narrow" w:cs="Arial Narrow"/>
          <w:sz w:val="20"/>
          <w:szCs w:val="20"/>
        </w:rPr>
      </w:pPr>
    </w:p>
    <w:p w:rsidR="001E5B24" w:rsidP="001E5B24">
      <w:pPr>
        <w:bidi w:val="0"/>
        <w:ind w:firstLine="708"/>
        <w:jc w:val="both"/>
        <w:rPr>
          <w:rFonts w:ascii="Arial Narrow" w:hAnsi="Arial Narrow" w:cs="Arial Narrow"/>
          <w:sz w:val="22"/>
          <w:szCs w:val="22"/>
        </w:rPr>
      </w:pPr>
      <w:r w:rsidRPr="00C46DED">
        <w:rPr>
          <w:rFonts w:ascii="Arial Narrow" w:hAnsi="Arial Narrow" w:cs="Arial Narrow"/>
          <w:sz w:val="22"/>
          <w:szCs w:val="22"/>
        </w:rPr>
        <w:t>V roku 2011 dochádza k rastu celkových výdavkov oproti schválenému rozpočtu roku 2010 o</w:t>
      </w:r>
      <w:r>
        <w:rPr>
          <w:rFonts w:ascii="Arial Narrow" w:hAnsi="Arial Narrow" w:cs="Arial Narrow"/>
          <w:sz w:val="22"/>
          <w:szCs w:val="22"/>
        </w:rPr>
        <w:t> 18,6</w:t>
      </w:r>
      <w:r w:rsidRPr="00C46DED">
        <w:rPr>
          <w:rFonts w:ascii="Arial Narrow" w:hAnsi="Arial Narrow" w:cs="Arial Narrow"/>
          <w:sz w:val="22"/>
          <w:szCs w:val="22"/>
        </w:rPr>
        <w:t xml:space="preserve"> mil. eur, čo predstavuje </w:t>
      </w:r>
      <w:r>
        <w:rPr>
          <w:rFonts w:ascii="Arial Narrow" w:hAnsi="Arial Narrow" w:cs="Arial Narrow"/>
          <w:sz w:val="22"/>
          <w:szCs w:val="22"/>
        </w:rPr>
        <w:t>nárast o 6,88 %. Výška schváleného rozpočtu pre rok 2010 však v oblasti prevádzkových výdavkov nepokrývala zákonné nároky na odmeny pre znalcov, advokátov, notárov, svedkov, tlmočníkov a prekladateľov, čím vznikal v rezorte dlh spôsobený neuhrádzaním faktúr za uvedené služby. Schválený rozpočet taktiež nereflektoval potreby v oblasti osobitného účtu a úhrad záväzkov kapitoly z titulu odškodňovania fyzických osôb z platných zákonov, preto v roku 2010 bol upravený rozpočet o sumu 28 mil. eur.</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Oproti upravenému rozpočtu roku 2010 celkové výdavky v roku 2011 klesajú o 3,55%, čo je spôsobené predovšetkým čiastočným krytím zníženia osobných výdavkov príslušníkov Zboru väzenskej a justičnej stráže SR (ďalej len „ZVJS“) v sume 6,35 mil. eur, čiastočným krytím zníženia osobných výdavkov civilných zamestnancov, pokrytím prevádzkových výdavkov pre oblasť väzenstva a súdnictva v sume 22,6 mil. eur a zákonných nárokov v oblasti odškodňovania v sume 3,70 mil. eur, ako aj pokrytím deficitu osobitného účtu ZVJS v sume 8,27 mil. eur.</w:t>
      </w:r>
    </w:p>
    <w:p w:rsidR="001E5B24" w:rsidP="001E5B24">
      <w:pPr>
        <w:bidi w:val="0"/>
        <w:ind w:firstLine="708"/>
        <w:jc w:val="both"/>
        <w:rPr>
          <w:rFonts w:ascii="Arial Narrow" w:hAnsi="Arial Narrow" w:cs="Arial Narrow"/>
          <w:sz w:val="22"/>
          <w:szCs w:val="22"/>
        </w:rPr>
      </w:pPr>
    </w:p>
    <w:p w:rsidR="001E5B24" w:rsidRPr="007A180B" w:rsidP="001E5B24">
      <w:pPr>
        <w:bidi w:val="0"/>
        <w:ind w:firstLine="708"/>
        <w:jc w:val="both"/>
        <w:rPr>
          <w:rFonts w:ascii="Arial Narrow" w:hAnsi="Arial Narrow" w:cs="Arial Narrow"/>
          <w:sz w:val="22"/>
          <w:szCs w:val="22"/>
        </w:rPr>
      </w:pPr>
      <w:r w:rsidRPr="007A180B">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7A180B">
        <w:rPr>
          <w:rFonts w:ascii="Arial Narrow" w:hAnsi="Arial Narrow" w:cs="Arial Narrow"/>
          <w:sz w:val="22"/>
          <w:szCs w:val="22"/>
        </w:rPr>
        <w:t xml:space="preserve"> rok 2011 rozpočtuje na úrovni 204 mil. eur, čo v porovnaní so schváleným </w:t>
      </w:r>
      <w:r>
        <w:rPr>
          <w:rFonts w:ascii="Arial Narrow" w:hAnsi="Arial Narrow" w:cs="Arial Narrow"/>
          <w:sz w:val="22"/>
          <w:szCs w:val="22"/>
        </w:rPr>
        <w:t>rozpočtom na rok</w:t>
      </w:r>
      <w:r w:rsidRPr="007A180B">
        <w:rPr>
          <w:rFonts w:ascii="Arial Narrow" w:hAnsi="Arial Narrow" w:cs="Arial Narrow"/>
          <w:sz w:val="22"/>
          <w:szCs w:val="22"/>
        </w:rPr>
        <w:t xml:space="preserve"> 2010 predstavuje pokles o 4,4 % (9,4 mil. eur). Medziročný pokles osobných výdavkov je ovplyvnený znížením o 1 miesto štátneho tajomníka, dopočtom 1% valorizácie z roku 2010 pre všetkých zamestnancov, s výnimkou sudcov kde nárast platov bol dopočítaný vo výške 2,95 %, viazaním osobných výdavkov na úrovni 6 % </w:t>
      </w:r>
      <w:r w:rsidR="00475F5B">
        <w:rPr>
          <w:rFonts w:ascii="Arial Narrow" w:hAnsi="Arial Narrow" w:cs="Arial Narrow"/>
          <w:sz w:val="22"/>
          <w:szCs w:val="22"/>
        </w:rPr>
        <w:t>pre</w:t>
      </w:r>
      <w:r w:rsidRPr="007A180B">
        <w:rPr>
          <w:rFonts w:ascii="Arial Narrow" w:hAnsi="Arial Narrow" w:cs="Arial Narrow"/>
          <w:sz w:val="22"/>
          <w:szCs w:val="22"/>
        </w:rPr>
        <w:t xml:space="preserve"> štátnych zamestnancov, zamestnancov pri výkone práce vo verejnom záujme (dopočet do 10% zníženia predstavuje 2,2 mil. eur) a viazaním na úrovni 3 % </w:t>
      </w:r>
      <w:r w:rsidR="00475F5B">
        <w:rPr>
          <w:rFonts w:ascii="Arial Narrow" w:hAnsi="Arial Narrow" w:cs="Arial Narrow"/>
          <w:sz w:val="22"/>
          <w:szCs w:val="22"/>
        </w:rPr>
        <w:t>pre</w:t>
      </w:r>
      <w:r w:rsidRPr="007A180B">
        <w:rPr>
          <w:rFonts w:ascii="Arial Narrow" w:hAnsi="Arial Narrow" w:cs="Arial Narrow"/>
          <w:sz w:val="22"/>
          <w:szCs w:val="22"/>
        </w:rPr>
        <w:t xml:space="preserve"> príslušníkov Z</w:t>
      </w:r>
      <w:r>
        <w:rPr>
          <w:rFonts w:ascii="Arial Narrow" w:hAnsi="Arial Narrow" w:cs="Arial Narrow"/>
          <w:sz w:val="22"/>
          <w:szCs w:val="22"/>
        </w:rPr>
        <w:t>boru väzenskej a justičnej stráže</w:t>
      </w:r>
      <w:r w:rsidRPr="007A180B">
        <w:rPr>
          <w:rFonts w:ascii="Arial Narrow" w:hAnsi="Arial Narrow" w:cs="Arial Narrow"/>
          <w:sz w:val="22"/>
          <w:szCs w:val="22"/>
        </w:rPr>
        <w:t>. Kapitola si zároveň rozpísala vyššie poistné v sume 149 tis. eur.</w:t>
      </w:r>
    </w:p>
    <w:p w:rsidR="001E5B24" w:rsidRPr="00936BAF" w:rsidP="001E5B24">
      <w:pPr>
        <w:bidi w:val="0"/>
        <w:rPr>
          <w:rFonts w:ascii="Arial Narrow" w:hAnsi="Arial Narrow" w:cs="Arial Narrow"/>
          <w:sz w:val="22"/>
          <w:szCs w:val="22"/>
        </w:rPr>
      </w:pPr>
    </w:p>
    <w:p w:rsidR="001E5B24" w:rsidRPr="00FD1781" w:rsidP="001E5B24">
      <w:pPr>
        <w:bidi w:val="0"/>
        <w:ind w:firstLine="708"/>
        <w:jc w:val="both"/>
        <w:rPr>
          <w:rFonts w:ascii="Arial Narrow" w:hAnsi="Arial Narrow" w:cs="Arial Narrow"/>
          <w:sz w:val="22"/>
          <w:szCs w:val="22"/>
        </w:rPr>
      </w:pPr>
      <w:r w:rsidRPr="007A180B">
        <w:rPr>
          <w:rFonts w:ascii="Arial Narrow" w:hAnsi="Arial Narrow" w:cs="Arial Narrow"/>
          <w:sz w:val="22"/>
          <w:szCs w:val="22"/>
        </w:rPr>
        <w:t>Za predpokladu, že by sa pristúpilo k 10 % zníženiu osobných výdavkov pre civilných zamestnancov aj príslušníkov ZVJS a nedošlo by k zvýšeniu poistného kapitolou v sume 149 tis. eur, pokles osobných výdavkov na rok 2011 v porovnaní so schváleným rozpočtom na rok 2010 by predstavoval 8,48 %. Uvedený pokles ovplyvnilo zvýšenie platov ústavných činiteľov v sume 1,87 mil. eur (2,95%), čo zodpovedá úrovni priemerného platu sudcu na rok 2010.</w:t>
      </w:r>
    </w:p>
    <w:p w:rsidR="001E5B24" w:rsidRPr="00FD1781" w:rsidP="001E5B24">
      <w:pPr>
        <w:bidi w:val="0"/>
        <w:jc w:val="both"/>
        <w:rPr>
          <w:rFonts w:ascii="Arial Narrow" w:hAnsi="Arial Narrow" w:cs="Arial Narrow"/>
          <w:sz w:val="22"/>
          <w:szCs w:val="22"/>
        </w:rPr>
      </w:pPr>
    </w:p>
    <w:p w:rsidR="001E5B24" w:rsidRPr="00FD1781" w:rsidP="001E5B24">
      <w:pPr>
        <w:bidi w:val="0"/>
        <w:jc w:val="both"/>
        <w:rPr>
          <w:rFonts w:ascii="Arial Narrow" w:hAnsi="Arial Narrow" w:cs="Arial Narrow"/>
          <w:sz w:val="22"/>
          <w:szCs w:val="22"/>
        </w:rPr>
      </w:pPr>
      <w:r w:rsidRPr="00FD1781">
        <w:rPr>
          <w:rFonts w:ascii="Arial Narrow" w:hAnsi="Arial Narrow" w:cs="Arial Narrow"/>
          <w:sz w:val="22"/>
          <w:szCs w:val="22"/>
        </w:rPr>
        <w:tab/>
        <w:t xml:space="preserve">Výdavky na tovary a služby rozpočtované </w:t>
      </w:r>
      <w:r w:rsidR="00475F5B">
        <w:rPr>
          <w:rFonts w:ascii="Arial Narrow" w:hAnsi="Arial Narrow" w:cs="Arial Narrow"/>
          <w:sz w:val="22"/>
          <w:szCs w:val="22"/>
        </w:rPr>
        <w:t>na</w:t>
      </w:r>
      <w:r w:rsidRPr="00FD1781">
        <w:rPr>
          <w:rFonts w:ascii="Arial Narrow" w:hAnsi="Arial Narrow" w:cs="Arial Narrow"/>
          <w:sz w:val="22"/>
          <w:szCs w:val="22"/>
        </w:rPr>
        <w:t xml:space="preserve"> rok 2011 oproti schválenému rozpočtu roka 2010 rastú o 36,5%. Skutočné výdavky na financovanie prevádzkových potrieb kapitoly sa v rokoch 2008 a 2009 pohybovali na úrovni 60 mil. eur. V schválenom rozpočte roka 2010 boli prevádzkové výdavky rozpočtované v sume 48,7 mil. eur, čiže boli značne poddimenzované, čo spôsobilo rast záväzkov kapitoly po lehote splatnosti z dôvodu neplatenia faktúr za dodané služby. Úpravou schváleného rozpočtu na rok 2010 prostredníctvom zvýšenia limitu kapitoly na ich reálnu úroveň ich objem dosiahol 66,2 mil. eur. Návrh rozpočtu na rok  2011 v sume 66,5 mil. eur zohľadňuje nevyhnutné potreby na strane prevádzkových výdavkov kapitoly, pričom zohľadňuje rast úrovne prevádzkových výdavkov väzenstva o 16,6% z dôvodu rastu počtov odsúdených a obvinených, pokles  výdavkov súdnictva o 12,2% pri zabezpečení úhrad zákonných nárokov na odmeny pre znalcov, advokátov, notárov, </w:t>
      </w:r>
      <w:r>
        <w:rPr>
          <w:rFonts w:ascii="Arial Narrow" w:hAnsi="Arial Narrow" w:cs="Arial Narrow"/>
          <w:sz w:val="22"/>
          <w:szCs w:val="22"/>
        </w:rPr>
        <w:t xml:space="preserve">exekútorov, </w:t>
      </w:r>
      <w:r w:rsidRPr="00FD1781">
        <w:rPr>
          <w:rFonts w:ascii="Arial Narrow" w:hAnsi="Arial Narrow" w:cs="Arial Narrow"/>
          <w:sz w:val="22"/>
          <w:szCs w:val="22"/>
        </w:rPr>
        <w:t xml:space="preserve">svedkov, tlmočníkov a prekladateľov a prevádzky súdov, ako aj pokles výdavkov v administratíve rezortu o 5,4%. Celkovo dochádza k rastu prevádzkových výdavkov </w:t>
      </w:r>
      <w:r w:rsidR="00475F5B">
        <w:rPr>
          <w:rFonts w:ascii="Arial Narrow" w:hAnsi="Arial Narrow" w:cs="Arial Narrow"/>
          <w:sz w:val="22"/>
          <w:szCs w:val="22"/>
        </w:rPr>
        <w:t>na</w:t>
      </w:r>
      <w:r w:rsidRPr="00FD1781">
        <w:rPr>
          <w:rFonts w:ascii="Arial Narrow" w:hAnsi="Arial Narrow" w:cs="Arial Narrow"/>
          <w:sz w:val="22"/>
          <w:szCs w:val="22"/>
        </w:rPr>
        <w:t xml:space="preserve"> rok 2011 oproti upravenému rozpočtu roka 2010 o 255 tis. eur, čo predstavuje 0,38%.</w:t>
      </w:r>
    </w:p>
    <w:p w:rsidR="001E5B24" w:rsidRPr="00FD1781" w:rsidP="001E5B24">
      <w:pPr>
        <w:bidi w:val="0"/>
        <w:jc w:val="both"/>
        <w:rPr>
          <w:rFonts w:ascii="Arial Narrow" w:hAnsi="Arial Narrow" w:cs="Arial Narrow"/>
          <w:sz w:val="22"/>
          <w:szCs w:val="22"/>
        </w:rPr>
      </w:pPr>
    </w:p>
    <w:p w:rsidR="001E5B24" w:rsidRPr="00D838D5" w:rsidP="001E5B24">
      <w:pPr>
        <w:bidi w:val="0"/>
        <w:jc w:val="both"/>
        <w:rPr>
          <w:rFonts w:ascii="Arial Narrow" w:hAnsi="Arial Narrow" w:cs="Arial Narrow"/>
          <w:sz w:val="22"/>
          <w:szCs w:val="22"/>
        </w:rPr>
      </w:pPr>
      <w:r w:rsidRPr="00FD1781">
        <w:rPr>
          <w:rFonts w:ascii="Arial Narrow" w:hAnsi="Arial Narrow" w:cs="Arial Narrow"/>
          <w:sz w:val="22"/>
          <w:szCs w:val="22"/>
        </w:rPr>
        <w:tab/>
        <w:t xml:space="preserve">Bežné transfery kapitoly </w:t>
      </w:r>
      <w:r w:rsidR="00475F5B">
        <w:rPr>
          <w:rFonts w:ascii="Arial Narrow" w:hAnsi="Arial Narrow" w:cs="Arial Narrow"/>
          <w:sz w:val="22"/>
          <w:szCs w:val="22"/>
        </w:rPr>
        <w:t>na</w:t>
      </w:r>
      <w:r w:rsidRPr="00FD1781">
        <w:rPr>
          <w:rFonts w:ascii="Arial Narrow" w:hAnsi="Arial Narrow" w:cs="Arial Narrow"/>
          <w:sz w:val="22"/>
          <w:szCs w:val="22"/>
        </w:rPr>
        <w:t xml:space="preserve"> rok 2011 síce oproti schválenému rozpočtu roka 2010 rastú takmer dvojnásobne, ale oproti upravenému rozpočtu roka 2010 klesajú o 15,3% pri plnom pokrytí potrieb osobitného</w:t>
      </w:r>
      <w:r>
        <w:rPr>
          <w:rFonts w:ascii="Arial Narrow" w:hAnsi="Arial Narrow" w:cs="Arial Narrow"/>
          <w:sz w:val="22"/>
          <w:szCs w:val="22"/>
        </w:rPr>
        <w:t xml:space="preserve"> účtu, ako aj zákonných nárokov sudcov a predpokladaných nárokov z titulu odškodňovania.</w:t>
      </w:r>
    </w:p>
    <w:p w:rsidR="001E5B24" w:rsidRPr="00D838D5" w:rsidP="001E5B24">
      <w:pPr>
        <w:bidi w:val="0"/>
        <w:jc w:val="both"/>
        <w:rPr>
          <w:rFonts w:ascii="Arial Narrow" w:hAnsi="Arial Narrow" w:cs="Arial Narrow"/>
          <w:sz w:val="22"/>
          <w:szCs w:val="22"/>
        </w:rPr>
      </w:pPr>
    </w:p>
    <w:p w:rsidR="001E5B24" w:rsidRPr="00936BAF" w:rsidP="001E5B24">
      <w:pPr>
        <w:bidi w:val="0"/>
        <w:ind w:firstLine="708"/>
        <w:jc w:val="both"/>
        <w:rPr>
          <w:rFonts w:ascii="Arial Narrow" w:hAnsi="Arial Narrow" w:cs="Arial Narrow"/>
          <w:sz w:val="22"/>
          <w:szCs w:val="22"/>
        </w:rPr>
      </w:pPr>
      <w:r w:rsidRPr="00D838D5">
        <w:rPr>
          <w:rFonts w:ascii="Arial Narrow" w:hAnsi="Arial Narrow" w:cs="Arial Narrow"/>
          <w:sz w:val="22"/>
          <w:szCs w:val="22"/>
        </w:rPr>
        <w:t>Kapitálové výdavky na rok 2011 sú približne</w:t>
      </w:r>
      <w:r w:rsidRPr="00936BAF">
        <w:rPr>
          <w:rFonts w:ascii="Arial Narrow" w:hAnsi="Arial Narrow" w:cs="Arial Narrow"/>
          <w:sz w:val="22"/>
          <w:szCs w:val="22"/>
        </w:rPr>
        <w:t xml:space="preserve"> na rovnakej medziročnej úrovni. Oproti schválenému rozpočtu na rok 2010 kapitola pristúpila k zmenám vo vnútornom členení kapitálových výdavkov, čím dochádza k ich poklesu vo väzenstve a k rastu kapitálových výdavkov v súdnictve, určených na rozvoj informačných technológií z titulu prispôsobenia sa k legislatíve EÚ a z dôvodu dokončenia rozostavanosti stavieb súdov a v administratíve určených na nevyhnutnú rekonštrukciu strechy administratívnej budovy </w:t>
      </w:r>
      <w:r>
        <w:rPr>
          <w:rFonts w:ascii="Arial Narrow" w:hAnsi="Arial Narrow" w:cs="Arial Narrow"/>
          <w:sz w:val="22"/>
          <w:szCs w:val="22"/>
        </w:rPr>
        <w:t>ministerstva</w:t>
      </w:r>
      <w:r w:rsidRPr="00936BAF">
        <w:rPr>
          <w:rFonts w:ascii="Arial Narrow" w:hAnsi="Arial Narrow" w:cs="Arial Narrow"/>
          <w:sz w:val="22"/>
          <w:szCs w:val="22"/>
        </w:rPr>
        <w:t>.</w:t>
      </w:r>
    </w:p>
    <w:p w:rsidR="001E5B24" w:rsidP="001E5B24">
      <w:pPr>
        <w:bidi w:val="0"/>
        <w:rPr>
          <w:rFonts w:ascii="Arial Narrow" w:hAnsi="Arial Narrow" w:cs="Arial Narrow"/>
          <w:b/>
          <w:bCs/>
          <w:sz w:val="22"/>
          <w:szCs w:val="22"/>
        </w:rPr>
      </w:pPr>
    </w:p>
    <w:p w:rsidR="001E5B24" w:rsidRPr="0036344B" w:rsidP="001E5B24">
      <w:pPr>
        <w:bidi w:val="0"/>
        <w:ind w:firstLine="708"/>
        <w:rPr>
          <w:rFonts w:ascii="Arial Narrow" w:hAnsi="Arial Narrow" w:cs="Arial Narrow"/>
          <w:sz w:val="22"/>
          <w:szCs w:val="22"/>
        </w:rPr>
      </w:pPr>
      <w:r w:rsidRPr="0036344B">
        <w:rPr>
          <w:rFonts w:ascii="Arial Narrow" w:hAnsi="Arial Narrow" w:cs="Arial Narrow"/>
          <w:sz w:val="22"/>
          <w:szCs w:val="22"/>
        </w:rPr>
        <w:t>Výdavky kapitoly sú smerované do nasledujúcich oblastí:</w:t>
      </w:r>
    </w:p>
    <w:p w:rsidR="001E5B24" w:rsidRPr="00936BAF" w:rsidP="001E5B24">
      <w:pPr>
        <w:bidi w:val="0"/>
        <w:rPr>
          <w:rFonts w:ascii="Arial Narrow" w:hAnsi="Arial Narrow" w:cs="Arial Narrow"/>
          <w:b/>
          <w:bCs/>
          <w:sz w:val="22"/>
          <w:szCs w:val="22"/>
        </w:rPr>
      </w:pPr>
    </w:p>
    <w:p w:rsidR="001E5B24" w:rsidRPr="00C46DED" w:rsidP="001E5B24">
      <w:pPr>
        <w:bidi w:val="0"/>
        <w:rPr>
          <w:rFonts w:ascii="Arial Narrow" w:hAnsi="Arial Narrow" w:cs="Arial Narrow"/>
          <w:sz w:val="22"/>
          <w:szCs w:val="22"/>
        </w:rPr>
      </w:pPr>
      <w:r w:rsidR="00DB4442">
        <w:rPr>
          <w:rFonts w:ascii="Arial Narrow" w:hAnsi="Arial Narrow" w:cs="Arial Narrow"/>
          <w:sz w:val="22"/>
          <w:szCs w:val="22"/>
        </w:rPr>
        <w:br w:type="page"/>
      </w:r>
      <w:r w:rsidRPr="00C46DED">
        <w:rPr>
          <w:rFonts w:ascii="Arial Narrow" w:hAnsi="Arial Narrow" w:cs="Arial Narrow"/>
          <w:sz w:val="22"/>
          <w:szCs w:val="22"/>
        </w:rPr>
        <w:t>Súdnictvo</w:t>
      </w:r>
    </w:p>
    <w:p w:rsidR="001E5B24" w:rsidRPr="00AF0E2D" w:rsidP="001E5B24">
      <w:pPr>
        <w:bidi w:val="0"/>
        <w:rPr>
          <w:rFonts w:ascii="Arial Narrow" w:hAnsi="Arial Narrow" w:cs="Arial Narrow"/>
          <w:sz w:val="20"/>
          <w:szCs w:val="20"/>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417"/>
        <w:gridCol w:w="945"/>
        <w:gridCol w:w="945"/>
        <w:gridCol w:w="945"/>
        <w:gridCol w:w="945"/>
        <w:gridCol w:w="945"/>
        <w:gridCol w:w="945"/>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70"/>
        </w:trPr>
        <w:tc>
          <w:tcPr>
            <w:tcW w:w="341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rPr>
                <w:rFonts w:ascii="Arial Narrow" w:hAnsi="Arial Narrow" w:cs="Arial Narrow"/>
                <w:b/>
                <w:bCs/>
                <w:sz w:val="16"/>
                <w:szCs w:val="16"/>
              </w:rPr>
            </w:pPr>
            <w:r w:rsidRPr="00C46DED">
              <w:rPr>
                <w:rFonts w:ascii="Arial Narrow" w:hAnsi="Arial Narrow" w:cs="Arial Narrow"/>
                <w:b/>
                <w:bCs/>
                <w:sz w:val="16"/>
                <w:szCs w:val="16"/>
              </w:rPr>
              <w:t xml:space="preserve"> v tis. </w:t>
            </w:r>
            <w:r>
              <w:rPr>
                <w:rFonts w:ascii="Arial Narrow" w:hAnsi="Arial Narrow" w:cs="Arial Narrow"/>
                <w:b/>
                <w:bCs/>
                <w:sz w:val="16"/>
                <w:szCs w:val="16"/>
              </w:rPr>
              <w:t>e</w:t>
            </w:r>
            <w:r w:rsidRPr="00C46DED">
              <w:rPr>
                <w:rFonts w:ascii="Arial Narrow" w:hAnsi="Arial Narrow" w:cs="Arial Narrow"/>
                <w:b/>
                <w:bCs/>
                <w:sz w:val="16"/>
                <w:szCs w:val="16"/>
              </w:rPr>
              <w:t>ur</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2008</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2009</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2010</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2011</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2012</w:t>
            </w:r>
          </w:p>
        </w:tc>
        <w:tc>
          <w:tcPr>
            <w:tcW w:w="94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C46DED" w:rsidP="001E5B24">
            <w:pPr>
              <w:bidi w:val="0"/>
              <w:jc w:val="center"/>
              <w:rPr>
                <w:rFonts w:ascii="Arial Narrow" w:hAnsi="Arial Narrow" w:cs="Arial Narrow"/>
                <w:b/>
                <w:bCs/>
                <w:sz w:val="16"/>
                <w:szCs w:val="16"/>
              </w:rPr>
            </w:pPr>
            <w:r w:rsidRPr="00C46DED">
              <w:rPr>
                <w:rFonts w:ascii="Arial Narrow" w:hAnsi="Arial Narrow" w:cs="Arial Narrow"/>
                <w:b/>
                <w:bCs/>
                <w:sz w:val="16"/>
                <w:szCs w:val="16"/>
              </w:rPr>
              <w:t>2013</w:t>
            </w:r>
          </w:p>
        </w:tc>
      </w:tr>
      <w:tr>
        <w:tblPrEx>
          <w:tblW w:w="9087" w:type="dxa"/>
          <w:tblInd w:w="55" w:type="dxa"/>
          <w:tblLayout w:type="fixed"/>
          <w:tblCellMar>
            <w:left w:w="70" w:type="dxa"/>
            <w:right w:w="70" w:type="dxa"/>
          </w:tblCellMar>
          <w:tblLook w:val="00A0"/>
        </w:tblPrEx>
        <w:trPr>
          <w:trHeight w:val="270"/>
        </w:trPr>
        <w:tc>
          <w:tcPr>
            <w:tcW w:w="3417"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46B4B" w:rsidP="001E5B24">
            <w:pPr>
              <w:bidi w:val="0"/>
              <w:rPr>
                <w:rFonts w:ascii="Arial Narrow" w:hAnsi="Arial Narrow" w:cs="Arial Narrow"/>
                <w:b/>
                <w:bCs/>
                <w:sz w:val="16"/>
                <w:szCs w:val="16"/>
              </w:rPr>
            </w:pPr>
            <w:r w:rsidRPr="00646B4B">
              <w:rPr>
                <w:rFonts w:ascii="Arial Narrow" w:hAnsi="Arial Narrow" w:cs="Arial Narrow"/>
                <w:b/>
                <w:bCs/>
                <w:sz w:val="16"/>
                <w:szCs w:val="16"/>
              </w:rPr>
              <w:t>Súdnictvo rezortu spravodlivosti, z toho:</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133 349</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141 039</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132 981</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141 903</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138 217</w:t>
            </w:r>
          </w:p>
        </w:tc>
        <w:tc>
          <w:tcPr>
            <w:tcW w:w="94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46B4B" w:rsidP="001E5B24">
            <w:pPr>
              <w:bidi w:val="0"/>
              <w:jc w:val="right"/>
              <w:rPr>
                <w:rFonts w:ascii="Arial Narrow" w:hAnsi="Arial Narrow" w:cs="Arial Narrow"/>
                <w:b/>
                <w:bCs/>
                <w:sz w:val="16"/>
                <w:szCs w:val="16"/>
              </w:rPr>
            </w:pPr>
            <w:r w:rsidRPr="00646B4B">
              <w:rPr>
                <w:rFonts w:ascii="Arial Narrow" w:hAnsi="Arial Narrow" w:cs="Arial Narrow"/>
                <w:b/>
                <w:bCs/>
                <w:sz w:val="16"/>
                <w:szCs w:val="16"/>
              </w:rPr>
              <w:t>138 537</w:t>
            </w:r>
          </w:p>
        </w:tc>
      </w:tr>
      <w:tr>
        <w:tblPrEx>
          <w:tblW w:w="9087" w:type="dxa"/>
          <w:tblInd w:w="55" w:type="dxa"/>
          <w:tblLayout w:type="fixed"/>
          <w:tblCellMar>
            <w:left w:w="70" w:type="dxa"/>
            <w:right w:w="70" w:type="dxa"/>
          </w:tblCellMar>
          <w:tblLook w:val="00A0"/>
        </w:tblPrEx>
        <w:trPr>
          <w:trHeight w:val="270"/>
        </w:trPr>
        <w:tc>
          <w:tcPr>
            <w:tcW w:w="3417" w:type="dxa"/>
            <w:tcBorders>
              <w:top w:val="single" w:sz="4" w:space="0" w:color="auto"/>
              <w:left w:val="single" w:sz="4" w:space="0" w:color="auto"/>
              <w:bottom w:val="single" w:sz="4" w:space="0" w:color="auto"/>
              <w:right w:val="single" w:sz="4" w:space="0" w:color="auto"/>
            </w:tcBorders>
            <w:textDirection w:val="lrTb"/>
            <w:vAlign w:val="bottom"/>
          </w:tcPr>
          <w:p w:rsidR="001E5B24" w:rsidRPr="00EE042D" w:rsidP="001E5B24">
            <w:pPr>
              <w:bidi w:val="0"/>
              <w:rPr>
                <w:rFonts w:ascii="Arial Narrow" w:hAnsi="Arial Narrow" w:cs="Arial Narrow"/>
                <w:sz w:val="16"/>
                <w:szCs w:val="16"/>
              </w:rPr>
            </w:pPr>
            <w:r>
              <w:rPr>
                <w:rFonts w:ascii="Arial Narrow" w:hAnsi="Arial Narrow" w:cs="Arial Narrow"/>
                <w:sz w:val="16"/>
                <w:szCs w:val="16"/>
              </w:rPr>
              <w:t>náklady na súdne konanie*</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3 856</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3 135</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280</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8 423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8 423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8 423</w:t>
            </w:r>
          </w:p>
        </w:tc>
      </w:tr>
      <w:tr>
        <w:tblPrEx>
          <w:tblW w:w="9087" w:type="dxa"/>
          <w:tblInd w:w="55" w:type="dxa"/>
          <w:tblLayout w:type="fixed"/>
          <w:tblCellMar>
            <w:left w:w="70" w:type="dxa"/>
            <w:right w:w="70" w:type="dxa"/>
          </w:tblCellMar>
          <w:tblLook w:val="00A0"/>
        </w:tblPrEx>
        <w:trPr>
          <w:trHeight w:val="270"/>
        </w:trPr>
        <w:tc>
          <w:tcPr>
            <w:tcW w:w="3417" w:type="dxa"/>
            <w:tcBorders>
              <w:top w:val="single" w:sz="4" w:space="0" w:color="auto"/>
              <w:left w:val="single" w:sz="4" w:space="0" w:color="auto"/>
              <w:bottom w:val="single" w:sz="4" w:space="0" w:color="auto"/>
              <w:right w:val="single" w:sz="4" w:space="0" w:color="auto"/>
            </w:tcBorders>
            <w:textDirection w:val="lrTb"/>
            <w:vAlign w:val="bottom"/>
          </w:tcPr>
          <w:p w:rsidR="001E5B24" w:rsidRPr="00EE042D" w:rsidP="001E5B24">
            <w:pPr>
              <w:bidi w:val="0"/>
              <w:rPr>
                <w:rFonts w:ascii="Arial Narrow" w:hAnsi="Arial Narrow" w:cs="Arial Narrow"/>
                <w:sz w:val="16"/>
                <w:szCs w:val="16"/>
              </w:rPr>
            </w:pPr>
            <w:r w:rsidRPr="00EE042D">
              <w:rPr>
                <w:rFonts w:ascii="Arial Narrow" w:hAnsi="Arial Narrow" w:cs="Arial Narrow"/>
                <w:sz w:val="16"/>
                <w:szCs w:val="16"/>
              </w:rPr>
              <w:t>ostatné výdavky súdnictva</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129 493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137 904</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132 701</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133 480</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129 794</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P="001E5B24">
            <w:pPr>
              <w:bidi w:val="0"/>
              <w:jc w:val="right"/>
              <w:rPr>
                <w:rFonts w:ascii="Arial Narrow" w:hAnsi="Arial Narrow"/>
                <w:color w:val="000000"/>
                <w:sz w:val="16"/>
                <w:szCs w:val="16"/>
              </w:rPr>
            </w:pPr>
            <w:r>
              <w:rPr>
                <w:rFonts w:ascii="Arial Narrow" w:hAnsi="Arial Narrow"/>
                <w:color w:val="000000"/>
                <w:sz w:val="16"/>
                <w:szCs w:val="16"/>
              </w:rPr>
              <w:t>130 114</w:t>
            </w:r>
          </w:p>
        </w:tc>
      </w:tr>
    </w:tbl>
    <w:p w:rsidR="001E5B24" w:rsidRPr="005F3D29" w:rsidP="001E5B24">
      <w:pPr>
        <w:bidi w:val="0"/>
        <w:jc w:val="both"/>
        <w:rPr>
          <w:rFonts w:ascii="Arial Narrow" w:hAnsi="Arial Narrow" w:cs="Arial Narrow"/>
          <w:sz w:val="16"/>
          <w:szCs w:val="16"/>
        </w:rPr>
      </w:pPr>
      <w:r w:rsidRPr="005F3D29">
        <w:rPr>
          <w:rFonts w:ascii="Arial Narrow" w:hAnsi="Arial Narrow" w:cs="Arial Narrow"/>
          <w:sz w:val="16"/>
          <w:szCs w:val="16"/>
        </w:rPr>
        <w:t>*Výdavky na odmeny pre znalcov, advokátov, notárov, exekútorov, svedkov, tlmočníkov a prekladateľov</w:t>
      </w:r>
    </w:p>
    <w:p w:rsidR="001E5B24" w:rsidRPr="00AF0E2D" w:rsidP="001E5B24">
      <w:pPr>
        <w:bidi w:val="0"/>
        <w:jc w:val="both"/>
        <w:rPr>
          <w:rFonts w:ascii="Arial Narrow" w:hAnsi="Arial Narrow" w:cs="Arial Narrow"/>
          <w:sz w:val="20"/>
          <w:szCs w:val="20"/>
        </w:rPr>
      </w:pPr>
    </w:p>
    <w:p w:rsidR="001E5B24" w:rsidP="001E5B24">
      <w:pPr>
        <w:bidi w:val="0"/>
        <w:ind w:firstLine="708"/>
        <w:jc w:val="both"/>
        <w:rPr>
          <w:rFonts w:ascii="Arial Narrow" w:hAnsi="Arial Narrow" w:cs="Arial Narrow"/>
          <w:sz w:val="22"/>
          <w:szCs w:val="22"/>
        </w:rPr>
      </w:pPr>
      <w:r w:rsidRPr="00936BAF">
        <w:rPr>
          <w:rFonts w:ascii="Arial Narrow" w:hAnsi="Arial Narrow" w:cs="Arial Narrow"/>
          <w:sz w:val="22"/>
          <w:szCs w:val="22"/>
        </w:rPr>
        <w:t xml:space="preserve">Pre </w:t>
      </w:r>
      <w:r w:rsidRPr="00C46DED">
        <w:rPr>
          <w:rFonts w:ascii="Arial Narrow" w:hAnsi="Arial Narrow" w:cs="Arial Narrow"/>
          <w:sz w:val="22"/>
          <w:szCs w:val="22"/>
        </w:rPr>
        <w:t>súdnictvo v rámci rezortu spravodlivosti</w:t>
      </w:r>
      <w:r w:rsidRPr="00936BAF">
        <w:rPr>
          <w:rFonts w:ascii="Arial Narrow" w:hAnsi="Arial Narrow" w:cs="Arial Narrow"/>
          <w:sz w:val="22"/>
          <w:szCs w:val="22"/>
        </w:rPr>
        <w:t xml:space="preserve"> sa rozpočtujú na rok 2011 výdavky v sume 142 mil. eur, na personálne a materiálno–technické zabezpečenie činnosti súdov a na efektívny výkon okresných a krajských </w:t>
      </w:r>
      <w:r w:rsidRPr="00FD1781">
        <w:rPr>
          <w:rFonts w:ascii="Arial Narrow" w:hAnsi="Arial Narrow" w:cs="Arial Narrow"/>
          <w:sz w:val="22"/>
          <w:szCs w:val="22"/>
        </w:rPr>
        <w:t xml:space="preserve">súdov. V porovnaní so schváleným rozpočtom roka 2010 sa na súdnictvo v roku 2011 rozpočtujú výdavky vyššie o 6,71 %. O nedostatočnosti zdrojov v tejto oblasti svedčí aj to, že k 31. júlu 2010 evidovala kapitola záväzky z neuhradených platieb v celkovej sume 15,8 mil. eur.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Pri porovnaní</w:t>
      </w:r>
      <w:r w:rsidRPr="0021120F">
        <w:rPr>
          <w:rFonts w:ascii="Arial Narrow" w:hAnsi="Arial Narrow" w:cs="Arial Narrow"/>
          <w:sz w:val="22"/>
          <w:szCs w:val="22"/>
        </w:rPr>
        <w:t xml:space="preserve"> výdavkov roka 2011 voči porovnateľnej základni upraveného rozpočtu 2010, ktorá zabezpečuje úhrady zákonných nárokov </w:t>
      </w:r>
      <w:r>
        <w:rPr>
          <w:rFonts w:ascii="Arial Narrow" w:hAnsi="Arial Narrow" w:cs="Arial Narrow"/>
          <w:sz w:val="22"/>
          <w:szCs w:val="22"/>
        </w:rPr>
        <w:t xml:space="preserve">súvisiacich so súdnym konaním </w:t>
      </w:r>
      <w:r w:rsidRPr="0021120F">
        <w:rPr>
          <w:rFonts w:ascii="Arial Narrow" w:hAnsi="Arial Narrow" w:cs="Arial Narrow"/>
          <w:sz w:val="22"/>
          <w:szCs w:val="22"/>
        </w:rPr>
        <w:t>na odmeny pre znalcov, advokátov, notárov, svedkov, tlmočníkov a prekladateľov a nevyhnutné prevádzkové výdavky</w:t>
      </w:r>
      <w:r>
        <w:rPr>
          <w:rFonts w:ascii="Arial Narrow" w:hAnsi="Arial Narrow" w:cs="Arial Narrow"/>
          <w:sz w:val="22"/>
          <w:szCs w:val="22"/>
        </w:rPr>
        <w:t xml:space="preserve"> všeobecného súdnictva dochádza medziročne k poklesu prevádzkových výdavkov o 12,2%. Osobné výdavky klesajú oproti upravenému rozpočtu o 5,74% a bežné transfery rastú o 24% z dôvodu zabezpečenia zákonných nárokov sudcov. </w:t>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 minulosti prichádzalo k neustálemu podfinancovaniu výdavkových potrieb kapitoly v oblasti súdnictva.</w:t>
      </w:r>
    </w:p>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36344B">
        <w:rPr>
          <w:rFonts w:ascii="Arial Narrow" w:hAnsi="Arial Narrow" w:cs="Arial Narrow"/>
          <w:sz w:val="22"/>
          <w:szCs w:val="22"/>
        </w:rPr>
        <w:t>V rámci prípravy rozpočtu na roky 2011 až 2013 nebolo možné pristúpiť k systémovým zmenám v oblasti zákonných nárokov na odmeny pre znalcov, advokátov, notárov, svedkov, tlmočníkov a prekladateľov, ktoré tvoria</w:t>
      </w:r>
      <w:r>
        <w:rPr>
          <w:rFonts w:ascii="Arial Narrow" w:hAnsi="Arial Narrow" w:cs="Arial Narrow"/>
          <w:sz w:val="22"/>
          <w:szCs w:val="22"/>
        </w:rPr>
        <w:t xml:space="preserve"> podstatnú časť prevádzkových nákladov súdnictva, keďže tieto si vyžadujú spracovanie dôkladnej analýzy nielen v rezorte spravodlivosti, ale aj v rezortoch vnútra a prokuratúry a následne prijatie systémových legislatívnych zmien.</w:t>
      </w:r>
    </w:p>
    <w:p w:rsidR="001E5B24" w:rsidRPr="00936BAF"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sidRPr="00C46DED">
        <w:rPr>
          <w:rFonts w:ascii="Arial Narrow" w:hAnsi="Arial Narrow" w:cs="Arial Narrow"/>
          <w:sz w:val="22"/>
          <w:szCs w:val="22"/>
        </w:rPr>
        <w:t>Väzenstvo</w:t>
      </w:r>
    </w:p>
    <w:p w:rsidR="001E5B24" w:rsidRPr="00C46DED" w:rsidP="001E5B24">
      <w:pPr>
        <w:bidi w:val="0"/>
        <w:jc w:val="both"/>
        <w:rPr>
          <w:rFonts w:ascii="Arial Narrow" w:hAnsi="Arial Narrow" w:cs="Arial Narrow"/>
          <w:sz w:val="22"/>
          <w:szCs w:val="22"/>
        </w:rPr>
      </w:pPr>
    </w:p>
    <w:p w:rsidR="001E5B24" w:rsidRPr="00FD1781"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V ústavoch na výkon väzby a v ústavoch na výkon trestu odňatia slobody bolo ku dňu 1. august</w:t>
      </w:r>
      <w:r>
        <w:rPr>
          <w:rFonts w:ascii="Arial Narrow" w:hAnsi="Arial Narrow" w:cs="Arial Narrow"/>
          <w:sz w:val="22"/>
          <w:szCs w:val="22"/>
        </w:rPr>
        <w:t>a</w:t>
      </w:r>
      <w:r w:rsidRPr="00FD1781">
        <w:rPr>
          <w:rFonts w:ascii="Arial Narrow" w:hAnsi="Arial Narrow" w:cs="Arial Narrow"/>
          <w:sz w:val="22"/>
          <w:szCs w:val="22"/>
        </w:rPr>
        <w:t xml:space="preserve"> 2010 umiestnených spolu 10 029 osôb, z toho 1 522 obvinených a 8 507 odsúdených. Vývoj priemerných počtov obvinených a odsúdených v minulých rokoch a očakávané priemerné počty sú uvedené v tabuľke. </w:t>
      </w:r>
    </w:p>
    <w:p w:rsidR="001E5B24" w:rsidRPr="00FD1781" w:rsidP="001E5B24">
      <w:pPr>
        <w:bidi w:val="0"/>
        <w:ind w:firstLine="708"/>
        <w:jc w:val="both"/>
        <w:rPr>
          <w:rFonts w:ascii="Arial Narrow" w:hAnsi="Arial Narrow" w:cs="Arial Narrow"/>
          <w:sz w:val="22"/>
          <w:szCs w:val="22"/>
        </w:rPr>
      </w:pPr>
    </w:p>
    <w:tbl>
      <w:tblPr>
        <w:tblStyle w:val="TableNormal"/>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420"/>
        <w:gridCol w:w="960"/>
        <w:gridCol w:w="960"/>
        <w:gridCol w:w="960"/>
        <w:gridCol w:w="960"/>
        <w:gridCol w:w="960"/>
        <w:gridCol w:w="960"/>
      </w:tblGrid>
      <w:tr>
        <w:tblPrEx>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68"/>
        </w:trPr>
        <w:tc>
          <w:tcPr>
            <w:tcW w:w="342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rPr>
                <w:rFonts w:ascii="Arial Narrow" w:hAnsi="Arial Narrow" w:cs="Arial Narrow"/>
                <w:b/>
                <w:bCs/>
                <w:sz w:val="16"/>
                <w:szCs w:val="16"/>
                <w:lang w:eastAsia="sk-SK"/>
              </w:rPr>
            </w:pPr>
            <w:r w:rsidRPr="00FD1781">
              <w:rPr>
                <w:rFonts w:ascii="Arial Narrow" w:hAnsi="Arial Narrow" w:cs="Arial Narrow"/>
                <w:b/>
                <w:bCs/>
                <w:sz w:val="16"/>
                <w:szCs w:val="16"/>
                <w:lang w:eastAsia="sk-SK"/>
              </w:rPr>
              <w:t>Priemerný počet osôb</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sidRPr="00FD1781">
              <w:rPr>
                <w:rFonts w:ascii="Arial Narrow" w:hAnsi="Arial Narrow" w:cs="Arial Narrow"/>
                <w:b/>
                <w:bCs/>
                <w:sz w:val="16"/>
                <w:szCs w:val="16"/>
                <w:lang w:eastAsia="sk-SK"/>
              </w:rPr>
              <w:t>2008</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sidRPr="00FD1781">
              <w:rPr>
                <w:rFonts w:ascii="Arial Narrow" w:hAnsi="Arial Narrow" w:cs="Arial Narrow"/>
                <w:b/>
                <w:bCs/>
                <w:sz w:val="16"/>
                <w:szCs w:val="16"/>
                <w:lang w:eastAsia="sk-SK"/>
              </w:rPr>
              <w:t>2009</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sidRPr="00FD1781">
              <w:rPr>
                <w:rFonts w:ascii="Arial Narrow" w:hAnsi="Arial Narrow" w:cs="Arial Narrow"/>
                <w:b/>
                <w:bCs/>
                <w:sz w:val="16"/>
                <w:szCs w:val="16"/>
                <w:lang w:eastAsia="sk-SK"/>
              </w:rPr>
              <w:t>2010</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sidRPr="00FD1781">
              <w:rPr>
                <w:rFonts w:ascii="Arial Narrow" w:hAnsi="Arial Narrow" w:cs="Arial Narrow"/>
                <w:b/>
                <w:bCs/>
                <w:sz w:val="16"/>
                <w:szCs w:val="16"/>
                <w:lang w:eastAsia="sk-SK"/>
              </w:rPr>
              <w:t>2011</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Pr>
                <w:rFonts w:ascii="Arial Narrow" w:hAnsi="Arial Narrow" w:cs="Arial Narrow"/>
                <w:b/>
                <w:bCs/>
                <w:sz w:val="16"/>
                <w:szCs w:val="16"/>
                <w:lang w:eastAsia="sk-SK"/>
              </w:rPr>
              <w:t>2012</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center"/>
              <w:rPr>
                <w:rFonts w:ascii="Arial Narrow" w:hAnsi="Arial Narrow" w:cs="Arial Narrow"/>
                <w:b/>
                <w:bCs/>
                <w:sz w:val="16"/>
                <w:szCs w:val="16"/>
                <w:lang w:eastAsia="sk-SK"/>
              </w:rPr>
            </w:pPr>
            <w:r>
              <w:rPr>
                <w:rFonts w:ascii="Arial Narrow" w:hAnsi="Arial Narrow" w:cs="Arial Narrow"/>
                <w:b/>
                <w:bCs/>
                <w:sz w:val="16"/>
                <w:szCs w:val="16"/>
                <w:lang w:eastAsia="sk-SK"/>
              </w:rPr>
              <w:t>2013</w:t>
            </w:r>
          </w:p>
        </w:tc>
      </w:tr>
      <w:tr>
        <w:tblPrEx>
          <w:tblW w:w="9180" w:type="dxa"/>
          <w:tblInd w:w="70" w:type="dxa"/>
          <w:tblCellMar>
            <w:left w:w="70" w:type="dxa"/>
            <w:right w:w="70" w:type="dxa"/>
          </w:tblCellMar>
          <w:tblLook w:val="00A0"/>
        </w:tblPrEx>
        <w:trPr>
          <w:trHeight w:val="268"/>
        </w:trPr>
        <w:tc>
          <w:tcPr>
            <w:tcW w:w="342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rPr>
                <w:rFonts w:ascii="Arial Narrow" w:hAnsi="Arial Narrow" w:cs="Arial Narrow"/>
                <w:sz w:val="16"/>
                <w:szCs w:val="16"/>
                <w:lang w:eastAsia="sk-SK"/>
              </w:rPr>
            </w:pPr>
            <w:r w:rsidRPr="00FD1781">
              <w:rPr>
                <w:rFonts w:ascii="Arial Narrow" w:hAnsi="Arial Narrow" w:cs="Arial Narrow"/>
                <w:sz w:val="16"/>
                <w:szCs w:val="16"/>
                <w:lang w:eastAsia="sk-SK"/>
              </w:rPr>
              <w:t>Obvinení</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sidRPr="00FD1781">
              <w:rPr>
                <w:rFonts w:ascii="Arial Narrow" w:hAnsi="Arial Narrow" w:cs="Arial Narrow"/>
                <w:color w:val="000000"/>
                <w:sz w:val="16"/>
                <w:szCs w:val="16"/>
              </w:rPr>
              <w:t>1 754</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1 626</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1 577</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1 668</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1 693</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1 718</w:t>
            </w:r>
          </w:p>
        </w:tc>
      </w:tr>
      <w:tr>
        <w:tblPrEx>
          <w:tblW w:w="9180" w:type="dxa"/>
          <w:tblInd w:w="70" w:type="dxa"/>
          <w:tblCellMar>
            <w:left w:w="70" w:type="dxa"/>
            <w:right w:w="70" w:type="dxa"/>
          </w:tblCellMar>
          <w:tblLook w:val="00A0"/>
        </w:tblPrEx>
        <w:trPr>
          <w:trHeight w:val="268"/>
        </w:trPr>
        <w:tc>
          <w:tcPr>
            <w:tcW w:w="342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rPr>
                <w:rFonts w:ascii="Arial Narrow" w:hAnsi="Arial Narrow" w:cs="Arial Narrow"/>
                <w:sz w:val="16"/>
                <w:szCs w:val="16"/>
                <w:lang w:eastAsia="sk-SK"/>
              </w:rPr>
            </w:pPr>
            <w:r w:rsidRPr="00FD1781">
              <w:rPr>
                <w:rFonts w:ascii="Arial Narrow" w:hAnsi="Arial Narrow" w:cs="Arial Narrow"/>
                <w:sz w:val="16"/>
                <w:szCs w:val="16"/>
                <w:lang w:eastAsia="sk-SK"/>
              </w:rPr>
              <w:t>Odsúdení</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sidRPr="00FD1781">
              <w:rPr>
                <w:rFonts w:ascii="Arial Narrow" w:hAnsi="Arial Narrow" w:cs="Arial Narrow"/>
                <w:color w:val="000000"/>
                <w:sz w:val="16"/>
                <w:szCs w:val="16"/>
              </w:rPr>
              <w:t>6 481</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7 230</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color w:val="000000"/>
                <w:sz w:val="16"/>
                <w:szCs w:val="16"/>
              </w:rPr>
            </w:pPr>
            <w:r w:rsidRPr="00FD1781">
              <w:rPr>
                <w:rFonts w:ascii="Arial Narrow" w:hAnsi="Arial Narrow" w:cs="Arial Narrow"/>
                <w:color w:val="000000"/>
                <w:sz w:val="16"/>
                <w:szCs w:val="16"/>
              </w:rPr>
              <w:t xml:space="preserve">8 </w:t>
            </w:r>
            <w:r>
              <w:rPr>
                <w:rFonts w:ascii="Arial Narrow" w:hAnsi="Arial Narrow" w:cs="Arial Narrow"/>
                <w:color w:val="000000"/>
                <w:sz w:val="16"/>
                <w:szCs w:val="16"/>
              </w:rPr>
              <w:t>505</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8 816</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9 433</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sz w:val="16"/>
                <w:szCs w:val="16"/>
              </w:rPr>
            </w:pPr>
            <w:r>
              <w:rPr>
                <w:rFonts w:ascii="Arial Narrow" w:hAnsi="Arial Narrow" w:cs="Arial Narrow"/>
                <w:sz w:val="16"/>
                <w:szCs w:val="16"/>
              </w:rPr>
              <w:t>10 093</w:t>
            </w:r>
          </w:p>
        </w:tc>
      </w:tr>
      <w:tr>
        <w:tblPrEx>
          <w:tblW w:w="9180" w:type="dxa"/>
          <w:tblInd w:w="70" w:type="dxa"/>
          <w:tblCellMar>
            <w:left w:w="70" w:type="dxa"/>
            <w:right w:w="70" w:type="dxa"/>
          </w:tblCellMar>
          <w:tblLook w:val="00A0"/>
        </w:tblPrEx>
        <w:trPr>
          <w:trHeight w:val="268"/>
        </w:trPr>
        <w:tc>
          <w:tcPr>
            <w:tcW w:w="342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rPr>
                <w:rFonts w:ascii="Arial Narrow" w:hAnsi="Arial Narrow" w:cs="Arial Narrow"/>
                <w:b/>
                <w:bCs/>
                <w:sz w:val="16"/>
                <w:szCs w:val="16"/>
                <w:lang w:eastAsia="sk-SK"/>
              </w:rPr>
            </w:pPr>
            <w:r w:rsidRPr="00FD1781">
              <w:rPr>
                <w:rFonts w:ascii="Arial Narrow" w:hAnsi="Arial Narrow" w:cs="Arial Narrow"/>
                <w:b/>
                <w:bCs/>
                <w:sz w:val="16"/>
                <w:szCs w:val="16"/>
                <w:lang w:eastAsia="sk-SK"/>
              </w:rPr>
              <w:t>Obvinení a odsúdení spolu</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color w:val="000000"/>
                <w:sz w:val="16"/>
                <w:szCs w:val="16"/>
              </w:rPr>
            </w:pPr>
            <w:r w:rsidRPr="00FD1781">
              <w:rPr>
                <w:rFonts w:ascii="Arial Narrow" w:hAnsi="Arial Narrow" w:cs="Arial Narrow"/>
                <w:b/>
                <w:bCs/>
                <w:color w:val="000000"/>
                <w:sz w:val="16"/>
                <w:szCs w:val="16"/>
              </w:rPr>
              <w:t>8 235</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color w:val="000000"/>
                <w:sz w:val="16"/>
                <w:szCs w:val="16"/>
              </w:rPr>
            </w:pPr>
            <w:r>
              <w:rPr>
                <w:rFonts w:ascii="Arial Narrow" w:hAnsi="Arial Narrow" w:cs="Arial Narrow"/>
                <w:b/>
                <w:bCs/>
                <w:color w:val="000000"/>
                <w:sz w:val="16"/>
                <w:szCs w:val="16"/>
              </w:rPr>
              <w:t>8 856</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color w:val="000000"/>
                <w:sz w:val="16"/>
                <w:szCs w:val="16"/>
              </w:rPr>
            </w:pPr>
            <w:r w:rsidRPr="00FD1781">
              <w:rPr>
                <w:rFonts w:ascii="Arial Narrow" w:hAnsi="Arial Narrow" w:cs="Arial Narrow"/>
                <w:b/>
                <w:bCs/>
                <w:color w:val="000000"/>
                <w:sz w:val="16"/>
                <w:szCs w:val="16"/>
              </w:rPr>
              <w:t>10 0</w:t>
            </w:r>
            <w:r>
              <w:rPr>
                <w:rFonts w:ascii="Arial Narrow" w:hAnsi="Arial Narrow" w:cs="Arial Narrow"/>
                <w:b/>
                <w:bCs/>
                <w:color w:val="000000"/>
                <w:sz w:val="16"/>
                <w:szCs w:val="16"/>
              </w:rPr>
              <w:t>82</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sz w:val="16"/>
                <w:szCs w:val="16"/>
              </w:rPr>
            </w:pPr>
            <w:r>
              <w:rPr>
                <w:rFonts w:ascii="Arial Narrow" w:hAnsi="Arial Narrow" w:cs="Arial Narrow"/>
                <w:b/>
                <w:bCs/>
                <w:sz w:val="16"/>
                <w:szCs w:val="16"/>
              </w:rPr>
              <w:t>10 483</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sz w:val="16"/>
                <w:szCs w:val="16"/>
              </w:rPr>
            </w:pPr>
            <w:r>
              <w:rPr>
                <w:rFonts w:ascii="Arial Narrow" w:hAnsi="Arial Narrow" w:cs="Arial Narrow"/>
                <w:b/>
                <w:bCs/>
                <w:sz w:val="16"/>
                <w:szCs w:val="16"/>
              </w:rPr>
              <w:t>11 125</w:t>
            </w:r>
          </w:p>
        </w:tc>
        <w:tc>
          <w:tcPr>
            <w:tcW w:w="960"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1E5B24" w:rsidRPr="00FD1781" w:rsidP="001E5B24">
            <w:pPr>
              <w:bidi w:val="0"/>
              <w:jc w:val="right"/>
              <w:rPr>
                <w:rFonts w:ascii="Arial Narrow" w:hAnsi="Arial Narrow" w:cs="Arial Narrow"/>
                <w:b/>
                <w:bCs/>
                <w:sz w:val="16"/>
                <w:szCs w:val="16"/>
              </w:rPr>
            </w:pPr>
            <w:r>
              <w:rPr>
                <w:rFonts w:ascii="Arial Narrow" w:hAnsi="Arial Narrow" w:cs="Arial Narrow"/>
                <w:b/>
                <w:bCs/>
                <w:sz w:val="16"/>
                <w:szCs w:val="16"/>
              </w:rPr>
              <w:t>11 811</w:t>
            </w:r>
          </w:p>
        </w:tc>
      </w:tr>
    </w:tbl>
    <w:p w:rsidR="001E5B24" w:rsidRPr="00FD1781" w:rsidP="001E5B24">
      <w:pPr>
        <w:bidi w:val="0"/>
        <w:ind w:firstLine="708"/>
        <w:jc w:val="both"/>
        <w:rPr>
          <w:rFonts w:ascii="Arial Narrow" w:hAnsi="Arial Narrow" w:cs="Arial Narrow"/>
          <w:sz w:val="22"/>
          <w:szCs w:val="22"/>
        </w:rPr>
      </w:pPr>
    </w:p>
    <w:p w:rsidR="001E5B24" w:rsidRPr="00FD1781"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 xml:space="preserve">Medziročné porovnanie priemerných počtov </w:t>
      </w:r>
      <w:r>
        <w:rPr>
          <w:rFonts w:ascii="Arial Narrow" w:hAnsi="Arial Narrow" w:cs="Arial Narrow"/>
          <w:sz w:val="22"/>
          <w:szCs w:val="22"/>
        </w:rPr>
        <w:t xml:space="preserve">obvinených a </w:t>
      </w:r>
      <w:r w:rsidRPr="00FD1781">
        <w:rPr>
          <w:rFonts w:ascii="Arial Narrow" w:hAnsi="Arial Narrow" w:cs="Arial Narrow"/>
          <w:sz w:val="22"/>
          <w:szCs w:val="22"/>
        </w:rPr>
        <w:t xml:space="preserve">odsúdených </w:t>
      </w:r>
      <w:r>
        <w:rPr>
          <w:rFonts w:ascii="Arial Narrow" w:hAnsi="Arial Narrow" w:cs="Arial Narrow"/>
          <w:sz w:val="22"/>
          <w:szCs w:val="22"/>
        </w:rPr>
        <w:t>vykazuje od roku 2008 výrazný nárast týchto väznených osôb.</w:t>
      </w:r>
      <w:r w:rsidRPr="00FD1781">
        <w:rPr>
          <w:rFonts w:ascii="Arial Narrow" w:hAnsi="Arial Narrow" w:cs="Arial Narrow"/>
          <w:sz w:val="22"/>
          <w:szCs w:val="22"/>
        </w:rPr>
        <w:t xml:space="preserve"> </w:t>
      </w:r>
      <w:r>
        <w:rPr>
          <w:rFonts w:ascii="Arial Narrow" w:hAnsi="Arial Narrow" w:cs="Arial Narrow"/>
          <w:sz w:val="22"/>
          <w:szCs w:val="22"/>
        </w:rPr>
        <w:t>V</w:t>
      </w:r>
      <w:r w:rsidRPr="00FD1781">
        <w:rPr>
          <w:rFonts w:ascii="Arial Narrow" w:hAnsi="Arial Narrow" w:cs="Arial Narrow"/>
          <w:sz w:val="22"/>
          <w:szCs w:val="22"/>
        </w:rPr>
        <w:t xml:space="preserve"> roku 2010 </w:t>
      </w:r>
      <w:r>
        <w:rPr>
          <w:rFonts w:ascii="Arial Narrow" w:hAnsi="Arial Narrow" w:cs="Arial Narrow"/>
          <w:sz w:val="22"/>
          <w:szCs w:val="22"/>
        </w:rPr>
        <w:t>sa</w:t>
      </w:r>
      <w:r w:rsidRPr="00FD1781">
        <w:rPr>
          <w:rFonts w:ascii="Arial Narrow" w:hAnsi="Arial Narrow" w:cs="Arial Narrow"/>
          <w:sz w:val="22"/>
          <w:szCs w:val="22"/>
        </w:rPr>
        <w:t xml:space="preserve"> oproti roku 2009 </w:t>
      </w:r>
      <w:r>
        <w:rPr>
          <w:rFonts w:ascii="Arial Narrow" w:hAnsi="Arial Narrow" w:cs="Arial Narrow"/>
          <w:sz w:val="22"/>
          <w:szCs w:val="22"/>
        </w:rPr>
        <w:t xml:space="preserve">predpokladá </w:t>
      </w:r>
      <w:r w:rsidRPr="00FD1781">
        <w:rPr>
          <w:rFonts w:ascii="Arial Narrow" w:hAnsi="Arial Narrow" w:cs="Arial Narrow"/>
          <w:sz w:val="22"/>
          <w:szCs w:val="22"/>
        </w:rPr>
        <w:t>nárast o</w:t>
      </w:r>
      <w:r>
        <w:rPr>
          <w:rFonts w:ascii="Arial Narrow" w:hAnsi="Arial Narrow" w:cs="Arial Narrow"/>
          <w:sz w:val="22"/>
          <w:szCs w:val="22"/>
        </w:rPr>
        <w:t> 13,8</w:t>
      </w:r>
      <w:r w:rsidRPr="00FD1781">
        <w:rPr>
          <w:rFonts w:ascii="Arial Narrow" w:hAnsi="Arial Narrow" w:cs="Arial Narrow"/>
          <w:sz w:val="22"/>
          <w:szCs w:val="22"/>
        </w:rPr>
        <w:t>% a v roku 2011 sa očakáva ďalší nárast o</w:t>
      </w:r>
      <w:r>
        <w:rPr>
          <w:rFonts w:ascii="Arial Narrow" w:hAnsi="Arial Narrow" w:cs="Arial Narrow"/>
          <w:sz w:val="22"/>
          <w:szCs w:val="22"/>
        </w:rPr>
        <w:t> 4,0</w:t>
      </w:r>
      <w:r w:rsidRPr="00FD1781">
        <w:rPr>
          <w:rFonts w:ascii="Arial Narrow" w:hAnsi="Arial Narrow" w:cs="Arial Narrow"/>
          <w:sz w:val="22"/>
          <w:szCs w:val="22"/>
        </w:rPr>
        <w:t>%.</w:t>
      </w:r>
    </w:p>
    <w:p w:rsidR="001E5B24" w:rsidRPr="00FD1781" w:rsidP="001E5B24">
      <w:pPr>
        <w:bidi w:val="0"/>
        <w:jc w:val="both"/>
        <w:rPr>
          <w:rFonts w:ascii="Arial Narrow" w:hAnsi="Arial Narrow" w:cs="Arial Narrow"/>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618"/>
        <w:gridCol w:w="920"/>
        <w:gridCol w:w="922"/>
        <w:gridCol w:w="922"/>
        <w:gridCol w:w="922"/>
        <w:gridCol w:w="922"/>
        <w:gridCol w:w="916"/>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70"/>
        </w:trPr>
        <w:tc>
          <w:tcPr>
            <w:tcW w:w="1979"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both"/>
              <w:rPr>
                <w:rFonts w:ascii="Arial Narrow" w:hAnsi="Arial Narrow" w:cs="Arial Narrow"/>
                <w:b/>
                <w:bCs/>
                <w:sz w:val="16"/>
                <w:szCs w:val="16"/>
              </w:rPr>
            </w:pPr>
            <w:r w:rsidRPr="00FD1781">
              <w:rPr>
                <w:rFonts w:ascii="Arial Narrow" w:hAnsi="Arial Narrow" w:cs="Arial Narrow"/>
                <w:b/>
                <w:bCs/>
                <w:sz w:val="16"/>
                <w:szCs w:val="16"/>
              </w:rPr>
              <w:t> v tis. eur</w:t>
            </w:r>
          </w:p>
        </w:tc>
        <w:tc>
          <w:tcPr>
            <w:tcW w:w="50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2008 S</w:t>
            </w:r>
          </w:p>
        </w:tc>
        <w:tc>
          <w:tcPr>
            <w:tcW w:w="50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2009 S</w:t>
            </w:r>
          </w:p>
        </w:tc>
        <w:tc>
          <w:tcPr>
            <w:tcW w:w="50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2010 R</w:t>
            </w:r>
          </w:p>
        </w:tc>
        <w:tc>
          <w:tcPr>
            <w:tcW w:w="50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2011 N</w:t>
            </w:r>
          </w:p>
        </w:tc>
        <w:tc>
          <w:tcPr>
            <w:tcW w:w="50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2012 N</w:t>
            </w:r>
          </w:p>
        </w:tc>
        <w:tc>
          <w:tcPr>
            <w:tcW w:w="5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FD1781" w:rsidP="001E5B24">
            <w:pPr>
              <w:bidi w:val="0"/>
              <w:jc w:val="center"/>
              <w:rPr>
                <w:rFonts w:ascii="Arial Narrow" w:hAnsi="Arial Narrow" w:cs="Arial Narrow"/>
                <w:b/>
                <w:bCs/>
                <w:sz w:val="16"/>
                <w:szCs w:val="16"/>
              </w:rPr>
            </w:pPr>
            <w:r w:rsidRPr="00FD1781">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70"/>
        </w:trPr>
        <w:tc>
          <w:tcPr>
            <w:tcW w:w="1979" w:type="pct"/>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1E5B24" w:rsidRPr="00620BA0" w:rsidP="001E5B24">
            <w:pPr>
              <w:bidi w:val="0"/>
              <w:rPr>
                <w:rFonts w:ascii="Arial Narrow" w:hAnsi="Arial Narrow" w:cs="Arial Narrow"/>
                <w:b/>
                <w:bCs/>
                <w:sz w:val="16"/>
                <w:szCs w:val="16"/>
              </w:rPr>
            </w:pPr>
            <w:r w:rsidRPr="00620BA0">
              <w:rPr>
                <w:rFonts w:ascii="Arial Narrow" w:hAnsi="Arial Narrow" w:cs="Arial Narrow"/>
                <w:b/>
                <w:bCs/>
                <w:sz w:val="16"/>
                <w:szCs w:val="16"/>
              </w:rPr>
              <w:t>Výdavky na riešenie potrieb väzenstva, z toho:</w:t>
            </w:r>
          </w:p>
        </w:tc>
        <w:tc>
          <w:tcPr>
            <w:tcW w:w="503"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Narrow"/>
                <w:b/>
                <w:bCs/>
                <w:sz w:val="16"/>
                <w:szCs w:val="16"/>
              </w:rPr>
            </w:pPr>
            <w:r w:rsidRPr="00620BA0">
              <w:rPr>
                <w:rFonts w:ascii="Arial Narrow" w:hAnsi="Arial Narrow" w:cs="Arial Narrow"/>
                <w:b/>
                <w:bCs/>
                <w:sz w:val="16"/>
                <w:szCs w:val="16"/>
              </w:rPr>
              <w:t>124 526</w:t>
            </w:r>
          </w:p>
        </w:tc>
        <w:tc>
          <w:tcPr>
            <w:tcW w:w="504"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Narrow"/>
                <w:b/>
                <w:bCs/>
                <w:sz w:val="16"/>
                <w:szCs w:val="16"/>
              </w:rPr>
            </w:pPr>
            <w:r w:rsidRPr="00620BA0">
              <w:rPr>
                <w:rFonts w:ascii="Arial Narrow" w:hAnsi="Arial Narrow" w:cs="Arial Narrow"/>
                <w:b/>
                <w:bCs/>
                <w:sz w:val="16"/>
                <w:szCs w:val="16"/>
              </w:rPr>
              <w:t>129 781</w:t>
            </w:r>
          </w:p>
        </w:tc>
        <w:tc>
          <w:tcPr>
            <w:tcW w:w="504"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Narrow"/>
                <w:b/>
                <w:bCs/>
                <w:sz w:val="16"/>
                <w:szCs w:val="16"/>
              </w:rPr>
            </w:pPr>
            <w:r w:rsidRPr="00620BA0">
              <w:rPr>
                <w:rFonts w:ascii="Arial Narrow" w:hAnsi="Arial Narrow" w:cs="Arial Narrow"/>
                <w:b/>
                <w:bCs/>
                <w:sz w:val="16"/>
                <w:szCs w:val="16"/>
              </w:rPr>
              <w:t>128 461</w:t>
            </w:r>
          </w:p>
        </w:tc>
        <w:tc>
          <w:tcPr>
            <w:tcW w:w="504"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w:b/>
                <w:sz w:val="16"/>
                <w:szCs w:val="16"/>
              </w:rPr>
            </w:pPr>
            <w:r w:rsidRPr="00620BA0">
              <w:rPr>
                <w:rFonts w:ascii="Arial Narrow" w:hAnsi="Arial Narrow" w:cs="Arial"/>
                <w:b/>
                <w:sz w:val="16"/>
                <w:szCs w:val="16"/>
              </w:rPr>
              <w:t>137 893</w:t>
            </w:r>
          </w:p>
        </w:tc>
        <w:tc>
          <w:tcPr>
            <w:tcW w:w="504"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w:b/>
                <w:sz w:val="16"/>
                <w:szCs w:val="16"/>
              </w:rPr>
            </w:pPr>
            <w:r w:rsidRPr="00620BA0">
              <w:rPr>
                <w:rFonts w:ascii="Arial Narrow" w:hAnsi="Arial Narrow" w:cs="Arial"/>
                <w:b/>
                <w:sz w:val="16"/>
                <w:szCs w:val="16"/>
              </w:rPr>
              <w:t>13</w:t>
            </w:r>
            <w:r>
              <w:rPr>
                <w:rFonts w:ascii="Arial Narrow" w:hAnsi="Arial Narrow" w:cs="Arial"/>
                <w:b/>
                <w:sz w:val="16"/>
                <w:szCs w:val="16"/>
              </w:rPr>
              <w:t>8</w:t>
            </w:r>
            <w:r w:rsidRPr="00620BA0">
              <w:rPr>
                <w:rFonts w:ascii="Arial Narrow" w:hAnsi="Arial Narrow" w:cs="Arial"/>
                <w:b/>
                <w:sz w:val="16"/>
                <w:szCs w:val="16"/>
              </w:rPr>
              <w:t xml:space="preserve"> </w:t>
            </w:r>
            <w:r>
              <w:rPr>
                <w:rFonts w:ascii="Arial Narrow" w:hAnsi="Arial Narrow" w:cs="Arial"/>
                <w:b/>
                <w:sz w:val="16"/>
                <w:szCs w:val="16"/>
              </w:rPr>
              <w:t>716</w:t>
            </w:r>
          </w:p>
        </w:tc>
        <w:tc>
          <w:tcPr>
            <w:tcW w:w="501"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620BA0" w:rsidP="001E5B24">
            <w:pPr>
              <w:bidi w:val="0"/>
              <w:jc w:val="right"/>
              <w:rPr>
                <w:rFonts w:ascii="Arial Narrow" w:hAnsi="Arial Narrow" w:cs="Arial"/>
                <w:b/>
                <w:sz w:val="16"/>
                <w:szCs w:val="16"/>
              </w:rPr>
            </w:pPr>
            <w:r w:rsidRPr="00620BA0">
              <w:rPr>
                <w:rFonts w:ascii="Arial Narrow" w:hAnsi="Arial Narrow" w:cs="Arial"/>
                <w:b/>
                <w:sz w:val="16"/>
                <w:szCs w:val="16"/>
              </w:rPr>
              <w:t>138 885</w:t>
            </w:r>
          </w:p>
        </w:tc>
      </w:tr>
      <w:tr>
        <w:tblPrEx>
          <w:tblW w:w="4962" w:type="pct"/>
          <w:tblInd w:w="70" w:type="dxa"/>
          <w:tblCellMar>
            <w:left w:w="70" w:type="dxa"/>
            <w:right w:w="70" w:type="dxa"/>
          </w:tblCellMar>
          <w:tblLook w:val="00A0"/>
        </w:tblPrEx>
        <w:trPr>
          <w:trHeight w:val="270"/>
        </w:trPr>
        <w:tc>
          <w:tcPr>
            <w:tcW w:w="1979" w:type="pct"/>
            <w:tcBorders>
              <w:top w:val="single" w:sz="4" w:space="0" w:color="auto"/>
              <w:left w:val="single" w:sz="4" w:space="0" w:color="auto"/>
              <w:bottom w:val="single" w:sz="4" w:space="0" w:color="auto"/>
              <w:right w:val="single" w:sz="4" w:space="0" w:color="auto"/>
            </w:tcBorders>
            <w:textDirection w:val="lrTb"/>
            <w:vAlign w:val="bottom"/>
          </w:tcPr>
          <w:p w:rsidR="001E5B24" w:rsidRPr="00EE042D" w:rsidP="001E5B24">
            <w:pPr>
              <w:bidi w:val="0"/>
              <w:rPr>
                <w:rFonts w:ascii="Arial Narrow" w:hAnsi="Arial Narrow" w:cs="Arial Narrow"/>
                <w:sz w:val="16"/>
                <w:szCs w:val="16"/>
              </w:rPr>
            </w:pPr>
            <w:r w:rsidRPr="00EE042D">
              <w:rPr>
                <w:rFonts w:ascii="Arial Narrow" w:hAnsi="Arial Narrow" w:cs="Arial Narrow"/>
                <w:sz w:val="16"/>
                <w:szCs w:val="16"/>
              </w:rPr>
              <w:t>príspevok na osobitný účet</w:t>
            </w:r>
            <w:r>
              <w:rPr>
                <w:rFonts w:ascii="Arial Narrow" w:hAnsi="Arial Narrow" w:cs="Arial Narrow"/>
                <w:sz w:val="16"/>
                <w:szCs w:val="16"/>
              </w:rPr>
              <w:t xml:space="preserve"> (sociálny systém)</w:t>
            </w:r>
          </w:p>
        </w:tc>
        <w:tc>
          <w:tcPr>
            <w:tcW w:w="50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2 800</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9</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6</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8 2</w:t>
            </w:r>
            <w:r>
              <w:rPr>
                <w:rFonts w:ascii="Arial Narrow" w:hAnsi="Arial Narrow" w:cs="Arial Narrow"/>
                <w:sz w:val="16"/>
                <w:szCs w:val="16"/>
              </w:rPr>
              <w:t>6</w:t>
            </w:r>
            <w:r w:rsidRPr="00EE042D">
              <w:rPr>
                <w:rFonts w:ascii="Arial Narrow" w:hAnsi="Arial Narrow" w:cs="Arial Narrow"/>
                <w:sz w:val="16"/>
                <w:szCs w:val="16"/>
              </w:rPr>
              <w:t>7</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Pr>
                <w:rFonts w:ascii="Arial Narrow" w:hAnsi="Arial Narrow" w:cs="Arial Narrow"/>
                <w:sz w:val="16"/>
                <w:szCs w:val="16"/>
              </w:rPr>
              <w:t>8 996</w:t>
            </w:r>
          </w:p>
        </w:tc>
        <w:tc>
          <w:tcPr>
            <w:tcW w:w="50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9 1</w:t>
            </w:r>
            <w:r>
              <w:rPr>
                <w:rFonts w:ascii="Arial Narrow" w:hAnsi="Arial Narrow" w:cs="Arial Narrow"/>
                <w:sz w:val="16"/>
                <w:szCs w:val="16"/>
              </w:rPr>
              <w:t>6</w:t>
            </w:r>
            <w:r w:rsidRPr="00EE042D">
              <w:rPr>
                <w:rFonts w:ascii="Arial Narrow" w:hAnsi="Arial Narrow" w:cs="Arial Narrow"/>
                <w:sz w:val="16"/>
                <w:szCs w:val="16"/>
              </w:rPr>
              <w:t>6</w:t>
            </w:r>
          </w:p>
        </w:tc>
      </w:tr>
      <w:tr>
        <w:tblPrEx>
          <w:tblW w:w="4962" w:type="pct"/>
          <w:tblInd w:w="70" w:type="dxa"/>
          <w:tblCellMar>
            <w:left w:w="70" w:type="dxa"/>
            <w:right w:w="70" w:type="dxa"/>
          </w:tblCellMar>
          <w:tblLook w:val="00A0"/>
        </w:tblPrEx>
        <w:trPr>
          <w:trHeight w:val="270"/>
        </w:trPr>
        <w:tc>
          <w:tcPr>
            <w:tcW w:w="1979" w:type="pct"/>
            <w:tcBorders>
              <w:top w:val="single" w:sz="4" w:space="0" w:color="auto"/>
              <w:left w:val="single" w:sz="4" w:space="0" w:color="auto"/>
              <w:bottom w:val="single" w:sz="4" w:space="0" w:color="auto"/>
              <w:right w:val="single" w:sz="4" w:space="0" w:color="auto"/>
            </w:tcBorders>
            <w:textDirection w:val="lrTb"/>
            <w:vAlign w:val="bottom"/>
          </w:tcPr>
          <w:p w:rsidR="001E5B24" w:rsidRPr="00EE042D" w:rsidP="001E5B24">
            <w:pPr>
              <w:bidi w:val="0"/>
              <w:rPr>
                <w:rFonts w:ascii="Arial Narrow" w:hAnsi="Arial Narrow" w:cs="Arial Narrow"/>
                <w:sz w:val="16"/>
                <w:szCs w:val="16"/>
              </w:rPr>
            </w:pPr>
            <w:r w:rsidRPr="00EE042D">
              <w:rPr>
                <w:rFonts w:ascii="Arial Narrow" w:hAnsi="Arial Narrow" w:cs="Arial Narrow"/>
                <w:sz w:val="16"/>
                <w:szCs w:val="16"/>
              </w:rPr>
              <w:t>zostávajúce výdavky väzenstva</w:t>
            </w:r>
          </w:p>
        </w:tc>
        <w:tc>
          <w:tcPr>
            <w:tcW w:w="50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121 726</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129 772</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EE042D" w:rsidP="001E5B24">
            <w:pPr>
              <w:bidi w:val="0"/>
              <w:jc w:val="right"/>
              <w:rPr>
                <w:rFonts w:ascii="Arial Narrow" w:hAnsi="Arial Narrow" w:cs="Arial Narrow"/>
                <w:sz w:val="16"/>
                <w:szCs w:val="16"/>
              </w:rPr>
            </w:pPr>
            <w:r w:rsidRPr="00EE042D">
              <w:rPr>
                <w:rFonts w:ascii="Arial Narrow" w:hAnsi="Arial Narrow" w:cs="Arial Narrow"/>
                <w:sz w:val="16"/>
                <w:szCs w:val="16"/>
              </w:rPr>
              <w:t>128 4</w:t>
            </w:r>
            <w:r>
              <w:rPr>
                <w:rFonts w:ascii="Arial Narrow" w:hAnsi="Arial Narrow" w:cs="Arial Narrow"/>
                <w:sz w:val="16"/>
                <w:szCs w:val="16"/>
              </w:rPr>
              <w:t>5</w:t>
            </w:r>
            <w:r w:rsidRPr="00EE042D">
              <w:rPr>
                <w:rFonts w:ascii="Arial Narrow" w:hAnsi="Arial Narrow" w:cs="Arial Narrow"/>
                <w:sz w:val="16"/>
                <w:szCs w:val="16"/>
              </w:rPr>
              <w:t>5</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620BA0" w:rsidP="001E5B24">
            <w:pPr>
              <w:bidi w:val="0"/>
              <w:jc w:val="right"/>
              <w:rPr>
                <w:rFonts w:ascii="Arial Narrow" w:hAnsi="Arial Narrow" w:cs="Arial"/>
                <w:sz w:val="16"/>
                <w:szCs w:val="16"/>
              </w:rPr>
            </w:pPr>
            <w:r w:rsidRPr="00620BA0">
              <w:rPr>
                <w:rFonts w:ascii="Arial Narrow" w:hAnsi="Arial Narrow" w:cs="Arial"/>
                <w:sz w:val="16"/>
                <w:szCs w:val="16"/>
              </w:rPr>
              <w:t>129 6</w:t>
            </w:r>
            <w:r>
              <w:rPr>
                <w:rFonts w:ascii="Arial Narrow" w:hAnsi="Arial Narrow" w:cs="Arial"/>
                <w:sz w:val="16"/>
                <w:szCs w:val="16"/>
              </w:rPr>
              <w:t>2</w:t>
            </w:r>
            <w:r w:rsidRPr="00620BA0">
              <w:rPr>
                <w:rFonts w:ascii="Arial Narrow" w:hAnsi="Arial Narrow" w:cs="Arial"/>
                <w:sz w:val="16"/>
                <w:szCs w:val="16"/>
              </w:rPr>
              <w:t>6</w:t>
            </w:r>
          </w:p>
        </w:tc>
        <w:tc>
          <w:tcPr>
            <w:tcW w:w="50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620BA0" w:rsidP="001E5B24">
            <w:pPr>
              <w:bidi w:val="0"/>
              <w:jc w:val="right"/>
              <w:rPr>
                <w:rFonts w:ascii="Arial Narrow" w:hAnsi="Arial Narrow" w:cs="Arial"/>
                <w:sz w:val="16"/>
                <w:szCs w:val="16"/>
              </w:rPr>
            </w:pPr>
            <w:r w:rsidRPr="00620BA0">
              <w:rPr>
                <w:rFonts w:ascii="Arial Narrow" w:hAnsi="Arial Narrow" w:cs="Arial"/>
                <w:sz w:val="16"/>
                <w:szCs w:val="16"/>
              </w:rPr>
              <w:t>1</w:t>
            </w:r>
            <w:r>
              <w:rPr>
                <w:rFonts w:ascii="Arial Narrow" w:hAnsi="Arial Narrow" w:cs="Arial"/>
                <w:sz w:val="16"/>
                <w:szCs w:val="16"/>
              </w:rPr>
              <w:t>29 720</w:t>
            </w:r>
          </w:p>
        </w:tc>
        <w:tc>
          <w:tcPr>
            <w:tcW w:w="501"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620BA0" w:rsidP="001E5B24">
            <w:pPr>
              <w:bidi w:val="0"/>
              <w:jc w:val="right"/>
              <w:rPr>
                <w:rFonts w:ascii="Arial Narrow" w:hAnsi="Arial Narrow" w:cs="Arial"/>
                <w:sz w:val="16"/>
                <w:szCs w:val="16"/>
              </w:rPr>
            </w:pPr>
            <w:r w:rsidRPr="00620BA0">
              <w:rPr>
                <w:rFonts w:ascii="Arial Narrow" w:hAnsi="Arial Narrow" w:cs="Arial"/>
                <w:sz w:val="16"/>
                <w:szCs w:val="16"/>
              </w:rPr>
              <w:t>129 7</w:t>
            </w:r>
            <w:r>
              <w:rPr>
                <w:rFonts w:ascii="Arial Narrow" w:hAnsi="Arial Narrow" w:cs="Arial"/>
                <w:sz w:val="16"/>
                <w:szCs w:val="16"/>
              </w:rPr>
              <w:t>1</w:t>
            </w:r>
            <w:r w:rsidRPr="00620BA0">
              <w:rPr>
                <w:rFonts w:ascii="Arial Narrow" w:hAnsi="Arial Narrow" w:cs="Arial"/>
                <w:sz w:val="16"/>
                <w:szCs w:val="16"/>
              </w:rPr>
              <w:t>9</w:t>
            </w:r>
          </w:p>
        </w:tc>
      </w:tr>
    </w:tbl>
    <w:p w:rsidR="001E5B24" w:rsidRPr="00FD1781" w:rsidP="001E5B24">
      <w:pPr>
        <w:bidi w:val="0"/>
        <w:jc w:val="both"/>
        <w:rPr>
          <w:rFonts w:ascii="Arial Narrow" w:hAnsi="Arial Narrow" w:cs="Arial Narrow"/>
          <w:sz w:val="20"/>
          <w:szCs w:val="20"/>
        </w:rPr>
      </w:pPr>
    </w:p>
    <w:p w:rsidR="001E5B24" w:rsidRPr="0036344B" w:rsidP="001E5B24">
      <w:pPr>
        <w:bidi w:val="0"/>
        <w:ind w:firstLine="708"/>
        <w:jc w:val="both"/>
        <w:rPr>
          <w:rFonts w:ascii="Arial Narrow" w:hAnsi="Arial Narrow" w:cs="Arial Narrow"/>
          <w:sz w:val="22"/>
          <w:szCs w:val="22"/>
        </w:rPr>
      </w:pPr>
      <w:r w:rsidRPr="005C03BF">
        <w:rPr>
          <w:rFonts w:ascii="Arial Narrow" w:hAnsi="Arial Narrow" w:cs="Arial Narrow"/>
          <w:sz w:val="22"/>
          <w:szCs w:val="22"/>
        </w:rPr>
        <w:t xml:space="preserve">V porovnaní so schváleným rozpočtom roka 2010 sú výdavky väzenstva v roku 2011 bez započítania výdavkov na osobitný účet, zvýšené oproti schválenému rozpočtu roka 2010 o sumu </w:t>
      </w:r>
      <w:r>
        <w:rPr>
          <w:rFonts w:ascii="Arial Narrow" w:hAnsi="Arial Narrow" w:cs="Arial Narrow"/>
          <w:sz w:val="22"/>
          <w:szCs w:val="22"/>
        </w:rPr>
        <w:t>1,2</w:t>
      </w:r>
      <w:r w:rsidRPr="005C03BF">
        <w:rPr>
          <w:rFonts w:ascii="Arial Narrow" w:hAnsi="Arial Narrow" w:cs="Arial Narrow"/>
          <w:sz w:val="22"/>
          <w:szCs w:val="22"/>
        </w:rPr>
        <w:t xml:space="preserve"> mil. eur,  </w:t>
      </w:r>
      <w:r w:rsidR="007C7DA8">
        <w:rPr>
          <w:rFonts w:ascii="Arial Narrow" w:hAnsi="Arial Narrow" w:cs="Arial Narrow"/>
          <w:sz w:val="22"/>
          <w:szCs w:val="22"/>
        </w:rPr>
        <w:t>t. j.</w:t>
      </w:r>
      <w:r w:rsidRPr="005C03BF">
        <w:rPr>
          <w:rFonts w:ascii="Arial Narrow" w:hAnsi="Arial Narrow" w:cs="Arial Narrow"/>
          <w:sz w:val="22"/>
          <w:szCs w:val="22"/>
        </w:rPr>
        <w:t xml:space="preserve"> o</w:t>
      </w:r>
      <w:r>
        <w:rPr>
          <w:rFonts w:ascii="Arial Narrow" w:hAnsi="Arial Narrow" w:cs="Arial Narrow"/>
          <w:sz w:val="22"/>
          <w:szCs w:val="22"/>
        </w:rPr>
        <w:t> 0,9</w:t>
      </w:r>
      <w:r w:rsidRPr="005C03BF">
        <w:rPr>
          <w:rFonts w:ascii="Arial Narrow" w:hAnsi="Arial Narrow" w:cs="Arial Narrow"/>
          <w:sz w:val="22"/>
          <w:szCs w:val="22"/>
        </w:rPr>
        <w:t>%. Výdavky na riešenie potrieb väzenstva</w:t>
      </w:r>
      <w:r w:rsidRPr="005C03BF">
        <w:rPr>
          <w:rFonts w:ascii="Arial Narrow" w:hAnsi="Arial Narrow" w:cs="Arial Narrow"/>
          <w:b/>
          <w:bCs/>
          <w:sz w:val="22"/>
          <w:szCs w:val="22"/>
        </w:rPr>
        <w:t xml:space="preserve"> </w:t>
      </w:r>
      <w:r w:rsidRPr="005C03BF">
        <w:rPr>
          <w:rFonts w:ascii="Arial Narrow" w:hAnsi="Arial Narrow" w:cs="Arial Narrow"/>
          <w:sz w:val="22"/>
          <w:szCs w:val="22"/>
        </w:rPr>
        <w:t>pokrývajú základné zabezpečenie výkonu väzby a výkonu trestu odňatia slobody, vrátane súvisiacej ochrany a stráženia objektov, ako aj zabezpečenia ochrany poriadku a bezpečnosti v súdnych objektoch.</w:t>
      </w:r>
      <w:r w:rsidRPr="0036344B">
        <w:rPr>
          <w:rFonts w:ascii="Arial Narrow" w:hAnsi="Arial Narrow" w:cs="Arial Narrow"/>
          <w:sz w:val="22"/>
          <w:szCs w:val="22"/>
        </w:rPr>
        <w:t xml:space="preserve"> </w:t>
      </w:r>
    </w:p>
    <w:p w:rsidR="001E5B24" w:rsidRPr="0036344B" w:rsidP="001E5B24">
      <w:pPr>
        <w:bidi w:val="0"/>
        <w:jc w:val="both"/>
        <w:rPr>
          <w:rFonts w:ascii="Arial Narrow" w:hAnsi="Arial Narrow" w:cs="Arial Narrow"/>
          <w:sz w:val="22"/>
          <w:szCs w:val="22"/>
        </w:rPr>
      </w:pPr>
    </w:p>
    <w:p w:rsidR="001E5B24" w:rsidRPr="007360C3" w:rsidP="001E5B24">
      <w:pPr>
        <w:tabs>
          <w:tab w:val="left" w:pos="360"/>
        </w:tabs>
        <w:bidi w:val="0"/>
        <w:jc w:val="both"/>
        <w:rPr>
          <w:rFonts w:ascii="Arial Narrow" w:hAnsi="Arial Narrow" w:cs="Arial Narrow"/>
          <w:b/>
          <w:bCs/>
          <w:sz w:val="22"/>
          <w:szCs w:val="22"/>
        </w:rPr>
      </w:pPr>
      <w:r>
        <w:rPr>
          <w:rFonts w:ascii="Arial Narrow" w:hAnsi="Arial Narrow" w:cs="Arial Narrow"/>
          <w:sz w:val="22"/>
          <w:szCs w:val="22"/>
        </w:rPr>
        <w:tab/>
        <w:tab/>
      </w:r>
      <w:r w:rsidRPr="0036344B">
        <w:rPr>
          <w:rFonts w:ascii="Arial Narrow" w:hAnsi="Arial Narrow" w:cs="Arial Narrow"/>
          <w:sz w:val="22"/>
          <w:szCs w:val="22"/>
        </w:rPr>
        <w:t>Z</w:t>
      </w:r>
      <w:r>
        <w:rPr>
          <w:rFonts w:ascii="Arial Narrow" w:hAnsi="Arial Narrow" w:cs="Arial Narrow"/>
          <w:sz w:val="22"/>
          <w:szCs w:val="22"/>
        </w:rPr>
        <w:t>bor väzenskej a justičnej stráže</w:t>
      </w:r>
      <w:r w:rsidRPr="0036344B">
        <w:rPr>
          <w:rFonts w:ascii="Arial Narrow" w:hAnsi="Arial Narrow" w:cs="Arial Narrow"/>
          <w:sz w:val="22"/>
          <w:szCs w:val="22"/>
        </w:rPr>
        <w:t xml:space="preserve"> </w:t>
      </w:r>
      <w:r>
        <w:rPr>
          <w:rFonts w:ascii="Arial Narrow" w:hAnsi="Arial Narrow" w:cs="Arial Narrow"/>
          <w:sz w:val="22"/>
          <w:szCs w:val="22"/>
        </w:rPr>
        <w:t>spravuje</w:t>
      </w:r>
      <w:r w:rsidRPr="007360C3">
        <w:rPr>
          <w:rFonts w:ascii="Arial Narrow" w:hAnsi="Arial Narrow" w:cs="Arial Narrow"/>
          <w:sz w:val="22"/>
          <w:szCs w:val="22"/>
        </w:rPr>
        <w:t xml:space="preserve"> osobitný</w:t>
      </w:r>
      <w:r w:rsidRPr="004A19E0">
        <w:rPr>
          <w:rFonts w:ascii="Arial Narrow" w:hAnsi="Arial Narrow" w:cs="Arial Narrow"/>
          <w:sz w:val="22"/>
          <w:szCs w:val="22"/>
        </w:rPr>
        <w:t xml:space="preserve"> účet</w:t>
      </w:r>
      <w:r w:rsidRPr="0036344B">
        <w:rPr>
          <w:rFonts w:ascii="Arial Narrow" w:hAnsi="Arial Narrow" w:cs="Arial Narrow"/>
          <w:b/>
          <w:bCs/>
          <w:sz w:val="22"/>
          <w:szCs w:val="22"/>
        </w:rPr>
        <w:t xml:space="preserve"> </w:t>
      </w:r>
      <w:r w:rsidRPr="0036344B">
        <w:rPr>
          <w:rFonts w:ascii="Arial Narrow" w:hAnsi="Arial Narrow" w:cs="Arial Narrow"/>
          <w:sz w:val="22"/>
          <w:szCs w:val="22"/>
        </w:rPr>
        <w:t>v</w:t>
      </w:r>
      <w:r w:rsidRPr="0036344B">
        <w:rPr>
          <w:rFonts w:ascii="Arial Narrow" w:hAnsi="Arial Narrow" w:cs="Arial Narrow"/>
          <w:b/>
          <w:bCs/>
          <w:sz w:val="22"/>
          <w:szCs w:val="22"/>
        </w:rPr>
        <w:t xml:space="preserve"> </w:t>
      </w:r>
      <w:r w:rsidRPr="0036344B">
        <w:rPr>
          <w:rFonts w:ascii="Arial Narrow" w:hAnsi="Arial Narrow" w:cs="Arial Narrow"/>
          <w:sz w:val="22"/>
          <w:szCs w:val="22"/>
        </w:rPr>
        <w:t>zmysle zákona č. 328/2002 Z. z. o sociálnom zabezpečení policajtov a vojakov a o zmene a doplnení niektorých zákonov.</w:t>
      </w:r>
    </w:p>
    <w:p w:rsidR="001E5B24" w:rsidRPr="00A759B5" w:rsidP="001E5B24">
      <w:pPr>
        <w:bidi w:val="0"/>
        <w:jc w:val="both"/>
        <w:rPr>
          <w:rFonts w:ascii="Arial Narrow" w:hAnsi="Arial Narrow" w:cs="Arial Narrow"/>
          <w:sz w:val="22"/>
          <w:szCs w:val="22"/>
        </w:rPr>
      </w:pPr>
      <w:r w:rsidRPr="0036344B">
        <w:rPr>
          <w:rFonts w:ascii="Arial Narrow" w:hAnsi="Arial Narrow" w:cs="Arial Narrow"/>
          <w:sz w:val="22"/>
          <w:szCs w:val="22"/>
        </w:rPr>
        <w:t xml:space="preserve"> </w:t>
      </w:r>
    </w:p>
    <w:tbl>
      <w:tblPr>
        <w:tblStyle w:val="TableNormal"/>
        <w:tblW w:w="9087" w:type="dxa"/>
        <w:tblInd w:w="55" w:type="dxa"/>
        <w:tblLayout w:type="fixed"/>
        <w:tblCellMar>
          <w:left w:w="70" w:type="dxa"/>
          <w:right w:w="70" w:type="dxa"/>
        </w:tblCellMar>
        <w:tblLook w:val="00A0"/>
      </w:tblPr>
      <w:tblGrid>
        <w:gridCol w:w="3559"/>
        <w:gridCol w:w="921"/>
        <w:gridCol w:w="921"/>
        <w:gridCol w:w="922"/>
        <w:gridCol w:w="921"/>
        <w:gridCol w:w="921"/>
        <w:gridCol w:w="922"/>
      </w:tblGrid>
      <w:tr>
        <w:tblPrEx>
          <w:tblW w:w="9087" w:type="dxa"/>
          <w:tblInd w:w="55" w:type="dxa"/>
          <w:tblLayout w:type="fixed"/>
          <w:tblCellMar>
            <w:left w:w="70" w:type="dxa"/>
            <w:right w:w="70" w:type="dxa"/>
          </w:tblCellMar>
          <w:tblLook w:val="00A0"/>
        </w:tblPrEx>
        <w:trPr>
          <w:trHeight w:val="270"/>
        </w:trPr>
        <w:tc>
          <w:tcPr>
            <w:tcW w:w="3559"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EA7A0E" w:rsidP="001E5B24">
            <w:pPr>
              <w:bidi w:val="0"/>
              <w:rPr>
                <w:rFonts w:ascii="Arial Narrow" w:hAnsi="Arial Narrow" w:cs="Arial Narrow"/>
                <w:b/>
                <w:bCs/>
                <w:sz w:val="16"/>
                <w:szCs w:val="16"/>
              </w:rPr>
            </w:pPr>
            <w:r w:rsidRPr="00EA7A0E">
              <w:rPr>
                <w:rFonts w:ascii="Arial Narrow" w:hAnsi="Arial Narrow" w:cs="Arial Narrow"/>
                <w:b/>
                <w:bCs/>
                <w:sz w:val="16"/>
                <w:szCs w:val="16"/>
              </w:rPr>
              <w:t>Osobitný účet ZVJS</w:t>
            </w:r>
            <w:r>
              <w:rPr>
                <w:rFonts w:ascii="Arial Narrow" w:hAnsi="Arial Narrow" w:cs="Arial Narrow"/>
                <w:b/>
                <w:bCs/>
                <w:sz w:val="16"/>
                <w:szCs w:val="16"/>
              </w:rPr>
              <w:t xml:space="preserve"> (sociálny systém) v tis. eur</w:t>
            </w:r>
          </w:p>
        </w:tc>
        <w:tc>
          <w:tcPr>
            <w:tcW w:w="92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2008 S</w:t>
            </w:r>
          </w:p>
        </w:tc>
        <w:tc>
          <w:tcPr>
            <w:tcW w:w="92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2009 S</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 xml:space="preserve">2010 </w:t>
            </w:r>
            <w:r>
              <w:rPr>
                <w:rFonts w:ascii="Arial Narrow" w:hAnsi="Arial Narrow" w:cs="Arial Narrow"/>
                <w:b/>
                <w:bCs/>
                <w:sz w:val="16"/>
                <w:szCs w:val="16"/>
              </w:rPr>
              <w:t>OS</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2011 N</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2012 N</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EA7A0E" w:rsidP="001E5B24">
            <w:pPr>
              <w:bidi w:val="0"/>
              <w:jc w:val="center"/>
              <w:rPr>
                <w:rFonts w:ascii="Arial Narrow" w:hAnsi="Arial Narrow" w:cs="Arial Narrow"/>
                <w:b/>
                <w:bCs/>
                <w:sz w:val="16"/>
                <w:szCs w:val="16"/>
              </w:rPr>
            </w:pPr>
            <w:r w:rsidRPr="00EA7A0E">
              <w:rPr>
                <w:rFonts w:ascii="Arial Narrow" w:hAnsi="Arial Narrow" w:cs="Arial Narrow"/>
                <w:b/>
                <w:bCs/>
                <w:sz w:val="16"/>
                <w:szCs w:val="16"/>
              </w:rPr>
              <w:t>2013 N</w:t>
            </w:r>
          </w:p>
        </w:tc>
      </w:tr>
      <w:tr>
        <w:tblPrEx>
          <w:tblW w:w="9087" w:type="dxa"/>
          <w:tblInd w:w="55" w:type="dxa"/>
          <w:tblLayout w:type="fixed"/>
          <w:tblCellMar>
            <w:left w:w="70" w:type="dxa"/>
            <w:right w:w="70" w:type="dxa"/>
          </w:tblCellMar>
          <w:tblLook w:val="00A0"/>
        </w:tblPrEx>
        <w:trPr>
          <w:trHeight w:val="27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rPr>
                <w:rFonts w:ascii="Arial Narrow" w:hAnsi="Arial Narrow" w:cs="Arial Narrow"/>
                <w:sz w:val="16"/>
                <w:szCs w:val="16"/>
              </w:rPr>
            </w:pPr>
            <w:r w:rsidRPr="00EA7A0E">
              <w:rPr>
                <w:rFonts w:ascii="Arial Narrow" w:hAnsi="Arial Narrow" w:cs="Arial Narrow"/>
                <w:sz w:val="16"/>
                <w:szCs w:val="16"/>
              </w:rPr>
              <w:t>príjmy osobitného účtu</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18 29</w:t>
            </w:r>
            <w:r>
              <w:rPr>
                <w:rFonts w:ascii="Arial Narrow" w:hAnsi="Arial Narrow" w:cs="Arial Narrow"/>
                <w:sz w:val="16"/>
                <w:szCs w:val="16"/>
              </w:rPr>
              <w:t>4</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23 550</w:t>
            </w:r>
          </w:p>
        </w:tc>
        <w:tc>
          <w:tcPr>
            <w:tcW w:w="92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22 795</w:t>
            </w:r>
          </w:p>
        </w:tc>
        <w:tc>
          <w:tcPr>
            <w:tcW w:w="921"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2571F" w:rsidP="001E5B24">
            <w:pPr>
              <w:bidi w:val="0"/>
              <w:jc w:val="right"/>
              <w:rPr>
                <w:rFonts w:ascii="Arial Narrow" w:hAnsi="Arial Narrow" w:cs="Arial Narrow"/>
                <w:sz w:val="16"/>
                <w:szCs w:val="16"/>
              </w:rPr>
            </w:pPr>
            <w:r w:rsidRPr="0022571F">
              <w:rPr>
                <w:rFonts w:ascii="Arial Narrow" w:hAnsi="Arial Narrow" w:cs="Arial Narrow"/>
                <w:sz w:val="16"/>
                <w:szCs w:val="16"/>
              </w:rPr>
              <w:t>21 689</w:t>
            </w:r>
          </w:p>
        </w:tc>
        <w:tc>
          <w:tcPr>
            <w:tcW w:w="921"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21 915</w:t>
            </w:r>
          </w:p>
        </w:tc>
        <w:tc>
          <w:tcPr>
            <w:tcW w:w="92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22 134</w:t>
            </w:r>
          </w:p>
        </w:tc>
      </w:tr>
      <w:tr>
        <w:tblPrEx>
          <w:tblW w:w="9087" w:type="dxa"/>
          <w:tblInd w:w="55" w:type="dxa"/>
          <w:tblLayout w:type="fixed"/>
          <w:tblCellMar>
            <w:left w:w="70" w:type="dxa"/>
            <w:right w:w="70" w:type="dxa"/>
          </w:tblCellMar>
          <w:tblLook w:val="00A0"/>
        </w:tblPrEx>
        <w:trPr>
          <w:trHeight w:val="27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rPr>
                <w:rFonts w:ascii="Arial Narrow" w:hAnsi="Arial Narrow" w:cs="Arial Narrow"/>
                <w:sz w:val="16"/>
                <w:szCs w:val="16"/>
              </w:rPr>
            </w:pPr>
            <w:r w:rsidRPr="00EA7A0E">
              <w:rPr>
                <w:rFonts w:ascii="Arial Narrow" w:hAnsi="Arial Narrow" w:cs="Arial Narrow"/>
                <w:sz w:val="16"/>
                <w:szCs w:val="16"/>
              </w:rPr>
              <w:t>výdavky osobitného účtu</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Pr>
                <w:rFonts w:ascii="Arial Narrow" w:hAnsi="Arial Narrow" w:cs="Arial Narrow"/>
                <w:sz w:val="16"/>
                <w:szCs w:val="16"/>
              </w:rPr>
              <w:t>21 132</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22 220</w:t>
            </w:r>
          </w:p>
        </w:tc>
        <w:tc>
          <w:tcPr>
            <w:tcW w:w="922"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29 815</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22571F" w:rsidP="001E5B24">
            <w:pPr>
              <w:bidi w:val="0"/>
              <w:jc w:val="right"/>
              <w:rPr>
                <w:rFonts w:ascii="Arial Narrow" w:hAnsi="Arial Narrow" w:cs="Arial Narrow"/>
                <w:sz w:val="16"/>
                <w:szCs w:val="16"/>
              </w:rPr>
            </w:pPr>
            <w:r w:rsidRPr="0022571F">
              <w:rPr>
                <w:rFonts w:ascii="Arial Narrow" w:hAnsi="Arial Narrow" w:cs="Arial Narrow"/>
                <w:sz w:val="16"/>
                <w:szCs w:val="16"/>
              </w:rPr>
              <w:t>29 956</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30 91</w:t>
            </w:r>
            <w:r>
              <w:rPr>
                <w:rFonts w:ascii="Arial Narrow" w:hAnsi="Arial Narrow" w:cs="Arial Narrow"/>
                <w:sz w:val="16"/>
                <w:szCs w:val="16"/>
              </w:rPr>
              <w:t>2</w:t>
            </w:r>
          </w:p>
        </w:tc>
        <w:tc>
          <w:tcPr>
            <w:tcW w:w="922"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 xml:space="preserve">31 </w:t>
            </w:r>
            <w:r>
              <w:rPr>
                <w:rFonts w:ascii="Arial Narrow" w:hAnsi="Arial Narrow" w:cs="Arial Narrow"/>
                <w:sz w:val="16"/>
                <w:szCs w:val="16"/>
              </w:rPr>
              <w:t>300</w:t>
            </w:r>
          </w:p>
        </w:tc>
      </w:tr>
      <w:tr>
        <w:tblPrEx>
          <w:tblW w:w="9087" w:type="dxa"/>
          <w:tblInd w:w="55" w:type="dxa"/>
          <w:tblLayout w:type="fixed"/>
          <w:tblCellMar>
            <w:left w:w="70" w:type="dxa"/>
            <w:right w:w="70" w:type="dxa"/>
          </w:tblCellMar>
          <w:tblLook w:val="00A0"/>
        </w:tblPrEx>
        <w:trPr>
          <w:trHeight w:val="27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rPr>
                <w:rFonts w:ascii="Arial Narrow" w:hAnsi="Arial Narrow" w:cs="Arial Narrow"/>
                <w:sz w:val="16"/>
                <w:szCs w:val="16"/>
              </w:rPr>
            </w:pPr>
            <w:r>
              <w:rPr>
                <w:rFonts w:ascii="Arial Narrow" w:hAnsi="Arial Narrow" w:cs="Arial Narrow"/>
                <w:sz w:val="16"/>
                <w:szCs w:val="16"/>
              </w:rPr>
              <w:t>príspevok na</w:t>
            </w:r>
            <w:r w:rsidRPr="00EA7A0E">
              <w:rPr>
                <w:rFonts w:ascii="Arial Narrow" w:hAnsi="Arial Narrow" w:cs="Arial Narrow"/>
                <w:sz w:val="16"/>
                <w:szCs w:val="16"/>
              </w:rPr>
              <w:t xml:space="preserve"> osobitn</w:t>
            </w:r>
            <w:r>
              <w:rPr>
                <w:rFonts w:ascii="Arial Narrow" w:hAnsi="Arial Narrow" w:cs="Arial Narrow"/>
                <w:sz w:val="16"/>
                <w:szCs w:val="16"/>
              </w:rPr>
              <w:t>ý</w:t>
            </w:r>
            <w:r w:rsidRPr="00EA7A0E">
              <w:rPr>
                <w:rFonts w:ascii="Arial Narrow" w:hAnsi="Arial Narrow" w:cs="Arial Narrow"/>
                <w:sz w:val="16"/>
                <w:szCs w:val="16"/>
              </w:rPr>
              <w:t xml:space="preserve"> úč</w:t>
            </w:r>
            <w:r>
              <w:rPr>
                <w:rFonts w:ascii="Arial Narrow" w:hAnsi="Arial Narrow" w:cs="Arial Narrow"/>
                <w:sz w:val="16"/>
                <w:szCs w:val="16"/>
              </w:rPr>
              <w:t>e</w:t>
            </w:r>
            <w:r w:rsidRPr="00EA7A0E">
              <w:rPr>
                <w:rFonts w:ascii="Arial Narrow" w:hAnsi="Arial Narrow" w:cs="Arial Narrow"/>
                <w:sz w:val="16"/>
                <w:szCs w:val="16"/>
              </w:rPr>
              <w:t>t</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2 838</w:t>
            </w:r>
          </w:p>
        </w:tc>
        <w:tc>
          <w:tcPr>
            <w:tcW w:w="921" w:type="dxa"/>
            <w:tcBorders>
              <w:top w:val="single" w:sz="4" w:space="0" w:color="auto"/>
              <w:left w:val="single" w:sz="4" w:space="0" w:color="auto"/>
              <w:bottom w:val="single" w:sz="4" w:space="0" w:color="auto"/>
              <w:right w:val="single" w:sz="4" w:space="0" w:color="auto"/>
            </w:tcBorders>
            <w:textDirection w:val="lrTb"/>
            <w:vAlign w:val="bottom"/>
          </w:tcPr>
          <w:p w:rsidR="001E5B24" w:rsidRPr="00EA7A0E"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92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7 020</w:t>
            </w:r>
          </w:p>
        </w:tc>
        <w:tc>
          <w:tcPr>
            <w:tcW w:w="921"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22571F" w:rsidP="001E5B24">
            <w:pPr>
              <w:bidi w:val="0"/>
              <w:jc w:val="right"/>
              <w:rPr>
                <w:rFonts w:ascii="Arial Narrow" w:hAnsi="Arial Narrow" w:cs="Arial Narrow"/>
                <w:sz w:val="16"/>
                <w:szCs w:val="16"/>
              </w:rPr>
            </w:pPr>
            <w:r w:rsidRPr="0022571F">
              <w:rPr>
                <w:rFonts w:ascii="Arial Narrow" w:hAnsi="Arial Narrow" w:cs="Arial Narrow"/>
                <w:sz w:val="16"/>
                <w:szCs w:val="16"/>
              </w:rPr>
              <w:t>8 267</w:t>
            </w:r>
          </w:p>
        </w:tc>
        <w:tc>
          <w:tcPr>
            <w:tcW w:w="921"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sidRPr="00EA7A0E">
              <w:rPr>
                <w:rFonts w:ascii="Arial Narrow" w:hAnsi="Arial Narrow" w:cs="Arial Narrow"/>
                <w:sz w:val="16"/>
                <w:szCs w:val="16"/>
              </w:rPr>
              <w:t>8 99</w:t>
            </w:r>
            <w:r>
              <w:rPr>
                <w:rFonts w:ascii="Arial Narrow" w:hAnsi="Arial Narrow" w:cs="Arial Narrow"/>
                <w:sz w:val="16"/>
                <w:szCs w:val="16"/>
              </w:rPr>
              <w:t>7</w:t>
            </w:r>
          </w:p>
        </w:tc>
        <w:tc>
          <w:tcPr>
            <w:tcW w:w="92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EA7A0E" w:rsidP="001E5B24">
            <w:pPr>
              <w:bidi w:val="0"/>
              <w:jc w:val="right"/>
              <w:rPr>
                <w:rFonts w:ascii="Arial Narrow" w:hAnsi="Arial Narrow" w:cs="Arial Narrow"/>
                <w:sz w:val="16"/>
                <w:szCs w:val="16"/>
              </w:rPr>
            </w:pPr>
            <w:r>
              <w:rPr>
                <w:rFonts w:ascii="Arial Narrow" w:hAnsi="Arial Narrow" w:cs="Arial Narrow"/>
                <w:sz w:val="16"/>
                <w:szCs w:val="16"/>
              </w:rPr>
              <w:t>9 166</w:t>
            </w:r>
          </w:p>
        </w:tc>
      </w:tr>
    </w:tbl>
    <w:p w:rsidR="001E5B24" w:rsidRPr="00C44084" w:rsidP="001E5B24">
      <w:pPr>
        <w:tabs>
          <w:tab w:val="left" w:pos="360"/>
        </w:tabs>
        <w:bidi w:val="0"/>
        <w:rPr>
          <w:rFonts w:ascii="Arial Narrow" w:hAnsi="Arial Narrow" w:cs="Arial Narrow"/>
          <w:sz w:val="22"/>
          <w:szCs w:val="22"/>
          <w:highlight w:val="cyan"/>
        </w:rPr>
      </w:pPr>
    </w:p>
    <w:p w:rsidR="001E5B24" w:rsidP="001E5B24">
      <w:pPr>
        <w:tabs>
          <w:tab w:val="left" w:pos="360"/>
        </w:tabs>
        <w:bidi w:val="0"/>
        <w:jc w:val="both"/>
        <w:rPr>
          <w:rFonts w:ascii="Arial Narrow" w:hAnsi="Arial Narrow" w:cs="Arial Narrow"/>
          <w:sz w:val="22"/>
          <w:szCs w:val="22"/>
        </w:rPr>
      </w:pPr>
      <w:r>
        <w:rPr>
          <w:rFonts w:ascii="Arial Narrow" w:hAnsi="Arial Narrow" w:cs="Arial Narrow"/>
          <w:sz w:val="22"/>
          <w:szCs w:val="22"/>
        </w:rPr>
        <w:tab/>
        <w:tab/>
        <w:t xml:space="preserve">Do roku 2007 bol na osobitnom účte na riešenie sociálneho zabezpečenia príslušníkov zboru väzenskej a justičnej stráže ku koncu zúčtovacieho obdobia prebytok. </w:t>
      </w:r>
      <w:r w:rsidRPr="0036344B">
        <w:rPr>
          <w:rFonts w:ascii="Arial Narrow" w:hAnsi="Arial Narrow" w:cs="Arial Narrow"/>
          <w:sz w:val="22"/>
          <w:szCs w:val="22"/>
        </w:rPr>
        <w:t>Od roku 200</w:t>
      </w:r>
      <w:r>
        <w:rPr>
          <w:rFonts w:ascii="Arial Narrow" w:hAnsi="Arial Narrow" w:cs="Arial Narrow"/>
          <w:sz w:val="22"/>
          <w:szCs w:val="22"/>
        </w:rPr>
        <w:t>8</w:t>
      </w:r>
      <w:r w:rsidRPr="0036344B">
        <w:rPr>
          <w:rFonts w:ascii="Arial Narrow" w:hAnsi="Arial Narrow" w:cs="Arial Narrow"/>
          <w:sz w:val="22"/>
          <w:szCs w:val="22"/>
        </w:rPr>
        <w:t xml:space="preserve"> </w:t>
      </w:r>
      <w:r>
        <w:rPr>
          <w:rFonts w:ascii="Arial Narrow" w:hAnsi="Arial Narrow" w:cs="Arial Narrow"/>
          <w:sz w:val="22"/>
          <w:szCs w:val="22"/>
        </w:rPr>
        <w:t>vykazuje osobitný účet</w:t>
      </w:r>
      <w:r w:rsidRPr="004A19E0">
        <w:rPr>
          <w:rFonts w:ascii="Arial Narrow" w:hAnsi="Arial Narrow" w:cs="Arial Narrow"/>
          <w:sz w:val="22"/>
          <w:szCs w:val="22"/>
        </w:rPr>
        <w:t xml:space="preserve"> </w:t>
      </w:r>
      <w:r w:rsidRPr="0036344B">
        <w:rPr>
          <w:rFonts w:ascii="Arial Narrow" w:hAnsi="Arial Narrow" w:cs="Arial Narrow"/>
          <w:sz w:val="22"/>
          <w:szCs w:val="22"/>
        </w:rPr>
        <w:t xml:space="preserve">schodok, ktorý </w:t>
      </w:r>
      <w:r>
        <w:rPr>
          <w:rFonts w:ascii="Arial Narrow" w:hAnsi="Arial Narrow" w:cs="Arial Narrow"/>
          <w:sz w:val="22"/>
          <w:szCs w:val="22"/>
        </w:rPr>
        <w:t xml:space="preserve">je nevyhnutné zo zákona </w:t>
      </w:r>
      <w:r w:rsidRPr="0036344B">
        <w:rPr>
          <w:rFonts w:ascii="Arial Narrow" w:hAnsi="Arial Narrow" w:cs="Arial Narrow"/>
          <w:sz w:val="22"/>
          <w:szCs w:val="22"/>
        </w:rPr>
        <w:t>vyrovn</w:t>
      </w:r>
      <w:r>
        <w:rPr>
          <w:rFonts w:ascii="Arial Narrow" w:hAnsi="Arial Narrow" w:cs="Arial Narrow"/>
          <w:sz w:val="22"/>
          <w:szCs w:val="22"/>
        </w:rPr>
        <w:t xml:space="preserve">ávať </w:t>
      </w:r>
      <w:r w:rsidRPr="0036344B">
        <w:rPr>
          <w:rFonts w:ascii="Arial Narrow" w:hAnsi="Arial Narrow" w:cs="Arial Narrow"/>
          <w:sz w:val="22"/>
          <w:szCs w:val="22"/>
        </w:rPr>
        <w:t>príspevkom zo štátneho rozpočtu</w:t>
      </w:r>
      <w:r>
        <w:rPr>
          <w:rFonts w:ascii="Arial Narrow" w:hAnsi="Arial Narrow" w:cs="Arial Narrow"/>
          <w:sz w:val="22"/>
          <w:szCs w:val="22"/>
        </w:rPr>
        <w:t>. Účelovo pridelené prostriedky do rozpočtu rezortu spravodlivosti na roky 2011 až 2013, určené na krytie schodku osobitného účtu, vyriešili pretrvávajúci problém vo financovaní Zboru väzenskej a justičnej stráže, ktorý v posledných rokoch veľmi nepriaznivo ovplyvňoval jeho rozpočtové hospodárenie.</w:t>
      </w:r>
    </w:p>
    <w:p w:rsidR="001E5B24" w:rsidRPr="00C44084" w:rsidP="001E5B24">
      <w:pPr>
        <w:tabs>
          <w:tab w:val="left" w:pos="360"/>
        </w:tabs>
        <w:bidi w:val="0"/>
        <w:jc w:val="both"/>
        <w:rPr>
          <w:rFonts w:ascii="Arial Narrow" w:hAnsi="Arial Narrow" w:cs="Arial Narrow"/>
          <w:sz w:val="22"/>
          <w:szCs w:val="22"/>
          <w:highlight w:val="cyan"/>
        </w:rPr>
      </w:pPr>
      <w:r w:rsidRPr="0036344B">
        <w:rPr>
          <w:rFonts w:ascii="Arial Narrow" w:hAnsi="Arial Narrow" w:cs="Arial Narrow"/>
          <w:sz w:val="22"/>
          <w:szCs w:val="22"/>
        </w:rPr>
        <w:t xml:space="preserve"> </w:t>
      </w:r>
    </w:p>
    <w:p w:rsidR="001E5B24" w:rsidRPr="00936BAF" w:rsidP="001E5B24">
      <w:pPr>
        <w:bidi w:val="0"/>
        <w:ind w:firstLine="708"/>
        <w:jc w:val="both"/>
        <w:rPr>
          <w:rFonts w:ascii="Arial Narrow" w:hAnsi="Arial Narrow" w:cs="Arial Narrow"/>
          <w:sz w:val="22"/>
          <w:szCs w:val="22"/>
        </w:rPr>
      </w:pPr>
      <w:r>
        <w:rPr>
          <w:rFonts w:ascii="Arial Narrow" w:hAnsi="Arial Narrow" w:cs="Arial Narrow"/>
          <w:sz w:val="22"/>
          <w:szCs w:val="22"/>
        </w:rPr>
        <w:t>V prípade, že by vývoj počtov odsúdených akceleroval v najbližšom období podobne ako je tomu v priebehu roka 2010, mohol by v blízkej budúcnosti nastať</w:t>
      </w:r>
      <w:r w:rsidRPr="00936BAF">
        <w:rPr>
          <w:rFonts w:ascii="Arial Narrow" w:hAnsi="Arial Narrow" w:cs="Arial Narrow"/>
          <w:sz w:val="22"/>
          <w:szCs w:val="22"/>
        </w:rPr>
        <w:t xml:space="preserve"> problém vo vzťahu k</w:t>
      </w:r>
      <w:r>
        <w:rPr>
          <w:rFonts w:ascii="Arial Narrow" w:hAnsi="Arial Narrow" w:cs="Arial Narrow"/>
          <w:sz w:val="22"/>
          <w:szCs w:val="22"/>
        </w:rPr>
        <w:t xml:space="preserve"> celkovej</w:t>
      </w:r>
      <w:r w:rsidRPr="00936BAF">
        <w:rPr>
          <w:rFonts w:ascii="Arial Narrow" w:hAnsi="Arial Narrow" w:cs="Arial Narrow"/>
          <w:sz w:val="22"/>
          <w:szCs w:val="22"/>
        </w:rPr>
        <w:t xml:space="preserve"> kapacite väzenských objektov</w:t>
      </w:r>
      <w:r>
        <w:rPr>
          <w:rFonts w:ascii="Arial Narrow" w:hAnsi="Arial Narrow" w:cs="Arial Narrow"/>
          <w:sz w:val="22"/>
          <w:szCs w:val="22"/>
        </w:rPr>
        <w:t xml:space="preserve">, </w:t>
      </w:r>
      <w:r w:rsidRPr="00936BAF">
        <w:rPr>
          <w:rFonts w:ascii="Arial Narrow" w:hAnsi="Arial Narrow" w:cs="Arial Narrow"/>
          <w:sz w:val="22"/>
          <w:szCs w:val="22"/>
        </w:rPr>
        <w:t>ktor</w:t>
      </w:r>
      <w:r>
        <w:rPr>
          <w:rFonts w:ascii="Arial Narrow" w:hAnsi="Arial Narrow" w:cs="Arial Narrow"/>
          <w:sz w:val="22"/>
          <w:szCs w:val="22"/>
        </w:rPr>
        <w:t xml:space="preserve">á je na Slovensku dlhodobo neriešená. Touto otázkou sa už niekoľko rokov zaoberajú aj </w:t>
      </w:r>
      <w:r w:rsidRPr="00936BAF">
        <w:rPr>
          <w:rFonts w:ascii="Arial Narrow" w:hAnsi="Arial Narrow" w:cs="Arial Narrow"/>
          <w:sz w:val="22"/>
          <w:szCs w:val="22"/>
        </w:rPr>
        <w:t>vládou schválen</w:t>
      </w:r>
      <w:r>
        <w:rPr>
          <w:rFonts w:ascii="Arial Narrow" w:hAnsi="Arial Narrow" w:cs="Arial Narrow"/>
          <w:sz w:val="22"/>
          <w:szCs w:val="22"/>
        </w:rPr>
        <w:t>é</w:t>
      </w:r>
      <w:r w:rsidRPr="00936BAF">
        <w:rPr>
          <w:rFonts w:ascii="Arial Narrow" w:hAnsi="Arial Narrow" w:cs="Arial Narrow"/>
          <w:sz w:val="22"/>
          <w:szCs w:val="22"/>
        </w:rPr>
        <w:t xml:space="preserve"> odporúčan</w:t>
      </w:r>
      <w:r>
        <w:rPr>
          <w:rFonts w:ascii="Arial Narrow" w:hAnsi="Arial Narrow" w:cs="Arial Narrow"/>
          <w:sz w:val="22"/>
          <w:szCs w:val="22"/>
        </w:rPr>
        <w:t>ia</w:t>
      </w:r>
      <w:r w:rsidRPr="00936BAF">
        <w:rPr>
          <w:rFonts w:ascii="Arial Narrow" w:hAnsi="Arial Narrow" w:cs="Arial Narrow"/>
          <w:sz w:val="22"/>
          <w:szCs w:val="22"/>
        </w:rPr>
        <w:t xml:space="preserve"> Európskeho výboru na zabránenie mučenia a neľudského či ponižujúceho zaobchádzania alebo trestania.</w:t>
      </w:r>
    </w:p>
    <w:p w:rsidR="001E5B24" w:rsidRPr="00AF0E2D" w:rsidP="001E5B24">
      <w:pPr>
        <w:bidi w:val="0"/>
        <w:ind w:firstLine="708"/>
        <w:jc w:val="both"/>
        <w:rPr>
          <w:rFonts w:ascii="Arial Narrow" w:hAnsi="Arial Narrow" w:cs="Arial Narrow"/>
          <w:sz w:val="20"/>
          <w:szCs w:val="20"/>
        </w:rPr>
      </w:pPr>
    </w:p>
    <w:p w:rsidR="001E5B24" w:rsidRPr="00936BAF" w:rsidP="001E5B24">
      <w:pPr>
        <w:bidi w:val="0"/>
        <w:ind w:firstLine="708"/>
        <w:jc w:val="both"/>
        <w:rPr>
          <w:rFonts w:ascii="Arial Narrow" w:hAnsi="Arial Narrow" w:cs="Arial Narrow"/>
          <w:sz w:val="22"/>
          <w:szCs w:val="22"/>
        </w:rPr>
      </w:pPr>
      <w:r w:rsidRPr="00936BAF">
        <w:rPr>
          <w:rFonts w:ascii="Arial Narrow" w:hAnsi="Arial Narrow" w:cs="Arial Narrow"/>
          <w:sz w:val="22"/>
          <w:szCs w:val="22"/>
        </w:rPr>
        <w:t>Do konca roka 2011 bude predpokladaná kapacita väzenských objektov v Zbore väzenskej a justičnej stráže 10 335 väznených osôb, čo predstavuje mierny pokles kapacity oproti roku 200</w:t>
      </w:r>
      <w:r>
        <w:rPr>
          <w:rFonts w:ascii="Arial Narrow" w:hAnsi="Arial Narrow" w:cs="Arial Narrow"/>
          <w:sz w:val="22"/>
          <w:szCs w:val="22"/>
        </w:rPr>
        <w:t>7</w:t>
      </w:r>
      <w:r w:rsidRPr="00936BAF">
        <w:rPr>
          <w:rFonts w:ascii="Arial Narrow" w:hAnsi="Arial Narrow" w:cs="Arial Narrow"/>
          <w:sz w:val="22"/>
          <w:szCs w:val="22"/>
        </w:rPr>
        <w:t>, ktorý je spôsobený realizáciou opatrení Európskeho výboru na zabránenie mučenia a neľudského či ponižujúceh</w:t>
      </w:r>
      <w:r>
        <w:rPr>
          <w:rFonts w:ascii="Arial Narrow" w:hAnsi="Arial Narrow" w:cs="Arial Narrow"/>
          <w:sz w:val="22"/>
          <w:szCs w:val="22"/>
        </w:rPr>
        <w:t>o zaobchádzania alebo trestania, ktoré boli sčasti zapracované do legislatívy týkajúcej sa podmienok obvinených a odsúdených vo výkone väzby a výkone trestu odňatia slobody.</w:t>
      </w:r>
    </w:p>
    <w:p w:rsidR="001E5B24" w:rsidRPr="00AF0E2D" w:rsidP="001E5B24">
      <w:pPr>
        <w:bidi w:val="0"/>
        <w:jc w:val="both"/>
        <w:rPr>
          <w:rFonts w:ascii="Arial Narrow" w:hAnsi="Arial Narrow" w:cs="Arial Narrow"/>
          <w:sz w:val="20"/>
          <w:szCs w:val="20"/>
        </w:rPr>
      </w:pPr>
    </w:p>
    <w:p w:rsidR="001E5B24" w:rsidRPr="009951A2" w:rsidP="001E5B24">
      <w:pPr>
        <w:bidi w:val="0"/>
        <w:jc w:val="both"/>
        <w:rPr>
          <w:rFonts w:ascii="Arial Narrow" w:hAnsi="Arial Narrow" w:cs="Arial Narrow"/>
          <w:sz w:val="22"/>
          <w:szCs w:val="22"/>
        </w:rPr>
      </w:pPr>
      <w:r w:rsidRPr="009951A2">
        <w:rPr>
          <w:rFonts w:ascii="Arial Narrow" w:hAnsi="Arial Narrow" w:cs="Arial Narrow"/>
          <w:sz w:val="22"/>
          <w:szCs w:val="22"/>
        </w:rPr>
        <w:t>Administratíva</w:t>
      </w:r>
    </w:p>
    <w:p w:rsidR="001E5B24" w:rsidRPr="00AF0E2D" w:rsidP="001E5B24">
      <w:pPr>
        <w:bidi w:val="0"/>
        <w:ind w:firstLine="708"/>
        <w:jc w:val="both"/>
        <w:rPr>
          <w:rFonts w:ascii="Arial Narrow" w:hAnsi="Arial Narrow" w:cs="Arial Narrow"/>
          <w:sz w:val="20"/>
          <w:szCs w:val="20"/>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276"/>
        <w:gridCol w:w="968"/>
        <w:gridCol w:w="969"/>
        <w:gridCol w:w="968"/>
        <w:gridCol w:w="969"/>
        <w:gridCol w:w="968"/>
        <w:gridCol w:w="969"/>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270"/>
        </w:trPr>
        <w:tc>
          <w:tcPr>
            <w:tcW w:w="327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rPr>
                <w:rFonts w:ascii="Arial Narrow" w:hAnsi="Arial Narrow" w:cs="Arial Narrow"/>
                <w:sz w:val="16"/>
                <w:szCs w:val="16"/>
              </w:rPr>
            </w:pPr>
            <w:r w:rsidRPr="00E70819">
              <w:rPr>
                <w:rFonts w:ascii="Arial Narrow" w:hAnsi="Arial Narrow" w:cs="Arial Narrow"/>
                <w:sz w:val="16"/>
                <w:szCs w:val="16"/>
              </w:rPr>
              <w:t> </w:t>
            </w:r>
            <w:r w:rsidRPr="00E70819">
              <w:rPr>
                <w:rFonts w:ascii="Arial Narrow" w:hAnsi="Arial Narrow" w:cs="Arial Narrow"/>
                <w:b/>
                <w:bCs/>
                <w:sz w:val="16"/>
                <w:szCs w:val="16"/>
              </w:rPr>
              <w:t xml:space="preserve">v tis. </w:t>
            </w:r>
            <w:r>
              <w:rPr>
                <w:rFonts w:ascii="Arial Narrow" w:hAnsi="Arial Narrow" w:cs="Arial Narrow"/>
                <w:b/>
                <w:bCs/>
                <w:sz w:val="16"/>
                <w:szCs w:val="16"/>
              </w:rPr>
              <w:t>e</w:t>
            </w:r>
            <w:r w:rsidRPr="00E70819">
              <w:rPr>
                <w:rFonts w:ascii="Arial Narrow" w:hAnsi="Arial Narrow" w:cs="Arial Narrow"/>
                <w:b/>
                <w:bCs/>
                <w:sz w:val="16"/>
                <w:szCs w:val="16"/>
              </w:rPr>
              <w:t>ur</w:t>
            </w:r>
          </w:p>
        </w:tc>
        <w:tc>
          <w:tcPr>
            <w:tcW w:w="968"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2008</w:t>
            </w:r>
            <w:r>
              <w:rPr>
                <w:rFonts w:ascii="Arial Narrow" w:hAnsi="Arial Narrow" w:cs="Arial Narrow"/>
                <w:b/>
                <w:bCs/>
                <w:sz w:val="16"/>
                <w:szCs w:val="16"/>
              </w:rPr>
              <w:t xml:space="preserve"> S</w:t>
            </w:r>
          </w:p>
        </w:tc>
        <w:tc>
          <w:tcPr>
            <w:tcW w:w="969"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2009</w:t>
            </w:r>
            <w:r>
              <w:rPr>
                <w:rFonts w:ascii="Arial Narrow" w:hAnsi="Arial Narrow" w:cs="Arial Narrow"/>
                <w:b/>
                <w:bCs/>
                <w:sz w:val="16"/>
                <w:szCs w:val="16"/>
              </w:rPr>
              <w:t xml:space="preserve"> S</w:t>
            </w:r>
          </w:p>
        </w:tc>
        <w:tc>
          <w:tcPr>
            <w:tcW w:w="968"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2010</w:t>
            </w:r>
            <w:r>
              <w:rPr>
                <w:rFonts w:ascii="Arial Narrow" w:hAnsi="Arial Narrow" w:cs="Arial Narrow"/>
                <w:b/>
                <w:bCs/>
                <w:sz w:val="16"/>
                <w:szCs w:val="16"/>
              </w:rPr>
              <w:t xml:space="preserve"> R</w:t>
            </w:r>
          </w:p>
        </w:tc>
        <w:tc>
          <w:tcPr>
            <w:tcW w:w="969"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2011</w:t>
            </w:r>
            <w:r>
              <w:rPr>
                <w:rFonts w:ascii="Arial Narrow" w:hAnsi="Arial Narrow" w:cs="Arial Narrow"/>
                <w:b/>
                <w:bCs/>
                <w:sz w:val="16"/>
                <w:szCs w:val="16"/>
              </w:rPr>
              <w:t xml:space="preserve"> N</w:t>
            </w:r>
          </w:p>
        </w:tc>
        <w:tc>
          <w:tcPr>
            <w:tcW w:w="968"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2012</w:t>
            </w:r>
            <w:r>
              <w:rPr>
                <w:rFonts w:ascii="Arial Narrow" w:hAnsi="Arial Narrow" w:cs="Arial Narrow"/>
                <w:b/>
                <w:bCs/>
                <w:sz w:val="16"/>
                <w:szCs w:val="16"/>
              </w:rPr>
              <w:t xml:space="preserve"> N</w:t>
            </w:r>
          </w:p>
        </w:tc>
        <w:tc>
          <w:tcPr>
            <w:tcW w:w="969"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1E5B24" w:rsidRPr="00E70819" w:rsidP="001E5B24">
            <w:pPr>
              <w:bidi w:val="0"/>
              <w:jc w:val="center"/>
              <w:rPr>
                <w:rFonts w:ascii="Arial Narrow" w:hAnsi="Arial Narrow" w:cs="Arial Narrow"/>
                <w:b/>
                <w:bCs/>
                <w:sz w:val="16"/>
                <w:szCs w:val="16"/>
              </w:rPr>
            </w:pPr>
            <w:r w:rsidRPr="00E70819">
              <w:rPr>
                <w:rFonts w:ascii="Arial Narrow" w:hAnsi="Arial Narrow" w:cs="Arial Narrow"/>
                <w:b/>
                <w:bCs/>
                <w:sz w:val="16"/>
                <w:szCs w:val="16"/>
              </w:rPr>
              <w:t>2013</w:t>
            </w:r>
            <w:r>
              <w:rPr>
                <w:rFonts w:ascii="Arial Narrow" w:hAnsi="Arial Narrow" w:cs="Arial Narrow"/>
                <w:b/>
                <w:bCs/>
                <w:sz w:val="16"/>
                <w:szCs w:val="16"/>
              </w:rPr>
              <w:t xml:space="preserve"> N</w:t>
            </w:r>
          </w:p>
        </w:tc>
      </w:tr>
      <w:tr>
        <w:tblPrEx>
          <w:tblW w:w="9087" w:type="dxa"/>
          <w:tblInd w:w="55" w:type="dxa"/>
          <w:tblLayout w:type="fixed"/>
          <w:tblCellMar>
            <w:left w:w="70" w:type="dxa"/>
            <w:right w:w="70" w:type="dxa"/>
          </w:tblCellMar>
          <w:tblLook w:val="00A0"/>
        </w:tblPrEx>
        <w:trPr>
          <w:trHeight w:val="270"/>
        </w:trPr>
        <w:tc>
          <w:tcPr>
            <w:tcW w:w="3276" w:type="dxa"/>
            <w:tcBorders>
              <w:top w:val="single" w:sz="4" w:space="0" w:color="auto"/>
              <w:left w:val="single" w:sz="4" w:space="0" w:color="auto"/>
              <w:bottom w:val="single" w:sz="4" w:space="0" w:color="auto"/>
              <w:right w:val="single" w:sz="4" w:space="0" w:color="auto"/>
            </w:tcBorders>
            <w:textDirection w:val="lrTb"/>
            <w:vAlign w:val="bottom"/>
          </w:tcPr>
          <w:p w:rsidR="001E5B24" w:rsidRPr="006D48A5" w:rsidP="001E5B24">
            <w:pPr>
              <w:bidi w:val="0"/>
              <w:rPr>
                <w:rFonts w:ascii="Arial Narrow" w:hAnsi="Arial Narrow" w:cs="Arial Narrow"/>
                <w:sz w:val="16"/>
                <w:szCs w:val="16"/>
              </w:rPr>
            </w:pPr>
            <w:r w:rsidRPr="006D48A5">
              <w:rPr>
                <w:rFonts w:ascii="Arial Narrow" w:hAnsi="Arial Narrow" w:cs="Arial Narrow"/>
                <w:sz w:val="16"/>
                <w:szCs w:val="16"/>
              </w:rPr>
              <w:t>Administratíva</w:t>
            </w:r>
          </w:p>
        </w:tc>
        <w:tc>
          <w:tcPr>
            <w:tcW w:w="96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10 441</w:t>
            </w:r>
          </w:p>
        </w:tc>
        <w:tc>
          <w:tcPr>
            <w:tcW w:w="96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9 540</w:t>
            </w:r>
          </w:p>
        </w:tc>
        <w:tc>
          <w:tcPr>
            <w:tcW w:w="96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8 573</w:t>
            </w:r>
          </w:p>
        </w:tc>
        <w:tc>
          <w:tcPr>
            <w:tcW w:w="96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8 787</w:t>
            </w:r>
          </w:p>
        </w:tc>
        <w:tc>
          <w:tcPr>
            <w:tcW w:w="968"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8 385</w:t>
            </w:r>
          </w:p>
        </w:tc>
        <w:tc>
          <w:tcPr>
            <w:tcW w:w="969"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AF0E2D" w:rsidP="001E5B24">
            <w:pPr>
              <w:bidi w:val="0"/>
              <w:jc w:val="right"/>
              <w:rPr>
                <w:rFonts w:ascii="Arial Narrow" w:hAnsi="Arial Narrow" w:cs="Arial Narrow"/>
                <w:sz w:val="16"/>
                <w:szCs w:val="16"/>
              </w:rPr>
            </w:pPr>
            <w:r w:rsidRPr="00AF0E2D">
              <w:rPr>
                <w:rFonts w:ascii="Arial Narrow" w:hAnsi="Arial Narrow" w:cs="Arial Narrow"/>
                <w:sz w:val="16"/>
                <w:szCs w:val="16"/>
              </w:rPr>
              <w:t>8 435</w:t>
            </w:r>
          </w:p>
        </w:tc>
      </w:tr>
    </w:tbl>
    <w:p w:rsidR="001E5B24" w:rsidRPr="009951A2" w:rsidP="001E5B24">
      <w:pPr>
        <w:bidi w:val="0"/>
        <w:jc w:val="both"/>
        <w:rPr>
          <w:rFonts w:ascii="Arial Narrow" w:hAnsi="Arial Narrow" w:cs="Arial Narrow"/>
          <w:b/>
          <w:bCs/>
          <w:sz w:val="22"/>
          <w:szCs w:val="22"/>
        </w:rPr>
      </w:pPr>
    </w:p>
    <w:p w:rsidR="001E5B24" w:rsidRPr="00936BAF"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Pre administratívu</w:t>
      </w:r>
      <w:r w:rsidRPr="00FD1781">
        <w:rPr>
          <w:rFonts w:ascii="Arial Narrow" w:hAnsi="Arial Narrow" w:cs="Arial Narrow"/>
          <w:b/>
          <w:bCs/>
          <w:sz w:val="22"/>
          <w:szCs w:val="22"/>
        </w:rPr>
        <w:t xml:space="preserve"> </w:t>
      </w:r>
      <w:r w:rsidRPr="00FD1781">
        <w:rPr>
          <w:rFonts w:ascii="Arial Narrow" w:hAnsi="Arial Narrow" w:cs="Arial Narrow"/>
          <w:sz w:val="22"/>
          <w:szCs w:val="22"/>
        </w:rPr>
        <w:t>sa na rok 2011 rozpočtujú výdavky v sume 8,79 mil. eur, čo oproti schválenému rozpočtu roka 2011 predstavuje mierny nárast o 2,5% z dôvodu podfinancovania prevádzky. Predmetné výdavky</w:t>
      </w:r>
      <w:r>
        <w:rPr>
          <w:rFonts w:ascii="Arial Narrow" w:hAnsi="Arial Narrow" w:cs="Arial Narrow"/>
          <w:sz w:val="22"/>
          <w:szCs w:val="22"/>
        </w:rPr>
        <w:t xml:space="preserve"> slúžia </w:t>
      </w:r>
      <w:r w:rsidRPr="00936BAF">
        <w:rPr>
          <w:rFonts w:ascii="Arial Narrow" w:hAnsi="Arial Narrow" w:cs="Arial Narrow"/>
          <w:sz w:val="22"/>
          <w:szCs w:val="22"/>
        </w:rPr>
        <w:t>na zabezpečenie činnosti ústredného orgánu</w:t>
      </w:r>
      <w:r>
        <w:rPr>
          <w:rFonts w:ascii="Arial Narrow" w:hAnsi="Arial Narrow" w:cs="Arial Narrow"/>
          <w:sz w:val="22"/>
          <w:szCs w:val="22"/>
        </w:rPr>
        <w:t>,</w:t>
      </w:r>
      <w:r w:rsidRPr="00936BAF">
        <w:rPr>
          <w:rFonts w:ascii="Arial Narrow" w:hAnsi="Arial Narrow" w:cs="Arial Narrow"/>
          <w:sz w:val="22"/>
          <w:szCs w:val="22"/>
        </w:rPr>
        <w:t xml:space="preserve"> realizáciu odškodňovania občanov v súlade s platnou legislatívou a činnosťou zástupcov SR pred medzinárodnými súdnymi inštitúciami.  </w:t>
      </w:r>
    </w:p>
    <w:p w:rsidR="001E5B24" w:rsidP="001E5B24">
      <w:pPr>
        <w:bidi w:val="0"/>
        <w:jc w:val="both"/>
        <w:rPr>
          <w:rFonts w:ascii="Arial Narrow" w:hAnsi="Arial Narrow" w:cs="Arial Narrow"/>
          <w:sz w:val="20"/>
          <w:szCs w:val="20"/>
        </w:rPr>
      </w:pPr>
    </w:p>
    <w:p w:rsidR="001E5B24" w:rsidRPr="00514F3A" w:rsidP="001E5B24">
      <w:pPr>
        <w:bidi w:val="0"/>
        <w:jc w:val="both"/>
      </w:pPr>
    </w:p>
    <w:p w:rsidR="001E5B24" w:rsidRPr="007F7037" w:rsidP="001E5B24">
      <w:pPr>
        <w:pBdr>
          <w:bottom w:val="single" w:sz="4" w:space="1" w:color="auto"/>
        </w:pBdr>
        <w:bidi w:val="0"/>
        <w:rPr>
          <w:rFonts w:ascii="Arial Narrow" w:hAnsi="Arial Narrow" w:cs="Arial Narrow"/>
          <w:b/>
          <w:bCs/>
          <w:sz w:val="22"/>
          <w:szCs w:val="22"/>
        </w:rPr>
      </w:pPr>
      <w:r w:rsidRPr="007F7037">
        <w:rPr>
          <w:rFonts w:ascii="Arial Narrow" w:hAnsi="Arial Narrow" w:cs="Arial Narrow"/>
          <w:b/>
          <w:bCs/>
          <w:sz w:val="22"/>
          <w:szCs w:val="22"/>
        </w:rPr>
        <w:t>Ministerstvo kultúry a cestovného ruchu SR</w:t>
      </w:r>
    </w:p>
    <w:p w:rsidR="001E5B24" w:rsidRPr="007F7037" w:rsidP="001E5B24">
      <w:pPr>
        <w:bidi w:val="0"/>
        <w:rPr>
          <w:rFonts w:ascii="Arial Narrow" w:hAnsi="Arial Narrow" w:cs="Arial Narrow"/>
          <w:b/>
          <w:bCs/>
          <w:sz w:val="22"/>
          <w:szCs w:val="22"/>
        </w:rPr>
      </w:pPr>
    </w:p>
    <w:p w:rsidR="001E5B24" w:rsidP="001E5B24">
      <w:pPr>
        <w:bidi w:val="0"/>
        <w:ind w:firstLine="709"/>
        <w:jc w:val="both"/>
        <w:rPr>
          <w:rFonts w:ascii="Arial Narrow" w:hAnsi="Arial Narrow" w:cs="Arial Narrow"/>
          <w:sz w:val="22"/>
          <w:szCs w:val="22"/>
        </w:rPr>
      </w:pPr>
      <w:r w:rsidRPr="007F7037">
        <w:rPr>
          <w:rFonts w:ascii="Arial Narrow" w:hAnsi="Arial Narrow" w:cs="Arial Narrow"/>
          <w:sz w:val="22"/>
          <w:szCs w:val="22"/>
        </w:rPr>
        <w:t xml:space="preserve">Rozvoj kultúry v najširšom zmysle slova sa vníma ako nevyhnutná podmienka zvyšovania kvality života občanov Slovenskej republiky. Cieľom je postupne zvyšovať príspevok na financovanie kultúry. Kultúra, rekreácia a náboženstvo spolu vytvárajú jednu oblasť a ich financovanie je zabezpečené z viacerých zdrojov. </w:t>
      </w:r>
    </w:p>
    <w:p w:rsidR="001E5B24" w:rsidP="001E5B24">
      <w:pPr>
        <w:bidi w:val="0"/>
        <w:ind w:firstLine="709"/>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619"/>
        <w:gridCol w:w="1047"/>
        <w:gridCol w:w="804"/>
        <w:gridCol w:w="918"/>
        <w:gridCol w:w="918"/>
        <w:gridCol w:w="918"/>
        <w:gridCol w:w="918"/>
      </w:tblGrid>
      <w:tr>
        <w:tblPrEx>
          <w:tblW w:w="4962" w:type="pct"/>
          <w:tblInd w:w="70" w:type="dxa"/>
          <w:tblCellMar>
            <w:left w:w="70" w:type="dxa"/>
            <w:right w:w="70" w:type="dxa"/>
          </w:tblCellMar>
          <w:tblLook w:val="00A0"/>
        </w:tblPrEx>
        <w:trPr>
          <w:trHeight w:val="255"/>
        </w:trPr>
        <w:tc>
          <w:tcPr>
            <w:tcW w:w="197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72"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440"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Zdroje príslušnej kapitoly</w:t>
            </w:r>
          </w:p>
        </w:tc>
        <w:tc>
          <w:tcPr>
            <w:tcW w:w="572" w:type="pct"/>
            <w:tcBorders>
              <w:top w:val="nil"/>
              <w:left w:val="nil"/>
              <w:bottom w:val="single" w:sz="4" w:space="0" w:color="auto"/>
              <w:right w:val="single" w:sz="4" w:space="0" w:color="auto"/>
            </w:tcBorders>
            <w:shd w:val="clear" w:color="000000" w:fill="C0C0C0"/>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181 938</w:t>
            </w:r>
          </w:p>
        </w:tc>
        <w:tc>
          <w:tcPr>
            <w:tcW w:w="440" w:type="pct"/>
            <w:tcBorders>
              <w:top w:val="nil"/>
              <w:left w:val="nil"/>
              <w:bottom w:val="single" w:sz="4" w:space="0" w:color="auto"/>
              <w:right w:val="single" w:sz="4" w:space="0" w:color="auto"/>
            </w:tcBorders>
            <w:shd w:val="clear" w:color="000000" w:fill="C0C0C0"/>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236 757</w:t>
            </w:r>
          </w:p>
        </w:tc>
        <w:tc>
          <w:tcPr>
            <w:tcW w:w="502" w:type="pct"/>
            <w:tcBorders>
              <w:top w:val="nil"/>
              <w:left w:val="nil"/>
              <w:bottom w:val="single" w:sz="4" w:space="0" w:color="auto"/>
              <w:right w:val="single" w:sz="4" w:space="0" w:color="auto"/>
            </w:tcBorders>
            <w:shd w:val="clear" w:color="000000" w:fill="C0C0C0"/>
            <w:textDirection w:val="lrTb"/>
            <w:vAlign w:val="center"/>
          </w:tcPr>
          <w:p w:rsidR="001E5B24" w:rsidRPr="009731C7" w:rsidP="001E5B24">
            <w:pPr>
              <w:bidi w:val="0"/>
              <w:jc w:val="right"/>
              <w:rPr>
                <w:rFonts w:ascii="Arial Narrow" w:hAnsi="Arial Narrow" w:cs="Arial Narrow"/>
                <w:b/>
                <w:bCs/>
                <w:sz w:val="16"/>
                <w:szCs w:val="16"/>
                <w:lang w:eastAsia="sk-SK"/>
              </w:rPr>
            </w:pPr>
            <w:r w:rsidRPr="009731C7">
              <w:rPr>
                <w:rFonts w:ascii="Arial Narrow" w:hAnsi="Arial Narrow" w:cs="Arial Narrow"/>
                <w:b/>
                <w:bCs/>
                <w:sz w:val="16"/>
                <w:szCs w:val="16"/>
                <w:lang w:eastAsia="sk-SK"/>
              </w:rPr>
              <w:t>170 487</w:t>
            </w:r>
          </w:p>
        </w:tc>
        <w:tc>
          <w:tcPr>
            <w:tcW w:w="502" w:type="pct"/>
            <w:tcBorders>
              <w:top w:val="nil"/>
              <w:left w:val="nil"/>
              <w:bottom w:val="single" w:sz="4" w:space="0" w:color="auto"/>
              <w:right w:val="single" w:sz="4" w:space="0" w:color="auto"/>
            </w:tcBorders>
            <w:shd w:val="clear" w:color="000000" w:fill="C0C0C0"/>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170 050</w:t>
            </w:r>
          </w:p>
        </w:tc>
        <w:tc>
          <w:tcPr>
            <w:tcW w:w="502" w:type="pct"/>
            <w:tcBorders>
              <w:top w:val="nil"/>
              <w:left w:val="nil"/>
              <w:bottom w:val="single" w:sz="4" w:space="0" w:color="auto"/>
              <w:right w:val="single" w:sz="4" w:space="0" w:color="auto"/>
            </w:tcBorders>
            <w:shd w:val="clear" w:color="000000" w:fill="C0C0C0"/>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227 301</w:t>
            </w:r>
          </w:p>
        </w:tc>
        <w:tc>
          <w:tcPr>
            <w:tcW w:w="502" w:type="pct"/>
            <w:tcBorders>
              <w:top w:val="nil"/>
              <w:left w:val="nil"/>
              <w:bottom w:val="single" w:sz="4" w:space="0" w:color="auto"/>
              <w:right w:val="single" w:sz="4" w:space="0" w:color="auto"/>
            </w:tcBorders>
            <w:shd w:val="clear" w:color="000000" w:fill="C0C0C0"/>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227 766</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xml:space="preserve">rozpočtové zdroje kapitoly </w:t>
            </w:r>
          </w:p>
        </w:tc>
        <w:tc>
          <w:tcPr>
            <w:tcW w:w="57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175 329</w:t>
            </w:r>
          </w:p>
        </w:tc>
        <w:tc>
          <w:tcPr>
            <w:tcW w:w="440"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196 092</w:t>
            </w:r>
          </w:p>
        </w:tc>
        <w:tc>
          <w:tcPr>
            <w:tcW w:w="502" w:type="pct"/>
            <w:tcBorders>
              <w:top w:val="nil"/>
              <w:left w:val="nil"/>
              <w:bottom w:val="single" w:sz="4" w:space="0" w:color="auto"/>
              <w:right w:val="single" w:sz="4" w:space="0" w:color="auto"/>
            </w:tcBorders>
            <w:textDirection w:val="lrTb"/>
            <w:vAlign w:val="center"/>
          </w:tcPr>
          <w:p w:rsidR="001E5B24" w:rsidRPr="009731C7" w:rsidP="001E5B24">
            <w:pPr>
              <w:bidi w:val="0"/>
              <w:jc w:val="right"/>
              <w:rPr>
                <w:rFonts w:ascii="Arial Narrow" w:hAnsi="Arial Narrow" w:cs="Arial Narrow"/>
                <w:sz w:val="16"/>
                <w:szCs w:val="16"/>
                <w:lang w:eastAsia="sk-SK"/>
              </w:rPr>
            </w:pPr>
            <w:r w:rsidRPr="009731C7">
              <w:rPr>
                <w:rFonts w:ascii="Arial Narrow" w:hAnsi="Arial Narrow" w:cs="Arial Narrow"/>
                <w:sz w:val="16"/>
                <w:szCs w:val="16"/>
                <w:lang w:eastAsia="sk-SK"/>
              </w:rPr>
              <w:t>169 773</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167 192</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227 301</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227 766</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xml:space="preserve">presun z min. rokov     § 8 </w:t>
            </w:r>
          </w:p>
        </w:tc>
        <w:tc>
          <w:tcPr>
            <w:tcW w:w="57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1 911</w:t>
            </w:r>
          </w:p>
        </w:tc>
        <w:tc>
          <w:tcPr>
            <w:tcW w:w="440"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9731C7" w:rsidP="001E5B24">
            <w:pPr>
              <w:bidi w:val="0"/>
              <w:jc w:val="right"/>
              <w:rPr>
                <w:rFonts w:ascii="Arial Narrow" w:hAnsi="Arial Narrow" w:cs="Arial Narrow"/>
                <w:sz w:val="16"/>
                <w:szCs w:val="16"/>
                <w:lang w:eastAsia="sk-SK"/>
              </w:rPr>
            </w:pPr>
            <w:r w:rsidRPr="009731C7">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xml:space="preserve">zdroje EÚ vrátane spolufinancovania: </w:t>
            </w:r>
          </w:p>
        </w:tc>
        <w:tc>
          <w:tcPr>
            <w:tcW w:w="57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4 021</w:t>
            </w:r>
          </w:p>
        </w:tc>
        <w:tc>
          <w:tcPr>
            <w:tcW w:w="440"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9731C7" w:rsidP="001E5B24">
            <w:pPr>
              <w:bidi w:val="0"/>
              <w:jc w:val="right"/>
              <w:rPr>
                <w:rFonts w:ascii="Arial Narrow" w:hAnsi="Arial Narrow" w:cs="Arial Narrow"/>
                <w:sz w:val="16"/>
                <w:szCs w:val="16"/>
                <w:lang w:eastAsia="sk-SK"/>
              </w:rPr>
            </w:pPr>
            <w:r w:rsidRPr="009731C7">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xml:space="preserve">iné zdroje </w:t>
            </w:r>
          </w:p>
        </w:tc>
        <w:tc>
          <w:tcPr>
            <w:tcW w:w="57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677</w:t>
            </w:r>
          </w:p>
        </w:tc>
        <w:tc>
          <w:tcPr>
            <w:tcW w:w="440"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40 665</w:t>
            </w:r>
          </w:p>
        </w:tc>
        <w:tc>
          <w:tcPr>
            <w:tcW w:w="502" w:type="pct"/>
            <w:tcBorders>
              <w:top w:val="nil"/>
              <w:left w:val="nil"/>
              <w:bottom w:val="single" w:sz="4" w:space="0" w:color="auto"/>
              <w:right w:val="single" w:sz="4" w:space="0" w:color="auto"/>
            </w:tcBorders>
            <w:textDirection w:val="lrTb"/>
            <w:vAlign w:val="center"/>
          </w:tcPr>
          <w:p w:rsidR="001E5B24" w:rsidRPr="009731C7" w:rsidP="001E5B24">
            <w:pPr>
              <w:bidi w:val="0"/>
              <w:jc w:val="right"/>
              <w:rPr>
                <w:rFonts w:ascii="Arial Narrow" w:hAnsi="Arial Narrow" w:cs="Arial Narrow"/>
                <w:sz w:val="16"/>
                <w:szCs w:val="16"/>
                <w:lang w:eastAsia="sk-SK"/>
              </w:rPr>
            </w:pPr>
            <w:r w:rsidRPr="009731C7">
              <w:rPr>
                <w:rFonts w:ascii="Arial Narrow" w:hAnsi="Arial Narrow" w:cs="Arial Narrow"/>
                <w:sz w:val="16"/>
                <w:szCs w:val="16"/>
                <w:lang w:eastAsia="sk-SK"/>
              </w:rPr>
              <w:t>714</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2 858</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bl>
    <w:p w:rsidR="001E5B24" w:rsidP="001E5B24">
      <w:pPr>
        <w:bidi w:val="0"/>
        <w:ind w:firstLine="709"/>
        <w:rPr>
          <w:rFonts w:ascii="Arial Narrow" w:hAnsi="Arial Narrow" w:cs="Arial Narrow"/>
          <w:sz w:val="22"/>
          <w:szCs w:val="22"/>
        </w:rPr>
      </w:pPr>
    </w:p>
    <w:p w:rsidR="001E5B24" w:rsidRPr="007F7037" w:rsidP="001E5B24">
      <w:pPr>
        <w:bidi w:val="0"/>
        <w:jc w:val="both"/>
        <w:rPr>
          <w:rFonts w:ascii="Arial Narrow" w:hAnsi="Arial Narrow" w:cs="Arial Narrow"/>
          <w:sz w:val="22"/>
          <w:szCs w:val="22"/>
        </w:rPr>
      </w:pPr>
      <w:r>
        <w:rPr>
          <w:rFonts w:ascii="Arial Narrow" w:hAnsi="Arial Narrow" w:cs="Arial Narrow"/>
          <w:b/>
          <w:bCs/>
          <w:sz w:val="22"/>
          <w:szCs w:val="22"/>
        </w:rPr>
        <w:tab/>
      </w:r>
      <w:r w:rsidRPr="00454A22">
        <w:rPr>
          <w:rFonts w:ascii="Arial Narrow" w:hAnsi="Arial Narrow" w:cs="Arial Narrow"/>
          <w:sz w:val="22"/>
          <w:szCs w:val="22"/>
        </w:rPr>
        <w:t xml:space="preserve">Celkové výdavky kapitoly sú v roku 2011 vo výške 170 mil. eur, čo predstavuje oproti </w:t>
      </w:r>
      <w:r>
        <w:rPr>
          <w:rFonts w:ascii="Arial Narrow" w:hAnsi="Arial Narrow" w:cs="Arial Narrow"/>
          <w:sz w:val="22"/>
          <w:szCs w:val="22"/>
        </w:rPr>
        <w:t xml:space="preserve">schválenému rozpočtu </w:t>
      </w:r>
      <w:r w:rsidRPr="00454A22">
        <w:rPr>
          <w:rFonts w:ascii="Arial Narrow" w:hAnsi="Arial Narrow" w:cs="Arial Narrow"/>
          <w:sz w:val="22"/>
          <w:szCs w:val="22"/>
        </w:rPr>
        <w:t>roku 2010 pokles o 0,26%.</w:t>
      </w:r>
      <w:r>
        <w:rPr>
          <w:rFonts w:ascii="Arial Narrow" w:hAnsi="Arial Narrow" w:cs="Arial Narrow"/>
          <w:sz w:val="22"/>
          <w:szCs w:val="22"/>
        </w:rPr>
        <w:t xml:space="preserve"> </w:t>
      </w:r>
      <w:r w:rsidRPr="007F7037">
        <w:rPr>
          <w:rFonts w:ascii="Arial Narrow" w:hAnsi="Arial Narrow" w:cs="Arial Narrow"/>
          <w:sz w:val="22"/>
          <w:szCs w:val="22"/>
        </w:rPr>
        <w:t xml:space="preserve">Výdavky zo štátneho rozpočtu klesajú </w:t>
      </w:r>
      <w:r>
        <w:rPr>
          <w:rFonts w:ascii="Arial Narrow" w:hAnsi="Arial Narrow" w:cs="Arial Narrow"/>
          <w:sz w:val="22"/>
          <w:szCs w:val="22"/>
        </w:rPr>
        <w:t>oproti schválenému rozpočtu na rok 2010 o 1,52</w:t>
      </w:r>
      <w:r w:rsidRPr="007F7037">
        <w:rPr>
          <w:rFonts w:ascii="Arial Narrow" w:hAnsi="Arial Narrow" w:cs="Arial Narrow"/>
          <w:sz w:val="22"/>
          <w:szCs w:val="22"/>
        </w:rPr>
        <w:t xml:space="preserve">%. </w:t>
      </w:r>
      <w:r>
        <w:rPr>
          <w:rFonts w:ascii="Arial Narrow" w:hAnsi="Arial Narrow" w:cs="Arial Narrow"/>
          <w:sz w:val="22"/>
          <w:szCs w:val="22"/>
        </w:rPr>
        <w:t xml:space="preserve">V priebehu roka 2010 bol rozpočet kapitoly upravený predovšetkým o Zmluvy medzi STV, SRo a ministerstvom vo výške 17,0 mil. eur. V prípade zníženia upraveného rozpočtu v roku 2010 o výdavky na kultúrne aktivity národnostných menšín (v sume 3,49 mil. eur), ktoré sa v roku 2011 už v kapitole nerozpočtujú,  potom medziročná zmena výdavkov zo štátneho rozpočtu na rok 2011 v porovnaní s upraveným rozpočtom roku 2010 predstavuje pokles o 9,31%. </w:t>
      </w:r>
    </w:p>
    <w:p w:rsidR="001E5B24" w:rsidRPr="007F7037" w:rsidP="001E5B24">
      <w:pPr>
        <w:bidi w:val="0"/>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236AA2">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236AA2">
        <w:rPr>
          <w:rFonts w:ascii="Arial Narrow" w:hAnsi="Arial Narrow" w:cs="Arial Narrow"/>
          <w:sz w:val="22"/>
          <w:szCs w:val="22"/>
        </w:rPr>
        <w:t xml:space="preserve"> rok 2011 </w:t>
      </w:r>
      <w:r>
        <w:rPr>
          <w:rFonts w:ascii="Arial Narrow" w:hAnsi="Arial Narrow" w:cs="Arial Narrow"/>
          <w:sz w:val="22"/>
          <w:szCs w:val="22"/>
        </w:rPr>
        <w:t>rozpočtuje na úrovni 11,9 mil. eur</w:t>
      </w:r>
      <w:r w:rsidRPr="00236AA2">
        <w:rPr>
          <w:rFonts w:ascii="Arial Narrow" w:hAnsi="Arial Narrow" w:cs="Arial Narrow"/>
          <w:sz w:val="22"/>
          <w:szCs w:val="22"/>
        </w:rPr>
        <w:t>, čo v porovnaní s</w:t>
      </w:r>
      <w:r>
        <w:rPr>
          <w:rFonts w:ascii="Arial Narrow" w:hAnsi="Arial Narrow" w:cs="Arial Narrow"/>
          <w:sz w:val="22"/>
          <w:szCs w:val="22"/>
        </w:rPr>
        <w:t>o schváleným rozpočtom na rok</w:t>
      </w:r>
      <w:r w:rsidRPr="00236AA2">
        <w:rPr>
          <w:rFonts w:ascii="Arial Narrow" w:hAnsi="Arial Narrow" w:cs="Arial Narrow"/>
          <w:sz w:val="22"/>
          <w:szCs w:val="22"/>
        </w:rPr>
        <w:t xml:space="preserve"> 2010 predstavuje pokles 5,79</w:t>
      </w:r>
      <w:r w:rsidR="00475F5B">
        <w:rPr>
          <w:rFonts w:ascii="Arial Narrow" w:hAnsi="Arial Narrow" w:cs="Arial Narrow"/>
          <w:sz w:val="22"/>
          <w:szCs w:val="22"/>
        </w:rPr>
        <w:t xml:space="preserve"> </w:t>
      </w:r>
      <w:r w:rsidRPr="00236AA2">
        <w:rPr>
          <w:rFonts w:ascii="Arial Narrow" w:hAnsi="Arial Narrow" w:cs="Arial Narrow"/>
          <w:sz w:val="22"/>
          <w:szCs w:val="22"/>
        </w:rPr>
        <w:t xml:space="preserve">% (0,73 mil. </w:t>
      </w:r>
      <w:r>
        <w:rPr>
          <w:rFonts w:ascii="Arial Narrow" w:hAnsi="Arial Narrow" w:cs="Arial Narrow"/>
          <w:sz w:val="22"/>
          <w:szCs w:val="22"/>
        </w:rPr>
        <w:t>eur</w:t>
      </w:r>
      <w:r w:rsidRPr="00236AA2">
        <w:rPr>
          <w:rFonts w:ascii="Arial Narrow" w:hAnsi="Arial Narrow" w:cs="Arial Narrow"/>
          <w:sz w:val="22"/>
          <w:szCs w:val="22"/>
        </w:rPr>
        <w:t xml:space="preserve">). Medziročný pokles osobných výdavkov je ovplyvnený viazaním osobných výdavkov na úrovni 10% </w:t>
      </w:r>
      <w:r w:rsidR="00475F5B">
        <w:rPr>
          <w:rFonts w:ascii="Arial Narrow" w:hAnsi="Arial Narrow" w:cs="Arial Narrow"/>
          <w:sz w:val="22"/>
          <w:szCs w:val="22"/>
        </w:rPr>
        <w:t>pre</w:t>
      </w:r>
      <w:r w:rsidRPr="00236AA2">
        <w:rPr>
          <w:rFonts w:ascii="Arial Narrow" w:hAnsi="Arial Narrow" w:cs="Arial Narrow"/>
          <w:sz w:val="22"/>
          <w:szCs w:val="22"/>
        </w:rPr>
        <w:t> štátnych zamestnancov a zamestnancov pri výkone práce vo verejnom záujme pri zohľadnení dopočtu 1% valorizácie z roku 2010 a</w:t>
      </w:r>
      <w:r>
        <w:rPr>
          <w:rFonts w:ascii="Arial Narrow" w:hAnsi="Arial Narrow" w:cs="Arial Narrow"/>
          <w:sz w:val="22"/>
          <w:szCs w:val="22"/>
        </w:rPr>
        <w:t> </w:t>
      </w:r>
      <w:r w:rsidRPr="00236AA2">
        <w:rPr>
          <w:rFonts w:ascii="Arial Narrow" w:hAnsi="Arial Narrow" w:cs="Arial Narrow"/>
          <w:sz w:val="22"/>
          <w:szCs w:val="22"/>
        </w:rPr>
        <w:t>10</w:t>
      </w:r>
      <w:r>
        <w:rPr>
          <w:rFonts w:ascii="Arial Narrow" w:hAnsi="Arial Narrow" w:cs="Arial Narrow"/>
          <w:sz w:val="22"/>
          <w:szCs w:val="22"/>
        </w:rPr>
        <w:t>%</w:t>
      </w:r>
      <w:r w:rsidRPr="00236AA2">
        <w:rPr>
          <w:rFonts w:ascii="Arial Narrow" w:hAnsi="Arial Narrow" w:cs="Arial Narrow"/>
          <w:sz w:val="22"/>
          <w:szCs w:val="22"/>
        </w:rPr>
        <w:t xml:space="preserve"> viazaním osobných výdavkov </w:t>
      </w:r>
      <w:r>
        <w:rPr>
          <w:rFonts w:ascii="Arial Narrow" w:hAnsi="Arial Narrow" w:cs="Arial Narrow"/>
          <w:sz w:val="22"/>
          <w:szCs w:val="22"/>
        </w:rPr>
        <w:t>ministra</w:t>
      </w:r>
      <w:r w:rsidRPr="00236AA2">
        <w:rPr>
          <w:rFonts w:ascii="Arial Narrow" w:hAnsi="Arial Narrow" w:cs="Arial Narrow"/>
          <w:sz w:val="22"/>
          <w:szCs w:val="22"/>
        </w:rPr>
        <w:t> </w:t>
      </w:r>
      <w:r>
        <w:rPr>
          <w:rFonts w:ascii="Arial Narrow" w:hAnsi="Arial Narrow" w:cs="Arial Narrow"/>
          <w:sz w:val="22"/>
          <w:szCs w:val="22"/>
        </w:rPr>
        <w:t xml:space="preserve">z </w:t>
      </w:r>
      <w:r w:rsidRPr="00236AA2">
        <w:rPr>
          <w:rFonts w:ascii="Arial Narrow" w:hAnsi="Arial Narrow" w:cs="Arial Narrow"/>
          <w:sz w:val="22"/>
          <w:szCs w:val="22"/>
        </w:rPr>
        <w:t xml:space="preserve">úrovne roka 2010. </w:t>
      </w:r>
      <w:r>
        <w:rPr>
          <w:rFonts w:ascii="Arial Narrow" w:hAnsi="Arial Narrow" w:cs="Arial Narrow"/>
          <w:sz w:val="22"/>
          <w:szCs w:val="22"/>
        </w:rPr>
        <w:t xml:space="preserve">V limite počtu zamestnancov je premietnuté zníženie o 1 miesto štátneho tajomníka. Zároveň bolo v osobných výdavkoch premietnuté rozpočtové opatrenie z roku 2010 na zvýšené odmeňovanie aparátu vo výške 441,1 tis. eur. Kapitola si taktiež rozpísala o 26,2 tis. eur vyššie </w:t>
      </w:r>
      <w:r w:rsidRPr="004C137B">
        <w:rPr>
          <w:rFonts w:ascii="Arial Narrow" w:hAnsi="Arial Narrow" w:cs="Arial Narrow"/>
          <w:sz w:val="22"/>
          <w:szCs w:val="22"/>
        </w:rPr>
        <w:t>poistné, bez zohľadnenia uvedených dvoch vplyvov by výdavky klesali o 9,5</w:t>
      </w:r>
      <w:r w:rsidR="00475F5B">
        <w:rPr>
          <w:rFonts w:ascii="Arial Narrow" w:hAnsi="Arial Narrow" w:cs="Arial Narrow"/>
          <w:sz w:val="22"/>
          <w:szCs w:val="22"/>
        </w:rPr>
        <w:t xml:space="preserve"> </w:t>
      </w:r>
      <w:r w:rsidRPr="004C137B">
        <w:rPr>
          <w:rFonts w:ascii="Arial Narrow" w:hAnsi="Arial Narrow" w:cs="Arial Narrow"/>
          <w:sz w:val="22"/>
          <w:szCs w:val="22"/>
        </w:rPr>
        <w:t>%.</w:t>
      </w:r>
    </w:p>
    <w:p w:rsidR="001E5B24" w:rsidRPr="007F7037"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r>
      <w:r w:rsidRPr="00910A0E">
        <w:rPr>
          <w:rFonts w:ascii="Arial Narrow" w:hAnsi="Arial Narrow" w:cs="Arial Narrow"/>
          <w:sz w:val="22"/>
          <w:szCs w:val="22"/>
        </w:rPr>
        <w:t xml:space="preserve">Kapitola pri rozpise výdavkov znížila </w:t>
      </w:r>
      <w:r>
        <w:rPr>
          <w:rFonts w:ascii="Arial Narrow" w:hAnsi="Arial Narrow" w:cs="Arial Narrow"/>
          <w:sz w:val="22"/>
          <w:szCs w:val="22"/>
        </w:rPr>
        <w:t xml:space="preserve">výdavky na </w:t>
      </w:r>
      <w:r w:rsidRPr="00910A0E">
        <w:rPr>
          <w:rFonts w:ascii="Arial Narrow" w:hAnsi="Arial Narrow" w:cs="Arial Narrow"/>
          <w:sz w:val="22"/>
          <w:szCs w:val="22"/>
        </w:rPr>
        <w:t>tovary a služby o 53,6% oproti schválenému rozpočtu 2010. Výrazný pokles je spôsobený nerozpočtovaním prostriedkov na projekty</w:t>
      </w:r>
      <w:r>
        <w:rPr>
          <w:rFonts w:ascii="Arial Narrow" w:hAnsi="Arial Narrow" w:cs="Arial Narrow"/>
          <w:sz w:val="22"/>
          <w:szCs w:val="22"/>
        </w:rPr>
        <w:t>, prvky</w:t>
      </w:r>
      <w:r w:rsidRPr="00910A0E">
        <w:rPr>
          <w:rFonts w:ascii="Arial Narrow" w:hAnsi="Arial Narrow" w:cs="Arial Narrow"/>
          <w:sz w:val="22"/>
          <w:szCs w:val="22"/>
        </w:rPr>
        <w:t xml:space="preserve"> a</w:t>
      </w:r>
      <w:r>
        <w:rPr>
          <w:rFonts w:ascii="Arial Narrow" w:hAnsi="Arial Narrow" w:cs="Arial Narrow"/>
          <w:sz w:val="22"/>
          <w:szCs w:val="22"/>
        </w:rPr>
        <w:t> </w:t>
      </w:r>
      <w:r w:rsidRPr="00910A0E">
        <w:rPr>
          <w:rFonts w:ascii="Arial Narrow" w:hAnsi="Arial Narrow" w:cs="Arial Narrow"/>
          <w:sz w:val="22"/>
          <w:szCs w:val="22"/>
        </w:rPr>
        <w:t>stratégie</w:t>
      </w:r>
      <w:r>
        <w:rPr>
          <w:rFonts w:ascii="Arial Narrow" w:hAnsi="Arial Narrow" w:cs="Arial Narrow"/>
          <w:sz w:val="22"/>
          <w:szCs w:val="22"/>
        </w:rPr>
        <w:t>;</w:t>
      </w:r>
      <w:r w:rsidRPr="00910A0E">
        <w:rPr>
          <w:rFonts w:ascii="Arial Narrow" w:hAnsi="Arial Narrow" w:cs="Arial Narrow"/>
          <w:sz w:val="22"/>
          <w:szCs w:val="22"/>
        </w:rPr>
        <w:t xml:space="preserve"> a to </w:t>
      </w:r>
      <w:r>
        <w:rPr>
          <w:rFonts w:ascii="Arial Narrow" w:hAnsi="Arial Narrow" w:cs="Arial Narrow"/>
          <w:sz w:val="22"/>
          <w:szCs w:val="22"/>
        </w:rPr>
        <w:t>projekt Informatizácia</w:t>
      </w:r>
      <w:r w:rsidRPr="00910A0E">
        <w:rPr>
          <w:rFonts w:ascii="Arial Narrow" w:hAnsi="Arial Narrow" w:cs="Arial Narrow"/>
          <w:sz w:val="22"/>
          <w:szCs w:val="22"/>
        </w:rPr>
        <w:t xml:space="preserve"> kultúry, projekt Akvizície zbierkových predmetov, podpora kultúrnych aktivít v zahraničí, Stratégia Slovenského knihovníctva </w:t>
      </w:r>
      <w:r w:rsidRPr="00BA3069">
        <w:rPr>
          <w:rFonts w:ascii="Arial Narrow" w:hAnsi="Arial Narrow" w:cs="Arial Narrow"/>
          <w:sz w:val="22"/>
          <w:szCs w:val="22"/>
        </w:rPr>
        <w:t>na roky 2008-2013</w:t>
      </w:r>
      <w:r w:rsidRPr="00910A0E">
        <w:rPr>
          <w:rFonts w:ascii="Arial Narrow" w:hAnsi="Arial Narrow" w:cs="Arial Narrow"/>
          <w:sz w:val="22"/>
          <w:szCs w:val="22"/>
        </w:rPr>
        <w:t xml:space="preserve">, ktoré sa v roku 2010 rozpočtovali </w:t>
      </w:r>
      <w:r>
        <w:rPr>
          <w:rFonts w:ascii="Arial Narrow" w:hAnsi="Arial Narrow" w:cs="Arial Narrow"/>
          <w:sz w:val="22"/>
          <w:szCs w:val="22"/>
        </w:rPr>
        <w:t xml:space="preserve">iba </w:t>
      </w:r>
      <w:r w:rsidRPr="00910A0E">
        <w:rPr>
          <w:rFonts w:ascii="Arial Narrow" w:hAnsi="Arial Narrow" w:cs="Arial Narrow"/>
          <w:sz w:val="22"/>
          <w:szCs w:val="22"/>
        </w:rPr>
        <w:t>v kategórii tovary a služby.</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P="001E5B24">
      <w:pPr>
        <w:bidi w:val="0"/>
        <w:jc w:val="both"/>
        <w:rPr>
          <w:rFonts w:ascii="Arial Narrow" w:hAnsi="Arial Narrow" w:cs="Arial Narrow"/>
          <w:sz w:val="22"/>
          <w:szCs w:val="22"/>
        </w:rPr>
      </w:pPr>
      <w:r>
        <w:rPr>
          <w:rFonts w:ascii="Arial Narrow" w:hAnsi="Arial Narrow" w:cs="Arial Narrow"/>
          <w:sz w:val="22"/>
          <w:szCs w:val="22"/>
        </w:rPr>
        <w:tab/>
        <w:t xml:space="preserve">Bežné transfery kapitoly v roku 2011 rastú  oproti schválenému rozpočtu roka 2010 </w:t>
      </w:r>
      <w:r w:rsidRPr="007F7037">
        <w:rPr>
          <w:rFonts w:ascii="Arial Narrow" w:hAnsi="Arial Narrow" w:cs="Arial Narrow"/>
          <w:sz w:val="22"/>
          <w:szCs w:val="22"/>
        </w:rPr>
        <w:t>o 13,2%</w:t>
      </w:r>
      <w:r>
        <w:rPr>
          <w:rFonts w:ascii="Arial Narrow" w:hAnsi="Arial Narrow" w:cs="Arial Narrow"/>
          <w:sz w:val="22"/>
          <w:szCs w:val="22"/>
        </w:rPr>
        <w:t>. Po odpočítaní transferov určených na finančné zabezpečenie zmlúv so štátom pre STV v sume 10 mil. eur a SRo v sume 4 mil. eur, ktoré sa rozpočtujú od roku 2011, sú výdavky na bežné transfery v roku 2011 oproti schválenému rozpočtu roka 2010 vyššie o 1,6%.</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i/>
          <w:iCs/>
          <w:sz w:val="22"/>
          <w:szCs w:val="22"/>
        </w:rPr>
      </w:pPr>
      <w:r>
        <w:rPr>
          <w:rFonts w:ascii="Arial Narrow" w:hAnsi="Arial Narrow" w:cs="Arial Narrow"/>
          <w:sz w:val="22"/>
          <w:szCs w:val="22"/>
        </w:rPr>
        <w:tab/>
      </w:r>
      <w:r w:rsidRPr="007F7037">
        <w:rPr>
          <w:rFonts w:ascii="Arial Narrow" w:hAnsi="Arial Narrow" w:cs="Arial Narrow"/>
          <w:sz w:val="22"/>
          <w:szCs w:val="22"/>
        </w:rPr>
        <w:t>Kapitálové výdavky klesajú medziročne o 37,7% k</w:t>
      </w:r>
      <w:r>
        <w:rPr>
          <w:rFonts w:ascii="Arial Narrow" w:hAnsi="Arial Narrow" w:cs="Arial Narrow"/>
          <w:sz w:val="22"/>
          <w:szCs w:val="22"/>
        </w:rPr>
        <w:t xml:space="preserve"> schválenému </w:t>
      </w:r>
      <w:r w:rsidRPr="007F7037">
        <w:rPr>
          <w:rFonts w:ascii="Arial Narrow" w:hAnsi="Arial Narrow" w:cs="Arial Narrow"/>
          <w:sz w:val="22"/>
          <w:szCs w:val="22"/>
        </w:rPr>
        <w:t xml:space="preserve">rozpočtu </w:t>
      </w:r>
      <w:r>
        <w:rPr>
          <w:rFonts w:ascii="Arial Narrow" w:hAnsi="Arial Narrow" w:cs="Arial Narrow"/>
          <w:sz w:val="22"/>
          <w:szCs w:val="22"/>
        </w:rPr>
        <w:t xml:space="preserve">roku </w:t>
      </w:r>
      <w:r w:rsidRPr="007F7037">
        <w:rPr>
          <w:rFonts w:ascii="Arial Narrow" w:hAnsi="Arial Narrow" w:cs="Arial Narrow"/>
          <w:sz w:val="22"/>
          <w:szCs w:val="22"/>
        </w:rPr>
        <w:t>2010. Výrazný pokles je daný tým, že kapitola sa v roku 2011 bude zamer</w:t>
      </w:r>
      <w:r>
        <w:rPr>
          <w:rFonts w:ascii="Arial Narrow" w:hAnsi="Arial Narrow" w:cs="Arial Narrow"/>
          <w:sz w:val="22"/>
          <w:szCs w:val="22"/>
        </w:rPr>
        <w:t>iav</w:t>
      </w:r>
      <w:r w:rsidRPr="007F7037">
        <w:rPr>
          <w:rFonts w:ascii="Arial Narrow" w:hAnsi="Arial Narrow" w:cs="Arial Narrow"/>
          <w:sz w:val="22"/>
          <w:szCs w:val="22"/>
        </w:rPr>
        <w:t>ať iba na jednu investičnú akciu</w:t>
      </w:r>
      <w:r>
        <w:rPr>
          <w:rFonts w:ascii="Arial Narrow" w:hAnsi="Arial Narrow" w:cs="Arial Narrow"/>
          <w:sz w:val="22"/>
          <w:szCs w:val="22"/>
        </w:rPr>
        <w:t>,</w:t>
      </w:r>
      <w:r w:rsidRPr="007F7037">
        <w:rPr>
          <w:rFonts w:ascii="Arial Narrow" w:hAnsi="Arial Narrow" w:cs="Arial Narrow"/>
          <w:sz w:val="22"/>
          <w:szCs w:val="22"/>
        </w:rPr>
        <w:t xml:space="preserve"> a to rekonštrukci</w:t>
      </w:r>
      <w:r>
        <w:rPr>
          <w:rFonts w:ascii="Arial Narrow" w:hAnsi="Arial Narrow" w:cs="Arial Narrow"/>
          <w:sz w:val="22"/>
          <w:szCs w:val="22"/>
        </w:rPr>
        <w:t>u</w:t>
      </w:r>
      <w:r w:rsidRPr="007F7037">
        <w:rPr>
          <w:rFonts w:ascii="Arial Narrow" w:hAnsi="Arial Narrow" w:cs="Arial Narrow"/>
          <w:sz w:val="22"/>
          <w:szCs w:val="22"/>
        </w:rPr>
        <w:t xml:space="preserve"> budovy Slovenskej filharmónie – Reduta.</w:t>
      </w:r>
      <w:r w:rsidRPr="007F7037">
        <w:rPr>
          <w:rFonts w:ascii="Arial Narrow" w:hAnsi="Arial Narrow" w:cs="Arial Narrow"/>
          <w:i/>
          <w:iCs/>
          <w:sz w:val="22"/>
          <w:szCs w:val="22"/>
        </w:rPr>
        <w:t xml:space="preserve"> </w:t>
      </w:r>
    </w:p>
    <w:p w:rsidR="001E5B24" w:rsidRPr="007F7037"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7F7037">
        <w:rPr>
          <w:rFonts w:ascii="Arial Narrow" w:hAnsi="Arial Narrow" w:cs="Arial Narrow"/>
          <w:sz w:val="22"/>
          <w:szCs w:val="22"/>
        </w:rPr>
        <w:t>Rozpočt</w:t>
      </w:r>
      <w:r>
        <w:rPr>
          <w:rFonts w:ascii="Arial Narrow" w:hAnsi="Arial Narrow" w:cs="Arial Narrow"/>
          <w:sz w:val="22"/>
          <w:szCs w:val="22"/>
        </w:rPr>
        <w:t>ované</w:t>
      </w:r>
      <w:r w:rsidRPr="007F7037">
        <w:rPr>
          <w:rFonts w:ascii="Arial Narrow" w:hAnsi="Arial Narrow" w:cs="Arial Narrow"/>
          <w:sz w:val="22"/>
          <w:szCs w:val="22"/>
        </w:rPr>
        <w:t xml:space="preserve"> výdavk</w:t>
      </w:r>
      <w:r>
        <w:rPr>
          <w:rFonts w:ascii="Arial Narrow" w:hAnsi="Arial Narrow" w:cs="Arial Narrow"/>
          <w:sz w:val="22"/>
          <w:szCs w:val="22"/>
        </w:rPr>
        <w:t>y</w:t>
      </w:r>
      <w:r w:rsidRPr="007F7037">
        <w:rPr>
          <w:rFonts w:ascii="Arial Narrow" w:hAnsi="Arial Narrow" w:cs="Arial Narrow"/>
          <w:sz w:val="22"/>
          <w:szCs w:val="22"/>
        </w:rPr>
        <w:t xml:space="preserve"> </w:t>
      </w:r>
      <w:r>
        <w:rPr>
          <w:rFonts w:ascii="Arial Narrow" w:hAnsi="Arial Narrow" w:cs="Arial Narrow"/>
          <w:sz w:val="22"/>
          <w:szCs w:val="22"/>
        </w:rPr>
        <w:t xml:space="preserve">kapitoly </w:t>
      </w:r>
      <w:r w:rsidRPr="007F7037">
        <w:rPr>
          <w:rFonts w:ascii="Arial Narrow" w:hAnsi="Arial Narrow" w:cs="Arial Narrow"/>
          <w:sz w:val="22"/>
          <w:szCs w:val="22"/>
        </w:rPr>
        <w:t>pokrýva</w:t>
      </w:r>
      <w:r>
        <w:rPr>
          <w:rFonts w:ascii="Arial Narrow" w:hAnsi="Arial Narrow" w:cs="Arial Narrow"/>
          <w:sz w:val="22"/>
          <w:szCs w:val="22"/>
        </w:rPr>
        <w:t>jú</w:t>
      </w:r>
      <w:r w:rsidRPr="007F7037">
        <w:rPr>
          <w:rFonts w:ascii="Arial Narrow" w:hAnsi="Arial Narrow" w:cs="Arial Narrow"/>
          <w:sz w:val="22"/>
          <w:szCs w:val="22"/>
        </w:rPr>
        <w:t xml:space="preserve"> nasledujúce oblasti:</w:t>
      </w:r>
    </w:p>
    <w:p w:rsidR="001E5B24" w:rsidRPr="007F7037" w:rsidP="001E5B24">
      <w:pPr>
        <w:bidi w:val="0"/>
        <w:ind w:firstLine="708"/>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Pr="00156E47">
        <w:rPr>
          <w:rFonts w:ascii="Arial Narrow" w:hAnsi="Arial Narrow" w:cs="Arial Narrow"/>
          <w:sz w:val="22"/>
          <w:szCs w:val="22"/>
        </w:rPr>
        <w:t xml:space="preserve">Inštitucionálna podpora štátnych organizácií rezortu </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619"/>
        <w:gridCol w:w="1047"/>
        <w:gridCol w:w="804"/>
        <w:gridCol w:w="918"/>
        <w:gridCol w:w="918"/>
        <w:gridCol w:w="918"/>
        <w:gridCol w:w="918"/>
      </w:tblGrid>
      <w:tr>
        <w:tblPrEx>
          <w:tblW w:w="4962" w:type="pct"/>
          <w:tblInd w:w="70" w:type="dxa"/>
          <w:tblCellMar>
            <w:left w:w="70" w:type="dxa"/>
            <w:right w:w="70" w:type="dxa"/>
          </w:tblCellMar>
          <w:tblLook w:val="00A0"/>
        </w:tblPrEx>
        <w:trPr>
          <w:trHeight w:val="255"/>
        </w:trPr>
        <w:tc>
          <w:tcPr>
            <w:tcW w:w="197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57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44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Inštitucionálna podpora vlastných organizácií</w:t>
            </w:r>
          </w:p>
        </w:tc>
        <w:tc>
          <w:tcPr>
            <w:tcW w:w="57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96 294</w:t>
            </w:r>
          </w:p>
        </w:tc>
        <w:tc>
          <w:tcPr>
            <w:tcW w:w="44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89 285</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89 569</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86 368</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74 573</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74 573</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Inšt. podpora štátnymi RO a PO</w:t>
            </w:r>
          </w:p>
        </w:tc>
        <w:tc>
          <w:tcPr>
            <w:tcW w:w="57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91 299</w:t>
            </w:r>
          </w:p>
        </w:tc>
        <w:tc>
          <w:tcPr>
            <w:tcW w:w="44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81 470</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80 351</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81 259</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74 573</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74 573</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Podpora kultúrnych aktivít RO a PO</w:t>
            </w:r>
          </w:p>
        </w:tc>
        <w:tc>
          <w:tcPr>
            <w:tcW w:w="57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3 560</w:t>
            </w:r>
          </w:p>
        </w:tc>
        <w:tc>
          <w:tcPr>
            <w:tcW w:w="44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6 035</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8 056</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5 109</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Podpora kultúrnych aktivít  v zahraničí</w:t>
            </w:r>
          </w:p>
        </w:tc>
        <w:tc>
          <w:tcPr>
            <w:tcW w:w="57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1 434</w:t>
            </w:r>
          </w:p>
        </w:tc>
        <w:tc>
          <w:tcPr>
            <w:tcW w:w="44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1 780</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1 162</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572"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44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-7,3%</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0,3%</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-3,6%</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-13,7%</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r>
    </w:tbl>
    <w:p w:rsidR="001E5B24" w:rsidRPr="007F7037" w:rsidP="001E5B24">
      <w:pPr>
        <w:bidi w:val="0"/>
        <w:jc w:val="both"/>
        <w:rPr>
          <w:rFonts w:ascii="Arial Narrow" w:hAnsi="Arial Narrow" w:cs="Arial Narrow"/>
          <w:b/>
          <w:bCs/>
          <w:sz w:val="22"/>
          <w:szCs w:val="22"/>
        </w:rPr>
      </w:pPr>
    </w:p>
    <w:p w:rsidR="001E5B24"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r>
      <w:r w:rsidRPr="00702306">
        <w:rPr>
          <w:rFonts w:ascii="Arial Narrow" w:hAnsi="Arial Narrow" w:cs="Arial Narrow"/>
          <w:sz w:val="22"/>
          <w:szCs w:val="22"/>
        </w:rPr>
        <w:t xml:space="preserve">Inštitucionálna podpora štátnych organizácií rezortu </w:t>
      </w:r>
      <w:r>
        <w:rPr>
          <w:rFonts w:ascii="Arial Narrow" w:hAnsi="Arial Narrow" w:cs="Arial Narrow"/>
          <w:sz w:val="22"/>
          <w:szCs w:val="22"/>
        </w:rPr>
        <w:t>ministerstva</w:t>
      </w:r>
      <w:r w:rsidRPr="007F7037">
        <w:rPr>
          <w:rFonts w:ascii="Arial Narrow" w:hAnsi="Arial Narrow" w:cs="Arial Narrow"/>
          <w:sz w:val="22"/>
          <w:szCs w:val="22"/>
        </w:rPr>
        <w:t xml:space="preserve"> pokrýva svojou činnosťou podporu 33 rezortných rozpočtových a príspevkových organizácií vo všetkých oblastiach pôsobenia kapitoly (divadlá, galérie, múzeá, osvetová činnosť</w:t>
      </w:r>
      <w:r>
        <w:rPr>
          <w:rFonts w:ascii="Arial Narrow" w:hAnsi="Arial Narrow" w:cs="Arial Narrow"/>
          <w:sz w:val="22"/>
          <w:szCs w:val="22"/>
        </w:rPr>
        <w:t xml:space="preserve"> atď.</w:t>
      </w:r>
      <w:r w:rsidRPr="007F7037">
        <w:rPr>
          <w:rFonts w:ascii="Arial Narrow" w:hAnsi="Arial Narrow" w:cs="Arial Narrow"/>
          <w:sz w:val="22"/>
          <w:szCs w:val="22"/>
        </w:rPr>
        <w:t xml:space="preserve">). Do inštitucionálnej podpory sú zahrnuté aj výdavky spojené s aktivitami štátnych rozpočtových a príspevkových organizácií rezortu (ďalej len RO a PO) nad rámec ich rozpočtu, ktoré sú počas roka postupne presúvané na základe rozhodnutia ministerstva v prospech niektorých RO a PO. Obdobným mechanizmom je financovaná aj podpora kultúrnych aktivít v zahraničí. </w:t>
      </w:r>
    </w:p>
    <w:p w:rsidR="001E5B24" w:rsidP="001E5B24">
      <w:pPr>
        <w:autoSpaceDE w:val="0"/>
        <w:autoSpaceDN w:val="0"/>
        <w:bidi w:val="0"/>
        <w:adjustRightInd w:val="0"/>
        <w:jc w:val="both"/>
        <w:rPr>
          <w:rFonts w:ascii="Arial Narrow" w:hAnsi="Arial Narrow" w:cs="Arial Narrow"/>
          <w:sz w:val="22"/>
          <w:szCs w:val="22"/>
        </w:rPr>
      </w:pPr>
    </w:p>
    <w:p w:rsidR="001E5B24"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t>Rozpočtované výdavky pre rok 2011 klesajú oproti schválenému rozpočtu 2010 o 3,6 %. Po odpočítaní výdavkov na rekonštrukciu</w:t>
      </w:r>
      <w:r w:rsidRPr="007F7037">
        <w:rPr>
          <w:rFonts w:ascii="Arial Narrow" w:hAnsi="Arial Narrow" w:cs="Arial Narrow"/>
          <w:sz w:val="22"/>
          <w:szCs w:val="22"/>
        </w:rPr>
        <w:t xml:space="preserve"> budovy </w:t>
      </w:r>
      <w:r>
        <w:rPr>
          <w:rFonts w:ascii="Arial Narrow" w:hAnsi="Arial Narrow" w:cs="Arial Narrow"/>
          <w:sz w:val="22"/>
          <w:szCs w:val="22"/>
        </w:rPr>
        <w:t>Slovenskej filharmónie – Reduty rastúcich o 1,1 mil. eur a transferu pre TASR, ktorý klesá o 1,04 mil. eur, je medziročný pokles Inštitucionálnej podpory štátnych rozpočtových a príspevkových organizácií 4 %.</w:t>
      </w:r>
    </w:p>
    <w:p w:rsidR="001E5B24" w:rsidRPr="007F7037" w:rsidP="001E5B24">
      <w:pPr>
        <w:autoSpaceDE w:val="0"/>
        <w:autoSpaceDN w:val="0"/>
        <w:bidi w:val="0"/>
        <w:adjustRightInd w:val="0"/>
        <w:jc w:val="both"/>
        <w:rPr>
          <w:rFonts w:ascii="Arial Narrow" w:hAnsi="Arial Narrow" w:cs="Arial Narrow"/>
          <w:b/>
          <w:bCs/>
          <w:sz w:val="22"/>
          <w:szCs w:val="22"/>
        </w:rPr>
      </w:pPr>
      <w:r>
        <w:rPr>
          <w:rFonts w:ascii="Arial Narrow" w:hAnsi="Arial Narrow" w:cs="Arial Narrow"/>
          <w:sz w:val="22"/>
          <w:szCs w:val="22"/>
        </w:rPr>
        <w:tab/>
      </w:r>
    </w:p>
    <w:p w:rsidR="001E5B24" w:rsidRPr="00156E47" w:rsidP="001E5B24">
      <w:pPr>
        <w:autoSpaceDE w:val="0"/>
        <w:autoSpaceDN w:val="0"/>
        <w:bidi w:val="0"/>
        <w:adjustRightInd w:val="0"/>
        <w:jc w:val="both"/>
        <w:rPr>
          <w:rFonts w:ascii="Arial Narrow" w:hAnsi="Arial Narrow" w:cs="Arial Narrow"/>
          <w:sz w:val="22"/>
          <w:szCs w:val="22"/>
        </w:rPr>
      </w:pPr>
      <w:r w:rsidR="00DB4442">
        <w:rPr>
          <w:rFonts w:ascii="Arial Narrow" w:hAnsi="Arial Narrow" w:cs="Arial Narrow"/>
          <w:sz w:val="22"/>
          <w:szCs w:val="22"/>
        </w:rPr>
        <w:br w:type="page"/>
      </w:r>
      <w:r w:rsidRPr="00156E47">
        <w:rPr>
          <w:rFonts w:ascii="Arial Narrow" w:hAnsi="Arial Narrow" w:cs="Arial Narrow"/>
          <w:sz w:val="22"/>
          <w:szCs w:val="22"/>
        </w:rPr>
        <w:t xml:space="preserve">Grantový systém </w:t>
      </w:r>
    </w:p>
    <w:p w:rsidR="001E5B24" w:rsidP="001E5B24">
      <w:pPr>
        <w:autoSpaceDE w:val="0"/>
        <w:autoSpaceDN w:val="0"/>
        <w:bidi w:val="0"/>
        <w:adjustRightInd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619"/>
        <w:gridCol w:w="1047"/>
        <w:gridCol w:w="804"/>
        <w:gridCol w:w="918"/>
        <w:gridCol w:w="918"/>
        <w:gridCol w:w="918"/>
        <w:gridCol w:w="918"/>
      </w:tblGrid>
      <w:tr>
        <w:tblPrEx>
          <w:tblW w:w="4962" w:type="pct"/>
          <w:tblInd w:w="70" w:type="dxa"/>
          <w:tblCellMar>
            <w:left w:w="70" w:type="dxa"/>
            <w:right w:w="70" w:type="dxa"/>
          </w:tblCellMar>
          <w:tblLook w:val="00A0"/>
        </w:tblPrEx>
        <w:trPr>
          <w:trHeight w:val="255"/>
        </w:trPr>
        <w:tc>
          <w:tcPr>
            <w:tcW w:w="197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57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44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 xml:space="preserve">Grantový systém </w:t>
            </w:r>
          </w:p>
        </w:tc>
        <w:tc>
          <w:tcPr>
            <w:tcW w:w="57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21 238</w:t>
            </w:r>
          </w:p>
        </w:tc>
        <w:tc>
          <w:tcPr>
            <w:tcW w:w="44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28 627</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27 930</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16 891</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22 000</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22 000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572"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44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34,8%</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-2,4%</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-39,5%</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30,2%</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r>
    </w:tbl>
    <w:p w:rsidR="001E5B24" w:rsidRPr="007F7037" w:rsidP="001E5B24">
      <w:pPr>
        <w:autoSpaceDE w:val="0"/>
        <w:autoSpaceDN w:val="0"/>
        <w:bidi w:val="0"/>
        <w:adjustRightInd w:val="0"/>
        <w:jc w:val="both"/>
        <w:rPr>
          <w:rFonts w:ascii="Arial Narrow" w:hAnsi="Arial Narrow" w:cs="Arial Narrow"/>
          <w:sz w:val="22"/>
          <w:szCs w:val="22"/>
        </w:rPr>
      </w:pPr>
    </w:p>
    <w:p w:rsidR="001E5B24"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r>
      <w:r w:rsidRPr="00F33EF0">
        <w:rPr>
          <w:rFonts w:ascii="Arial Narrow" w:hAnsi="Arial Narrow" w:cs="Arial Narrow"/>
          <w:sz w:val="22"/>
          <w:szCs w:val="22"/>
        </w:rPr>
        <w:t>Grantový systém</w:t>
      </w:r>
      <w:r w:rsidRPr="007F7037">
        <w:rPr>
          <w:rFonts w:ascii="Arial Narrow" w:hAnsi="Arial Narrow" w:cs="Arial Narrow"/>
          <w:b/>
          <w:bCs/>
          <w:sz w:val="22"/>
          <w:szCs w:val="22"/>
        </w:rPr>
        <w:t xml:space="preserve"> </w:t>
      </w:r>
      <w:r w:rsidRPr="007F7037">
        <w:rPr>
          <w:rFonts w:ascii="Arial Narrow" w:hAnsi="Arial Narrow" w:cs="Arial Narrow"/>
          <w:sz w:val="22"/>
          <w:szCs w:val="22"/>
        </w:rPr>
        <w:t xml:space="preserve">(ďalej len </w:t>
      </w:r>
      <w:r>
        <w:rPr>
          <w:rFonts w:ascii="Arial Narrow" w:hAnsi="Arial Narrow" w:cs="Arial Narrow"/>
          <w:sz w:val="22"/>
          <w:szCs w:val="22"/>
        </w:rPr>
        <w:t>„</w:t>
      </w:r>
      <w:r w:rsidRPr="007F7037">
        <w:rPr>
          <w:rFonts w:ascii="Arial Narrow" w:hAnsi="Arial Narrow" w:cs="Arial Narrow"/>
          <w:sz w:val="22"/>
          <w:szCs w:val="22"/>
        </w:rPr>
        <w:t>GS</w:t>
      </w:r>
      <w:r>
        <w:rPr>
          <w:rFonts w:ascii="Arial Narrow" w:hAnsi="Arial Narrow" w:cs="Arial Narrow"/>
          <w:sz w:val="22"/>
          <w:szCs w:val="22"/>
        </w:rPr>
        <w:t>“</w:t>
      </w:r>
      <w:r w:rsidRPr="007F7037">
        <w:rPr>
          <w:rFonts w:ascii="Arial Narrow" w:hAnsi="Arial Narrow" w:cs="Arial Narrow"/>
          <w:sz w:val="22"/>
          <w:szCs w:val="22"/>
        </w:rPr>
        <w:t>)</w:t>
      </w:r>
      <w:r w:rsidRPr="007F7037">
        <w:rPr>
          <w:rFonts w:ascii="Arial Narrow" w:hAnsi="Arial Narrow" w:cs="Arial Narrow"/>
          <w:i/>
          <w:iCs/>
          <w:sz w:val="22"/>
          <w:szCs w:val="22"/>
        </w:rPr>
        <w:t xml:space="preserve"> </w:t>
      </w:r>
      <w:r w:rsidRPr="007F7037">
        <w:rPr>
          <w:rFonts w:ascii="Arial Narrow" w:hAnsi="Arial Narrow" w:cs="Arial Narrow"/>
          <w:sz w:val="22"/>
          <w:szCs w:val="22"/>
        </w:rPr>
        <w:t xml:space="preserve">je zameraný na podporu a financovanie kultúry prostredníctvom projektov, orientovaných na zachovanie a rozvoj kultúrneho dedičstva. Spolu s Inštitucionálnou podporou štátnych RO a PO tvorí hlavnú časť programu Tvorba, šírenie, ochrana a prezentácia kultúrnych hodnôt, čo tiež potvrdzuje, že GS je základným stavebným kameňom v znižovaní inštitucionálneho financovania kultúry v prospech účelového financovania. </w:t>
      </w:r>
    </w:p>
    <w:p w:rsidR="001E5B24"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r>
    </w:p>
    <w:p w:rsidR="001E5B24" w:rsidP="001E5B24">
      <w:pPr>
        <w:autoSpaceDE w:val="0"/>
        <w:autoSpaceDN w:val="0"/>
        <w:bidi w:val="0"/>
        <w:adjustRightInd w:val="0"/>
        <w:ind w:firstLine="708"/>
        <w:jc w:val="both"/>
        <w:rPr>
          <w:rFonts w:ascii="Arial Narrow" w:hAnsi="Arial Narrow" w:cs="Arial Narrow"/>
          <w:sz w:val="22"/>
          <w:szCs w:val="22"/>
        </w:rPr>
      </w:pPr>
      <w:r>
        <w:rPr>
          <w:rFonts w:ascii="Arial Narrow" w:hAnsi="Arial Narrow" w:cs="Arial Narrow"/>
          <w:sz w:val="22"/>
          <w:szCs w:val="22"/>
        </w:rPr>
        <w:t>Upravený rozpočet GS v roku 2010 je 19,6 mil. eur a po odpočítaní Kultúrnych aktivít národnostných menšín, ktoré sú od roku 2011 rozpočtované v kapitole Úradu vlády SR, je 16,1 mil. eur. Pri rešpektovaní upraveného rozpočtu GS v roku 2010 dochádza k medziročnému rastu v tejto oblasti o 4,92%.</w:t>
      </w:r>
    </w:p>
    <w:p w:rsidR="001E5B24" w:rsidP="001E5B24">
      <w:pPr>
        <w:autoSpaceDE w:val="0"/>
        <w:autoSpaceDN w:val="0"/>
        <w:bidi w:val="0"/>
        <w:adjustRightInd w:val="0"/>
        <w:jc w:val="both"/>
        <w:rPr>
          <w:rFonts w:ascii="Arial Narrow" w:hAnsi="Arial Narrow" w:cs="Arial Narrow"/>
          <w:b/>
          <w:bCs/>
          <w:sz w:val="22"/>
          <w:szCs w:val="22"/>
        </w:rPr>
      </w:pPr>
    </w:p>
    <w:p w:rsidR="001E5B24" w:rsidRPr="00156E47" w:rsidP="001E5B24">
      <w:pPr>
        <w:bidi w:val="0"/>
        <w:jc w:val="both"/>
        <w:rPr>
          <w:rFonts w:ascii="Arial Narrow" w:hAnsi="Arial Narrow" w:cs="Arial Narrow"/>
          <w:sz w:val="22"/>
          <w:szCs w:val="22"/>
        </w:rPr>
      </w:pPr>
      <w:r w:rsidRPr="00156E47">
        <w:rPr>
          <w:rFonts w:ascii="Arial Narrow" w:hAnsi="Arial Narrow" w:cs="Arial Narrow"/>
          <w:sz w:val="22"/>
          <w:szCs w:val="22"/>
        </w:rPr>
        <w:t xml:space="preserve">Cirkvi a náboženské spoločnosti </w:t>
      </w:r>
    </w:p>
    <w:p w:rsidR="001E5B24" w:rsidRPr="007F7037"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619"/>
        <w:gridCol w:w="1047"/>
        <w:gridCol w:w="804"/>
        <w:gridCol w:w="918"/>
        <w:gridCol w:w="918"/>
        <w:gridCol w:w="918"/>
        <w:gridCol w:w="918"/>
      </w:tblGrid>
      <w:tr>
        <w:tblPrEx>
          <w:tblW w:w="4962" w:type="pct"/>
          <w:tblInd w:w="70" w:type="dxa"/>
          <w:tblCellMar>
            <w:left w:w="70" w:type="dxa"/>
            <w:right w:w="70" w:type="dxa"/>
          </w:tblCellMar>
          <w:tblLook w:val="00A0"/>
        </w:tblPrEx>
        <w:trPr>
          <w:trHeight w:val="255"/>
        </w:trPr>
        <w:tc>
          <w:tcPr>
            <w:tcW w:w="197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57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44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Cirkvi a náboženské spoločnosti</w:t>
            </w:r>
          </w:p>
        </w:tc>
        <w:tc>
          <w:tcPr>
            <w:tcW w:w="57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33 931</w:t>
            </w:r>
          </w:p>
        </w:tc>
        <w:tc>
          <w:tcPr>
            <w:tcW w:w="44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37 192</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37 192</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37 212</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37 212</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37 212</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572"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44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9,6%</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0,1%</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r>
    </w:tbl>
    <w:p w:rsidR="001E5B24" w:rsidRPr="007F7037" w:rsidP="001E5B24">
      <w:pPr>
        <w:bidi w:val="0"/>
        <w:jc w:val="both"/>
        <w:rPr>
          <w:rFonts w:ascii="Arial Narrow" w:hAnsi="Arial Narrow" w:cs="Arial Narrow"/>
          <w:b/>
          <w:bCs/>
          <w:sz w:val="22"/>
          <w:szCs w:val="22"/>
        </w:rPr>
      </w:pPr>
    </w:p>
    <w:p w:rsidR="001E5B24" w:rsidRPr="007F7037" w:rsidP="001E5B24">
      <w:pPr>
        <w:bidi w:val="0"/>
        <w:jc w:val="both"/>
        <w:rPr>
          <w:rFonts w:ascii="Arial Narrow" w:hAnsi="Arial Narrow" w:cs="Arial Narrow"/>
          <w:sz w:val="22"/>
          <w:szCs w:val="22"/>
        </w:rPr>
      </w:pPr>
      <w:r>
        <w:rPr>
          <w:rFonts w:ascii="Arial Narrow" w:hAnsi="Arial Narrow" w:cs="Arial Narrow"/>
          <w:b/>
          <w:bCs/>
          <w:sz w:val="22"/>
          <w:szCs w:val="22"/>
        </w:rPr>
        <w:tab/>
      </w:r>
      <w:r w:rsidRPr="001339B7">
        <w:rPr>
          <w:rFonts w:ascii="Arial Narrow" w:hAnsi="Arial Narrow" w:cs="Arial Narrow"/>
          <w:sz w:val="22"/>
          <w:szCs w:val="22"/>
        </w:rPr>
        <w:t>Financovanie cirkví a</w:t>
      </w:r>
      <w:r>
        <w:rPr>
          <w:rFonts w:ascii="Arial Narrow" w:hAnsi="Arial Narrow" w:cs="Arial Narrow"/>
          <w:sz w:val="22"/>
          <w:szCs w:val="22"/>
        </w:rPr>
        <w:t> náboženských spoločností</w:t>
      </w:r>
      <w:r w:rsidRPr="007F7037">
        <w:rPr>
          <w:rFonts w:ascii="Arial Narrow" w:hAnsi="Arial Narrow" w:cs="Arial Narrow"/>
          <w:sz w:val="22"/>
          <w:szCs w:val="22"/>
        </w:rPr>
        <w:t xml:space="preserve"> vyplýva zo zákona č. 218/1949 Zb. o hospodárskom zabezpečení cirkví a náboženských spoločností štátom v znení neskorších predpisov. Z rozpočtovaných prostriedkov sa financujú platy a poistné duchovných, prevádzka ústredí cirkví a náboženských spoločností a charitných domov (domovy dôchodcov pre kňazov). Do výdavkov na cirkvi a náboženské spoločnosti sú započítané aj výdavky na úhradu nákladov súvisiacich so zameraním vydaných nehnuteľností pre cirkvi a náboženské spoločnosti podľa zákona č. 282/1993 Z. z. o zmiernení niektorých majetkových krívd spôsobených cirkvám a náboženským spoločnostiam. </w:t>
      </w:r>
    </w:p>
    <w:p w:rsidR="001E5B24" w:rsidP="001E5B24">
      <w:pPr>
        <w:bidi w:val="0"/>
        <w:jc w:val="both"/>
        <w:rPr>
          <w:rFonts w:ascii="Arial Narrow" w:hAnsi="Arial Narrow" w:cs="Arial Narrow"/>
          <w:b/>
          <w:bCs/>
          <w:sz w:val="22"/>
          <w:szCs w:val="22"/>
        </w:rPr>
      </w:pPr>
    </w:p>
    <w:p w:rsidR="001E5B24" w:rsidRPr="00156E47" w:rsidP="001E5B24">
      <w:pPr>
        <w:bidi w:val="0"/>
        <w:jc w:val="both"/>
        <w:rPr>
          <w:rFonts w:ascii="Arial Narrow" w:hAnsi="Arial Narrow" w:cs="Arial Narrow"/>
          <w:i/>
          <w:iCs/>
          <w:sz w:val="22"/>
          <w:szCs w:val="22"/>
        </w:rPr>
      </w:pPr>
      <w:r w:rsidRPr="00156E47">
        <w:rPr>
          <w:rFonts w:ascii="Arial Narrow" w:hAnsi="Arial Narrow" w:cs="Arial Narrow"/>
          <w:sz w:val="22"/>
          <w:szCs w:val="22"/>
        </w:rPr>
        <w:t>Financovanie strategických zámerov rezortu</w:t>
      </w:r>
      <w:r w:rsidRPr="00156E47">
        <w:rPr>
          <w:rFonts w:ascii="Arial Narrow" w:hAnsi="Arial Narrow" w:cs="Arial Narrow"/>
          <w:i/>
          <w:iCs/>
          <w:sz w:val="22"/>
          <w:szCs w:val="22"/>
        </w:rPr>
        <w:t xml:space="preserve"> </w:t>
      </w:r>
    </w:p>
    <w:p w:rsidR="001E5B24" w:rsidRPr="007F7037"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5654"/>
        <w:gridCol w:w="578"/>
        <w:gridCol w:w="578"/>
        <w:gridCol w:w="583"/>
        <w:gridCol w:w="583"/>
        <w:gridCol w:w="583"/>
        <w:gridCol w:w="583"/>
      </w:tblGrid>
      <w:tr>
        <w:tblPrEx>
          <w:tblW w:w="4962" w:type="pct"/>
          <w:tblInd w:w="70" w:type="dxa"/>
          <w:tblCellMar>
            <w:left w:w="70" w:type="dxa"/>
            <w:right w:w="70" w:type="dxa"/>
          </w:tblCellMar>
          <w:tblLook w:val="00A0"/>
        </w:tblPrEx>
        <w:trPr>
          <w:trHeight w:val="255"/>
        </w:trPr>
        <w:tc>
          <w:tcPr>
            <w:tcW w:w="309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3091"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Strategické zámery kapitoly</w:t>
            </w:r>
          </w:p>
        </w:tc>
        <w:tc>
          <w:tcPr>
            <w:tcW w:w="316"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13 267</w:t>
            </w:r>
          </w:p>
        </w:tc>
        <w:tc>
          <w:tcPr>
            <w:tcW w:w="316"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16 587</w:t>
            </w:r>
          </w:p>
        </w:tc>
        <w:tc>
          <w:tcPr>
            <w:tcW w:w="319"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6 967</w:t>
            </w:r>
          </w:p>
        </w:tc>
        <w:tc>
          <w:tcPr>
            <w:tcW w:w="319"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1 494</w:t>
            </w:r>
          </w:p>
        </w:tc>
        <w:tc>
          <w:tcPr>
            <w:tcW w:w="319"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1 789</w:t>
            </w:r>
          </w:p>
        </w:tc>
        <w:tc>
          <w:tcPr>
            <w:tcW w:w="319"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1 754</w:t>
            </w:r>
          </w:p>
        </w:tc>
      </w:tr>
      <w:tr>
        <w:tblPrEx>
          <w:tblW w:w="4962" w:type="pct"/>
          <w:tblInd w:w="70" w:type="dxa"/>
          <w:tblCellMar>
            <w:left w:w="70" w:type="dxa"/>
            <w:right w:w="70" w:type="dxa"/>
          </w:tblCellMar>
          <w:tblLook w:val="00A0"/>
        </w:tblPrEx>
        <w:trPr>
          <w:trHeight w:val="255"/>
        </w:trPr>
        <w:tc>
          <w:tcPr>
            <w:tcW w:w="309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Systematická obnova audiovizuálneho dedičstva a jeho sprístupňovanie na roky 2008 - 2011</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1 494</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1 494</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1 494</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1 494</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1 494</w:t>
            </w:r>
          </w:p>
        </w:tc>
      </w:tr>
      <w:tr>
        <w:tblPrEx>
          <w:tblW w:w="4962" w:type="pct"/>
          <w:tblInd w:w="70" w:type="dxa"/>
          <w:tblCellMar>
            <w:left w:w="70" w:type="dxa"/>
            <w:right w:w="70" w:type="dxa"/>
          </w:tblCellMar>
          <w:tblLook w:val="00A0"/>
        </w:tblPrEx>
        <w:trPr>
          <w:trHeight w:val="255"/>
        </w:trPr>
        <w:tc>
          <w:tcPr>
            <w:tcW w:w="309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Projekt informatizácie kultúry</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9 720</w:t>
            </w:r>
          </w:p>
        </w:tc>
        <w:tc>
          <w:tcPr>
            <w:tcW w:w="316"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10 077</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2 967</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3091"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Stratégia rozvoja slovenského knihovníctva na roky 2008-2013</w:t>
            </w:r>
          </w:p>
        </w:tc>
        <w:tc>
          <w:tcPr>
            <w:tcW w:w="316"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6"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1 301</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4 000</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295</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260</w:t>
            </w:r>
          </w:p>
        </w:tc>
      </w:tr>
      <w:tr>
        <w:tblPrEx>
          <w:tblW w:w="4962" w:type="pct"/>
          <w:tblInd w:w="70" w:type="dxa"/>
          <w:tblCellMar>
            <w:left w:w="70" w:type="dxa"/>
            <w:right w:w="70" w:type="dxa"/>
          </w:tblCellMar>
          <w:tblLook w:val="00A0"/>
        </w:tblPrEx>
        <w:trPr>
          <w:trHeight w:val="255"/>
        </w:trPr>
        <w:tc>
          <w:tcPr>
            <w:tcW w:w="3091"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Stratégia rozvoja múzeí a galérií v SR do roku 2011</w:t>
            </w:r>
          </w:p>
        </w:tc>
        <w:tc>
          <w:tcPr>
            <w:tcW w:w="316"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2 054</w:t>
            </w:r>
          </w:p>
        </w:tc>
        <w:tc>
          <w:tcPr>
            <w:tcW w:w="316"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3 715</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19"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r>
      <w:tr>
        <w:tblPrEx>
          <w:tblW w:w="4962" w:type="pct"/>
          <w:tblInd w:w="70" w:type="dxa"/>
          <w:tblCellMar>
            <w:left w:w="70" w:type="dxa"/>
            <w:right w:w="70" w:type="dxa"/>
          </w:tblCellMar>
          <w:tblLook w:val="00A0"/>
        </w:tblPrEx>
        <w:trPr>
          <w:trHeight w:val="255"/>
        </w:trPr>
        <w:tc>
          <w:tcPr>
            <w:tcW w:w="3091"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316"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316"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25,0%</w:t>
            </w:r>
          </w:p>
        </w:tc>
        <w:tc>
          <w:tcPr>
            <w:tcW w:w="319"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-58,0%</w:t>
            </w:r>
          </w:p>
        </w:tc>
        <w:tc>
          <w:tcPr>
            <w:tcW w:w="319"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-78,6%</w:t>
            </w:r>
          </w:p>
        </w:tc>
        <w:tc>
          <w:tcPr>
            <w:tcW w:w="319"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19,8%</w:t>
            </w:r>
          </w:p>
        </w:tc>
        <w:tc>
          <w:tcPr>
            <w:tcW w:w="319"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-2,0%</w:t>
            </w:r>
          </w:p>
        </w:tc>
      </w:tr>
    </w:tbl>
    <w:p w:rsidR="001E5B24" w:rsidRPr="007F7037" w:rsidP="001E5B24">
      <w:pPr>
        <w:bidi w:val="0"/>
        <w:jc w:val="both"/>
        <w:rPr>
          <w:rFonts w:ascii="Arial Narrow" w:hAnsi="Arial Narrow" w:cs="Arial Narrow"/>
          <w:i/>
          <w:iCs/>
          <w:sz w:val="22"/>
          <w:szCs w:val="22"/>
        </w:rPr>
      </w:pPr>
    </w:p>
    <w:p w:rsidR="001E5B24" w:rsidP="001E5B24">
      <w:pPr>
        <w:bidi w:val="0"/>
        <w:jc w:val="both"/>
        <w:rPr>
          <w:rFonts w:ascii="Arial Narrow" w:hAnsi="Arial Narrow" w:cs="Arial Narrow"/>
          <w:sz w:val="22"/>
          <w:szCs w:val="22"/>
        </w:rPr>
      </w:pPr>
      <w:r>
        <w:rPr>
          <w:rFonts w:ascii="Arial Narrow" w:hAnsi="Arial Narrow" w:cs="Arial Narrow"/>
          <w:b/>
          <w:bCs/>
          <w:sz w:val="22"/>
          <w:szCs w:val="22"/>
        </w:rPr>
        <w:tab/>
      </w:r>
      <w:r w:rsidRPr="001339B7">
        <w:rPr>
          <w:rFonts w:ascii="Arial Narrow" w:hAnsi="Arial Narrow" w:cs="Arial Narrow"/>
          <w:sz w:val="22"/>
          <w:szCs w:val="22"/>
        </w:rPr>
        <w:t>Financovanie strategických zámerov rezortu</w:t>
      </w:r>
      <w:r w:rsidRPr="007F7037">
        <w:rPr>
          <w:rFonts w:ascii="Arial Narrow" w:hAnsi="Arial Narrow" w:cs="Arial Narrow"/>
          <w:i/>
          <w:iCs/>
          <w:sz w:val="22"/>
          <w:szCs w:val="22"/>
        </w:rPr>
        <w:t xml:space="preserve"> </w:t>
      </w:r>
      <w:r w:rsidRPr="007F7037">
        <w:rPr>
          <w:rFonts w:ascii="Arial Narrow" w:hAnsi="Arial Narrow" w:cs="Arial Narrow"/>
          <w:sz w:val="22"/>
          <w:szCs w:val="22"/>
        </w:rPr>
        <w:t xml:space="preserve">je oblasť pôsobenia rezortu pod aparátom </w:t>
      </w:r>
      <w:r>
        <w:rPr>
          <w:rFonts w:ascii="Arial Narrow" w:hAnsi="Arial Narrow" w:cs="Arial Narrow"/>
          <w:sz w:val="22"/>
          <w:szCs w:val="22"/>
        </w:rPr>
        <w:t>ministerstva</w:t>
      </w:r>
      <w:r w:rsidRPr="007F7037">
        <w:rPr>
          <w:rFonts w:ascii="Arial Narrow" w:hAnsi="Arial Narrow" w:cs="Arial Narrow"/>
          <w:sz w:val="22"/>
          <w:szCs w:val="22"/>
        </w:rPr>
        <w:t xml:space="preserve">, ktorá prechádza naprieč viacerými kultúrnymi organizáciami ako napr. Stratégia rozvoja múzeí a galérií do roku 2011, Stratégia rozvoja slovenského knihovníctva na roky 2008 až 2013 a </w:t>
      </w:r>
      <w:r>
        <w:rPr>
          <w:rFonts w:ascii="Arial Narrow" w:hAnsi="Arial Narrow" w:cs="Arial Narrow"/>
          <w:sz w:val="22"/>
          <w:szCs w:val="22"/>
        </w:rPr>
        <w:t>p</w:t>
      </w:r>
      <w:r w:rsidRPr="007F7037">
        <w:rPr>
          <w:rFonts w:ascii="Arial Narrow" w:hAnsi="Arial Narrow" w:cs="Arial Narrow"/>
          <w:sz w:val="22"/>
          <w:szCs w:val="22"/>
        </w:rPr>
        <w:t xml:space="preserve">rojekt Informatizácia kultúry. </w:t>
      </w:r>
      <w:r>
        <w:rPr>
          <w:rFonts w:ascii="Arial Narrow" w:hAnsi="Arial Narrow" w:cs="Arial Narrow"/>
          <w:sz w:val="22"/>
          <w:szCs w:val="22"/>
        </w:rPr>
        <w:t>Výrazný medziročný pokles v roku 2011 je spôsobený nerozpočtovaním výdavkov na projekt I</w:t>
      </w:r>
      <w:r w:rsidRPr="00BA3069">
        <w:rPr>
          <w:rFonts w:ascii="Arial Narrow" w:hAnsi="Arial Narrow" w:cs="Arial Narrow"/>
          <w:sz w:val="22"/>
          <w:szCs w:val="22"/>
        </w:rPr>
        <w:t>nformatizácie kultúry</w:t>
      </w:r>
      <w:r>
        <w:rPr>
          <w:rFonts w:ascii="Arial Narrow" w:hAnsi="Arial Narrow" w:cs="Arial Narrow"/>
          <w:sz w:val="22"/>
          <w:szCs w:val="22"/>
        </w:rPr>
        <w:t>,</w:t>
      </w:r>
      <w:r w:rsidRPr="00BA3069">
        <w:rPr>
          <w:rFonts w:ascii="Arial Narrow" w:hAnsi="Arial Narrow" w:cs="Arial Narrow"/>
          <w:sz w:val="22"/>
          <w:szCs w:val="22"/>
        </w:rPr>
        <w:t xml:space="preserve"> Stratégia rozvoja slovenského knihovníctva na roky 2008-2013 </w:t>
      </w:r>
      <w:r>
        <w:rPr>
          <w:rFonts w:ascii="Arial Narrow" w:hAnsi="Arial Narrow" w:cs="Arial Narrow"/>
          <w:sz w:val="22"/>
          <w:szCs w:val="22"/>
        </w:rPr>
        <w:t xml:space="preserve">a </w:t>
      </w:r>
      <w:r w:rsidRPr="00BA3069">
        <w:rPr>
          <w:rFonts w:ascii="Arial Narrow" w:hAnsi="Arial Narrow" w:cs="Arial Narrow"/>
          <w:sz w:val="22"/>
          <w:szCs w:val="22"/>
        </w:rPr>
        <w:t>Stratégia rozvoja múzeí a galérií v SR do roku 2011</w:t>
      </w:r>
      <w:r>
        <w:rPr>
          <w:rFonts w:ascii="Arial Narrow" w:hAnsi="Arial Narrow" w:cs="Arial Narrow"/>
          <w:sz w:val="22"/>
          <w:szCs w:val="22"/>
        </w:rPr>
        <w:t>.</w:t>
      </w:r>
    </w:p>
    <w:p w:rsidR="001E5B24" w:rsidRPr="007F7037" w:rsidP="001E5B24">
      <w:pPr>
        <w:bidi w:val="0"/>
        <w:jc w:val="both"/>
        <w:rPr>
          <w:rFonts w:ascii="Arial Narrow" w:hAnsi="Arial Narrow" w:cs="Arial Narrow"/>
          <w:sz w:val="22"/>
          <w:szCs w:val="22"/>
        </w:rPr>
      </w:pPr>
    </w:p>
    <w:p w:rsidR="001E5B24" w:rsidRPr="00156E47" w:rsidP="001E5B24">
      <w:pPr>
        <w:bidi w:val="0"/>
        <w:jc w:val="both"/>
        <w:rPr>
          <w:rFonts w:ascii="Arial Narrow" w:hAnsi="Arial Narrow" w:cs="Arial Narrow"/>
          <w:sz w:val="22"/>
          <w:szCs w:val="22"/>
        </w:rPr>
      </w:pPr>
      <w:r w:rsidR="00DB4442">
        <w:rPr>
          <w:rFonts w:ascii="Arial Narrow" w:hAnsi="Arial Narrow" w:cs="Arial Narrow"/>
          <w:sz w:val="22"/>
          <w:szCs w:val="22"/>
        </w:rPr>
        <w:br w:type="page"/>
      </w:r>
      <w:r w:rsidRPr="00156E47">
        <w:rPr>
          <w:rFonts w:ascii="Arial Narrow" w:hAnsi="Arial Narrow" w:cs="Arial Narrow"/>
          <w:sz w:val="22"/>
          <w:szCs w:val="22"/>
        </w:rPr>
        <w:t xml:space="preserve">Slovenský rozhlas, Slovenská televízia a Audiovizuálny fond </w:t>
      </w:r>
    </w:p>
    <w:p w:rsidR="001E5B24" w:rsidRPr="00156E47"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5668"/>
        <w:gridCol w:w="591"/>
        <w:gridCol w:w="585"/>
        <w:gridCol w:w="564"/>
        <w:gridCol w:w="585"/>
        <w:gridCol w:w="585"/>
        <w:gridCol w:w="564"/>
      </w:tblGrid>
      <w:tr>
        <w:tblPrEx>
          <w:tblW w:w="4962" w:type="pct"/>
          <w:tblInd w:w="70" w:type="dxa"/>
          <w:tblCellMar>
            <w:left w:w="70" w:type="dxa"/>
            <w:right w:w="70" w:type="dxa"/>
          </w:tblCellMar>
          <w:tblLook w:val="00A0"/>
        </w:tblPrEx>
        <w:trPr>
          <w:trHeight w:val="255"/>
        </w:trPr>
        <w:tc>
          <w:tcPr>
            <w:tcW w:w="306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361"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32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308"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32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32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308"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3062"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Podpora vysielania a tvorby niektorých programov verejnoprávnych inštitúcií SRo a STV</w:t>
            </w:r>
          </w:p>
        </w:tc>
        <w:tc>
          <w:tcPr>
            <w:tcW w:w="361"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4 852</w:t>
            </w:r>
          </w:p>
        </w:tc>
        <w:tc>
          <w:tcPr>
            <w:tcW w:w="32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15 484</w:t>
            </w:r>
          </w:p>
        </w:tc>
        <w:tc>
          <w:tcPr>
            <w:tcW w:w="308"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Pr>
                <w:rFonts w:ascii="Arial Narrow" w:hAnsi="Arial Narrow" w:cs="Arial Narrow"/>
                <w:b/>
                <w:bCs/>
                <w:sz w:val="16"/>
                <w:szCs w:val="16"/>
                <w:lang w:eastAsia="sk-SK"/>
              </w:rPr>
              <w:t>700</w:t>
            </w:r>
          </w:p>
        </w:tc>
        <w:tc>
          <w:tcPr>
            <w:tcW w:w="32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17 500</w:t>
            </w:r>
          </w:p>
        </w:tc>
        <w:tc>
          <w:tcPr>
            <w:tcW w:w="32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84 000</w:t>
            </w:r>
          </w:p>
        </w:tc>
        <w:tc>
          <w:tcPr>
            <w:tcW w:w="308"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84 500</w:t>
            </w:r>
          </w:p>
        </w:tc>
      </w:tr>
      <w:tr>
        <w:tblPrEx>
          <w:tblW w:w="4962" w:type="pct"/>
          <w:tblInd w:w="70" w:type="dxa"/>
          <w:tblCellMar>
            <w:left w:w="70" w:type="dxa"/>
            <w:right w:w="70" w:type="dxa"/>
          </w:tblCellMar>
          <w:tblLook w:val="00A0"/>
        </w:tblPrEx>
        <w:trPr>
          <w:trHeight w:val="255"/>
        </w:trPr>
        <w:tc>
          <w:tcPr>
            <w:tcW w:w="3062"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Slovenská televízia</w:t>
            </w:r>
          </w:p>
        </w:tc>
        <w:tc>
          <w:tcPr>
            <w:tcW w:w="361"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1 839</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9 340</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10 000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56 000</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56 000</w:t>
            </w:r>
          </w:p>
        </w:tc>
      </w:tr>
      <w:tr>
        <w:tblPrEx>
          <w:tblW w:w="4962" w:type="pct"/>
          <w:tblInd w:w="70" w:type="dxa"/>
          <w:tblCellMar>
            <w:left w:w="70" w:type="dxa"/>
            <w:right w:w="70" w:type="dxa"/>
          </w:tblCellMar>
          <w:tblLook w:val="00A0"/>
        </w:tblPrEx>
        <w:trPr>
          <w:trHeight w:val="255"/>
        </w:trPr>
        <w:tc>
          <w:tcPr>
            <w:tcW w:w="3062"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Slovenský rozhlas</w:t>
            </w:r>
          </w:p>
        </w:tc>
        <w:tc>
          <w:tcPr>
            <w:tcW w:w="361"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3 013</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5 994</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700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4 000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24 000</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24 000</w:t>
            </w:r>
          </w:p>
        </w:tc>
      </w:tr>
      <w:tr>
        <w:tblPrEx>
          <w:tblW w:w="4962" w:type="pct"/>
          <w:tblInd w:w="70" w:type="dxa"/>
          <w:tblCellMar>
            <w:left w:w="70" w:type="dxa"/>
            <w:right w:w="70" w:type="dxa"/>
          </w:tblCellMar>
          <w:tblLook w:val="00A0"/>
        </w:tblPrEx>
        <w:trPr>
          <w:trHeight w:val="255"/>
        </w:trPr>
        <w:tc>
          <w:tcPr>
            <w:tcW w:w="3062"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Audiovizuálny fond</w:t>
            </w:r>
          </w:p>
        </w:tc>
        <w:tc>
          <w:tcPr>
            <w:tcW w:w="361"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149</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3 500</w:t>
            </w:r>
          </w:p>
        </w:tc>
        <w:tc>
          <w:tcPr>
            <w:tcW w:w="32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4 000</w:t>
            </w:r>
          </w:p>
        </w:tc>
        <w:tc>
          <w:tcPr>
            <w:tcW w:w="308"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4 500</w:t>
            </w:r>
          </w:p>
        </w:tc>
      </w:tr>
      <w:tr>
        <w:tblPrEx>
          <w:tblW w:w="4962" w:type="pct"/>
          <w:tblInd w:w="70" w:type="dxa"/>
          <w:tblCellMar>
            <w:left w:w="70" w:type="dxa"/>
            <w:right w:w="70" w:type="dxa"/>
          </w:tblCellMar>
          <w:tblLook w:val="00A0"/>
        </w:tblPrEx>
        <w:trPr>
          <w:trHeight w:val="255"/>
        </w:trPr>
        <w:tc>
          <w:tcPr>
            <w:tcW w:w="3062"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361"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32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219,1%</w:t>
            </w:r>
          </w:p>
        </w:tc>
        <w:tc>
          <w:tcPr>
            <w:tcW w:w="308"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-95,5</w:t>
            </w:r>
          </w:p>
        </w:tc>
        <w:tc>
          <w:tcPr>
            <w:tcW w:w="32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2 400</w:t>
            </w:r>
            <w:r w:rsidRPr="00E90B20">
              <w:rPr>
                <w:rFonts w:ascii="Arial Narrow" w:hAnsi="Arial Narrow" w:cs="Arial Narrow"/>
                <w:sz w:val="16"/>
                <w:szCs w:val="16"/>
                <w:lang w:eastAsia="sk-SK"/>
              </w:rPr>
              <w:t>%</w:t>
            </w:r>
          </w:p>
        </w:tc>
        <w:tc>
          <w:tcPr>
            <w:tcW w:w="32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380,0%</w:t>
            </w:r>
          </w:p>
        </w:tc>
        <w:tc>
          <w:tcPr>
            <w:tcW w:w="308"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0,6%</w:t>
            </w:r>
          </w:p>
        </w:tc>
      </w:tr>
    </w:tbl>
    <w:p w:rsidR="001E5B24" w:rsidP="001E5B24">
      <w:pPr>
        <w:bidi w:val="0"/>
        <w:jc w:val="both"/>
        <w:rPr>
          <w:rFonts w:ascii="Arial Narrow" w:hAnsi="Arial Narrow" w:cs="Arial Narrow"/>
          <w:b/>
          <w:bCs/>
          <w:sz w:val="22"/>
          <w:szCs w:val="22"/>
        </w:rPr>
      </w:pPr>
      <w:r>
        <w:rPr>
          <w:rFonts w:ascii="Arial Narrow" w:hAnsi="Arial Narrow" w:cs="Arial Narrow"/>
          <w:b/>
          <w:bCs/>
          <w:sz w:val="22"/>
          <w:szCs w:val="22"/>
        </w:rPr>
        <w:tab/>
      </w:r>
    </w:p>
    <w:p w:rsidR="001E5B24" w:rsidRPr="007F7037" w:rsidP="001E5B24">
      <w:pPr>
        <w:bidi w:val="0"/>
        <w:jc w:val="both"/>
        <w:rPr>
          <w:rFonts w:ascii="Arial Narrow" w:hAnsi="Arial Narrow" w:cs="Arial Narrow"/>
          <w:sz w:val="22"/>
          <w:szCs w:val="22"/>
        </w:rPr>
      </w:pPr>
      <w:r>
        <w:rPr>
          <w:rFonts w:ascii="Arial Narrow" w:hAnsi="Arial Narrow" w:cs="Arial Narrow"/>
          <w:b/>
          <w:bCs/>
          <w:sz w:val="22"/>
          <w:szCs w:val="22"/>
        </w:rPr>
        <w:tab/>
      </w:r>
      <w:r w:rsidRPr="00BA3069">
        <w:rPr>
          <w:rFonts w:ascii="Arial Narrow" w:hAnsi="Arial Narrow" w:cs="Arial Narrow"/>
          <w:sz w:val="22"/>
          <w:szCs w:val="22"/>
        </w:rPr>
        <w:t>Slovenský rozhlas, Slovenská televízia a Audiovizuálny fond</w:t>
      </w:r>
      <w:r w:rsidRPr="007F7037">
        <w:rPr>
          <w:rFonts w:ascii="Arial Narrow" w:hAnsi="Arial Narrow" w:cs="Arial Narrow"/>
          <w:b/>
          <w:bCs/>
          <w:sz w:val="22"/>
          <w:szCs w:val="22"/>
        </w:rPr>
        <w:t xml:space="preserve"> </w:t>
      </w:r>
      <w:r w:rsidRPr="007F7037">
        <w:rPr>
          <w:rFonts w:ascii="Arial Narrow" w:hAnsi="Arial Narrow" w:cs="Arial Narrow"/>
          <w:sz w:val="22"/>
          <w:szCs w:val="22"/>
        </w:rPr>
        <w:t xml:space="preserve">sú zaradené do rozpočtu verejnej správy ako subjekty verejnej správy napojené na </w:t>
      </w:r>
      <w:r>
        <w:rPr>
          <w:rFonts w:ascii="Arial Narrow" w:hAnsi="Arial Narrow" w:cs="Arial Narrow"/>
          <w:sz w:val="22"/>
          <w:szCs w:val="22"/>
        </w:rPr>
        <w:t>rozpočet kapitoly</w:t>
      </w:r>
      <w:r w:rsidRPr="007F7037">
        <w:rPr>
          <w:rFonts w:ascii="Arial Narrow" w:hAnsi="Arial Narrow" w:cs="Arial Narrow"/>
          <w:sz w:val="22"/>
          <w:szCs w:val="22"/>
        </w:rPr>
        <w:t xml:space="preserve"> prostredníctvom transferu. </w:t>
      </w:r>
    </w:p>
    <w:p w:rsidR="001E5B24" w:rsidP="001E5B24">
      <w:pPr>
        <w:bidi w:val="0"/>
        <w:jc w:val="both"/>
        <w:rPr>
          <w:rFonts w:ascii="Arial Narrow" w:hAnsi="Arial Narrow" w:cs="Arial Narrow"/>
          <w:sz w:val="22"/>
          <w:szCs w:val="22"/>
        </w:rPr>
      </w:pPr>
      <w:r w:rsidRPr="007F7037">
        <w:rPr>
          <w:rFonts w:ascii="Arial Narrow" w:hAnsi="Arial Narrow" w:cs="Arial Narrow"/>
          <w:sz w:val="22"/>
          <w:szCs w:val="22"/>
        </w:rPr>
        <w:t xml:space="preserve"> </w:t>
      </w:r>
      <w:r>
        <w:rPr>
          <w:rFonts w:ascii="Arial Narrow" w:hAnsi="Arial Narrow" w:cs="Arial Narrow"/>
          <w:sz w:val="22"/>
          <w:szCs w:val="22"/>
        </w:rPr>
        <w:tab/>
      </w:r>
    </w:p>
    <w:p w:rsidR="001E5B24" w:rsidRPr="007F7037" w:rsidP="001E5B24">
      <w:pPr>
        <w:bidi w:val="0"/>
        <w:ind w:firstLine="708"/>
        <w:jc w:val="both"/>
        <w:rPr>
          <w:rFonts w:ascii="Arial Narrow" w:hAnsi="Arial Narrow" w:cs="Arial Narrow"/>
          <w:sz w:val="22"/>
          <w:szCs w:val="22"/>
        </w:rPr>
      </w:pPr>
      <w:r>
        <w:rPr>
          <w:rFonts w:ascii="Arial Narrow" w:hAnsi="Arial Narrow" w:cs="Arial Narrow"/>
          <w:sz w:val="22"/>
          <w:szCs w:val="22"/>
        </w:rPr>
        <w:t>P</w:t>
      </w:r>
      <w:r w:rsidRPr="007F7037">
        <w:rPr>
          <w:rFonts w:ascii="Arial Narrow" w:hAnsi="Arial Narrow" w:cs="Arial Narrow"/>
          <w:sz w:val="22"/>
          <w:szCs w:val="22"/>
        </w:rPr>
        <w:t>rostriedky potrebné na pokrytie Zmluvy so štátom medzi STV a SRo, sú rozpočtované v minimálnej výške 14,0 mil. eur na rok 2011.</w:t>
      </w:r>
      <w:r>
        <w:rPr>
          <w:rFonts w:ascii="Arial Narrow" w:hAnsi="Arial Narrow" w:cs="Arial Narrow"/>
          <w:sz w:val="22"/>
          <w:szCs w:val="22"/>
        </w:rPr>
        <w:t xml:space="preserve"> V schválenom rozpočte na rok 2010 sa prostriedky na pokrytie zmlúv so štátom nerozpočtovali, ale rozpočet bol v priebehu roka 2010 upravený o sumu 21,5 mil. eur z titulu zmlúv a príspevku do Audiovizuálneho fondu. V prípade upravenej základne o uvedený titul by pokles výdavkov v tejto oblasti dosiahol 18,6%.</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RPr="007F7037" w:rsidP="001E5B24">
      <w:pPr>
        <w:bidi w:val="0"/>
        <w:ind w:firstLine="708"/>
        <w:jc w:val="both"/>
        <w:rPr>
          <w:rFonts w:ascii="Arial Narrow" w:hAnsi="Arial Narrow" w:cs="Arial Narrow"/>
          <w:b/>
          <w:bCs/>
          <w:sz w:val="22"/>
          <w:szCs w:val="22"/>
        </w:rPr>
      </w:pPr>
      <w:r w:rsidRPr="007F7037">
        <w:rPr>
          <w:rFonts w:ascii="Arial Narrow" w:hAnsi="Arial Narrow" w:cs="Arial Narrow"/>
          <w:sz w:val="22"/>
          <w:szCs w:val="22"/>
        </w:rPr>
        <w:t xml:space="preserve">V oblasti financovania STV a SRo sa predpokladá zmena legislatívy tak, aby poplatky za služby verejnosti poskytované STV a SRo vyberané na základe zákona č. 68/2008 Z. z. boli nahradené plne transferom zo štátneho rozpočtu. Limit kapitoly bol z uvedeného dôvodu </w:t>
      </w:r>
      <w:r>
        <w:rPr>
          <w:rFonts w:ascii="Arial Narrow" w:hAnsi="Arial Narrow" w:cs="Arial Narrow"/>
          <w:sz w:val="22"/>
          <w:szCs w:val="22"/>
        </w:rPr>
        <w:t>z</w:t>
      </w:r>
      <w:r w:rsidRPr="007F7037">
        <w:rPr>
          <w:rFonts w:ascii="Arial Narrow" w:hAnsi="Arial Narrow" w:cs="Arial Narrow"/>
          <w:sz w:val="22"/>
          <w:szCs w:val="22"/>
        </w:rPr>
        <w:t xml:space="preserve">výšený v rokoch 2012 a 2013 o 80,0 mil. eur z toho 56,0 mil. eur pre STV a 24,0 mil. eur pre SRo. </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RPr="007F7037" w:rsidP="001E5B24">
      <w:pPr>
        <w:bidi w:val="0"/>
        <w:jc w:val="both"/>
        <w:rPr>
          <w:rFonts w:ascii="Arial Narrow" w:hAnsi="Arial Narrow" w:cs="Arial Narrow"/>
          <w:i/>
          <w:iCs/>
          <w:sz w:val="22"/>
          <w:szCs w:val="22"/>
        </w:rPr>
      </w:pPr>
      <w:r>
        <w:rPr>
          <w:rFonts w:ascii="Arial Narrow" w:hAnsi="Arial Narrow" w:cs="Arial Narrow"/>
          <w:sz w:val="22"/>
          <w:szCs w:val="22"/>
        </w:rPr>
        <w:tab/>
      </w:r>
      <w:r w:rsidRPr="007F7037">
        <w:rPr>
          <w:rFonts w:ascii="Arial Narrow" w:hAnsi="Arial Narrow" w:cs="Arial Narrow"/>
          <w:sz w:val="22"/>
          <w:szCs w:val="22"/>
        </w:rPr>
        <w:t xml:space="preserve">Podľa § 29 zákona č. 516/2008 </w:t>
      </w:r>
      <w:r>
        <w:rPr>
          <w:rFonts w:ascii="Arial Narrow" w:hAnsi="Arial Narrow" w:cs="Arial Narrow"/>
          <w:sz w:val="22"/>
          <w:szCs w:val="22"/>
        </w:rPr>
        <w:t xml:space="preserve">Z. z. </w:t>
      </w:r>
      <w:r w:rsidRPr="007F7037">
        <w:rPr>
          <w:rFonts w:ascii="Arial Narrow" w:hAnsi="Arial Narrow" w:cs="Arial Narrow"/>
          <w:sz w:val="22"/>
          <w:szCs w:val="22"/>
        </w:rPr>
        <w:t>o Audiovizuálnom fonde a o zmene a doplnení niektorých zákonov je štát zaviazaný platiť príspevok do AVF vo výške, ktorá  nesmie byť menšia ako celková suma príspevkov osôb podľa §</w:t>
      </w:r>
      <w:r>
        <w:rPr>
          <w:rFonts w:ascii="Arial Narrow" w:hAnsi="Arial Narrow" w:cs="Arial Narrow"/>
          <w:sz w:val="22"/>
          <w:szCs w:val="22"/>
        </w:rPr>
        <w:t>§</w:t>
      </w:r>
      <w:r w:rsidRPr="007F7037">
        <w:rPr>
          <w:rFonts w:ascii="Arial Narrow" w:hAnsi="Arial Narrow" w:cs="Arial Narrow"/>
          <w:sz w:val="22"/>
          <w:szCs w:val="22"/>
        </w:rPr>
        <w:t xml:space="preserve"> 24 až 28 za posledný kalendárny rok. Odhadovaný príspevok do fondu je vo výške 3,50 mil. eur.</w:t>
      </w:r>
    </w:p>
    <w:p w:rsidR="001E5B24" w:rsidP="001E5B24">
      <w:pPr>
        <w:bidi w:val="0"/>
        <w:jc w:val="both"/>
        <w:rPr>
          <w:rFonts w:ascii="Arial Narrow" w:hAnsi="Arial Narrow" w:cs="Arial Narrow"/>
          <w:b/>
          <w:bCs/>
          <w:sz w:val="22"/>
          <w:szCs w:val="22"/>
        </w:rPr>
      </w:pPr>
    </w:p>
    <w:p w:rsidR="001E5B24" w:rsidRPr="00156E47" w:rsidP="001E5B24">
      <w:pPr>
        <w:bidi w:val="0"/>
        <w:jc w:val="both"/>
        <w:rPr>
          <w:rFonts w:ascii="Arial Narrow" w:hAnsi="Arial Narrow" w:cs="Arial Narrow"/>
          <w:sz w:val="22"/>
          <w:szCs w:val="22"/>
        </w:rPr>
      </w:pPr>
      <w:r w:rsidRPr="00156E47">
        <w:rPr>
          <w:rFonts w:ascii="Arial Narrow" w:hAnsi="Arial Narrow" w:cs="Arial Narrow"/>
          <w:sz w:val="22"/>
          <w:szCs w:val="22"/>
        </w:rPr>
        <w:t>Administratíva</w:t>
      </w:r>
    </w:p>
    <w:p w:rsidR="001E5B24" w:rsidRPr="007F7037"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Look w:val="00A0"/>
      </w:tblPr>
      <w:tblGrid>
        <w:gridCol w:w="3619"/>
        <w:gridCol w:w="1047"/>
        <w:gridCol w:w="804"/>
        <w:gridCol w:w="918"/>
        <w:gridCol w:w="918"/>
        <w:gridCol w:w="918"/>
        <w:gridCol w:w="918"/>
      </w:tblGrid>
      <w:tr>
        <w:tblPrEx>
          <w:tblW w:w="4962" w:type="pct"/>
          <w:tblInd w:w="70" w:type="dxa"/>
          <w:tblCellMar>
            <w:left w:w="70" w:type="dxa"/>
            <w:right w:w="70" w:type="dxa"/>
          </w:tblCellMar>
          <w:tblLook w:val="00A0"/>
        </w:tblPrEx>
        <w:trPr>
          <w:trHeight w:val="255"/>
        </w:trPr>
        <w:tc>
          <w:tcPr>
            <w:tcW w:w="197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v tis. eur</w:t>
            </w:r>
          </w:p>
        </w:tc>
        <w:tc>
          <w:tcPr>
            <w:tcW w:w="57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2008 S</w:t>
            </w:r>
          </w:p>
        </w:tc>
        <w:tc>
          <w:tcPr>
            <w:tcW w:w="440"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2009 S</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2010 R</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2011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2012 N</w:t>
            </w:r>
          </w:p>
        </w:tc>
        <w:tc>
          <w:tcPr>
            <w:tcW w:w="502" w:type="pct"/>
            <w:tcBorders>
              <w:top w:val="single" w:sz="4" w:space="0" w:color="auto"/>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center"/>
              <w:rPr>
                <w:rFonts w:ascii="Arial Narrow" w:hAnsi="Arial Narrow" w:cs="Arial Narrow"/>
                <w:b/>
                <w:bCs/>
                <w:sz w:val="16"/>
                <w:szCs w:val="16"/>
                <w:lang w:eastAsia="sk-SK"/>
              </w:rPr>
            </w:pPr>
            <w:r w:rsidRPr="00E90B20">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C0C0C0"/>
            <w:noWrap/>
            <w:textDirection w:val="lrTb"/>
            <w:vAlign w:val="center"/>
          </w:tcPr>
          <w:p w:rsidR="001E5B24" w:rsidRPr="00E90B20" w:rsidP="001E5B24">
            <w:pPr>
              <w:bidi w:val="0"/>
              <w:rPr>
                <w:rFonts w:ascii="Arial Narrow" w:hAnsi="Arial Narrow" w:cs="Arial Narrow"/>
                <w:b/>
                <w:bCs/>
                <w:sz w:val="16"/>
                <w:szCs w:val="16"/>
                <w:lang w:eastAsia="sk-SK"/>
              </w:rPr>
            </w:pPr>
            <w:r w:rsidRPr="00E90B20">
              <w:rPr>
                <w:rFonts w:ascii="Arial Narrow" w:hAnsi="Arial Narrow" w:cs="Arial Narrow"/>
                <w:b/>
                <w:bCs/>
                <w:sz w:val="16"/>
                <w:szCs w:val="16"/>
                <w:lang w:eastAsia="sk-SK"/>
              </w:rPr>
              <w:t>Ostatné výdavkové tituly kapitoly</w:t>
            </w:r>
          </w:p>
        </w:tc>
        <w:tc>
          <w:tcPr>
            <w:tcW w:w="57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12 356</w:t>
            </w:r>
          </w:p>
        </w:tc>
        <w:tc>
          <w:tcPr>
            <w:tcW w:w="440"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8 959</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8 128</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10 585</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7 727</w:t>
            </w:r>
          </w:p>
        </w:tc>
        <w:tc>
          <w:tcPr>
            <w:tcW w:w="502" w:type="pct"/>
            <w:tcBorders>
              <w:top w:val="nil"/>
              <w:left w:val="nil"/>
              <w:bottom w:val="single" w:sz="4" w:space="0" w:color="auto"/>
              <w:right w:val="single" w:sz="4" w:space="0" w:color="auto"/>
            </w:tcBorders>
            <w:shd w:val="clear" w:color="000000" w:fill="C0C0C0"/>
            <w:noWrap/>
            <w:textDirection w:val="lrTb"/>
            <w:vAlign w:val="center"/>
          </w:tcPr>
          <w:p w:rsidR="001E5B24" w:rsidRPr="00E90B20" w:rsidP="001E5B24">
            <w:pPr>
              <w:bidi w:val="0"/>
              <w:jc w:val="right"/>
              <w:rPr>
                <w:rFonts w:ascii="Arial Narrow" w:hAnsi="Arial Narrow" w:cs="Arial Narrow"/>
                <w:b/>
                <w:bCs/>
                <w:sz w:val="16"/>
                <w:szCs w:val="16"/>
                <w:lang w:eastAsia="sk-SK"/>
              </w:rPr>
            </w:pPr>
            <w:r w:rsidRPr="00E90B20">
              <w:rPr>
                <w:rFonts w:ascii="Arial Narrow" w:hAnsi="Arial Narrow" w:cs="Arial Narrow"/>
                <w:b/>
                <w:bCs/>
                <w:sz w:val="16"/>
                <w:szCs w:val="16"/>
                <w:lang w:eastAsia="sk-SK"/>
              </w:rPr>
              <w:t>7 727</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Koncepčná a riadiaca činnosť - aparát</w:t>
            </w:r>
          </w:p>
        </w:tc>
        <w:tc>
          <w:tcPr>
            <w:tcW w:w="57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6 258</w:t>
            </w:r>
          </w:p>
        </w:tc>
        <w:tc>
          <w:tcPr>
            <w:tcW w:w="44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7 123</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5 520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6 500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6 500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6 500</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shd w:val="clear" w:color="000000" w:fill="FFFFFF"/>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ostatné výdavky</w:t>
            </w:r>
          </w:p>
        </w:tc>
        <w:tc>
          <w:tcPr>
            <w:tcW w:w="57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6 098</w:t>
            </w:r>
          </w:p>
        </w:tc>
        <w:tc>
          <w:tcPr>
            <w:tcW w:w="440"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1 836</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2 608</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4 085</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1 227</w:t>
            </w:r>
          </w:p>
        </w:tc>
        <w:tc>
          <w:tcPr>
            <w:tcW w:w="502" w:type="pct"/>
            <w:tcBorders>
              <w:top w:val="nil"/>
              <w:left w:val="nil"/>
              <w:bottom w:val="single" w:sz="4" w:space="0" w:color="auto"/>
              <w:right w:val="single" w:sz="4" w:space="0" w:color="auto"/>
            </w:tcBorders>
            <w:shd w:val="clear" w:color="000000" w:fill="FFFFFF"/>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1 227</w:t>
            </w:r>
          </w:p>
        </w:tc>
      </w:tr>
      <w:tr>
        <w:tblPrEx>
          <w:tblW w:w="4962" w:type="pct"/>
          <w:tblInd w:w="70" w:type="dxa"/>
          <w:tblCellMar>
            <w:left w:w="70" w:type="dxa"/>
            <w:right w:w="70" w:type="dxa"/>
          </w:tblCellMar>
          <w:tblLook w:val="00A0"/>
        </w:tblPrEx>
        <w:trPr>
          <w:trHeight w:val="255"/>
        </w:trPr>
        <w:tc>
          <w:tcPr>
            <w:tcW w:w="1979" w:type="pct"/>
            <w:tcBorders>
              <w:top w:val="nil"/>
              <w:left w:val="single" w:sz="4" w:space="0" w:color="auto"/>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medziročná zmena v %</w:t>
            </w:r>
          </w:p>
        </w:tc>
        <w:tc>
          <w:tcPr>
            <w:tcW w:w="572" w:type="pct"/>
            <w:tcBorders>
              <w:top w:val="nil"/>
              <w:left w:val="nil"/>
              <w:bottom w:val="single" w:sz="4" w:space="0" w:color="auto"/>
              <w:right w:val="single" w:sz="4" w:space="0" w:color="auto"/>
            </w:tcBorders>
            <w:noWrap/>
            <w:textDirection w:val="lrTb"/>
            <w:vAlign w:val="center"/>
          </w:tcPr>
          <w:p w:rsidR="001E5B24" w:rsidRPr="00E90B20" w:rsidP="001E5B24">
            <w:pPr>
              <w:bidi w:val="0"/>
              <w:rPr>
                <w:rFonts w:ascii="Arial Narrow" w:hAnsi="Arial Narrow" w:cs="Arial Narrow"/>
                <w:sz w:val="16"/>
                <w:szCs w:val="16"/>
                <w:lang w:eastAsia="sk-SK"/>
              </w:rPr>
            </w:pPr>
            <w:r w:rsidRPr="00E90B20">
              <w:rPr>
                <w:rFonts w:ascii="Arial Narrow" w:hAnsi="Arial Narrow" w:cs="Arial Narrow"/>
                <w:sz w:val="16"/>
                <w:szCs w:val="16"/>
                <w:lang w:eastAsia="sk-SK"/>
              </w:rPr>
              <w:t> </w:t>
            </w:r>
          </w:p>
        </w:tc>
        <w:tc>
          <w:tcPr>
            <w:tcW w:w="440"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-27,5%</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-9,3%</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30,2%</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-27,0%</w:t>
            </w:r>
          </w:p>
        </w:tc>
        <w:tc>
          <w:tcPr>
            <w:tcW w:w="502" w:type="pct"/>
            <w:tcBorders>
              <w:top w:val="nil"/>
              <w:left w:val="nil"/>
              <w:bottom w:val="single" w:sz="4" w:space="0" w:color="auto"/>
              <w:right w:val="single" w:sz="4" w:space="0" w:color="auto"/>
            </w:tcBorders>
            <w:noWrap/>
            <w:textDirection w:val="lrTb"/>
            <w:vAlign w:val="center"/>
          </w:tcPr>
          <w:p w:rsidR="001E5B24" w:rsidRPr="00E90B20" w:rsidP="001E5B24">
            <w:pPr>
              <w:bidi w:val="0"/>
              <w:jc w:val="right"/>
              <w:rPr>
                <w:rFonts w:ascii="Arial Narrow" w:hAnsi="Arial Narrow" w:cs="Arial Narrow"/>
                <w:sz w:val="16"/>
                <w:szCs w:val="16"/>
                <w:lang w:eastAsia="sk-SK"/>
              </w:rPr>
            </w:pPr>
            <w:r w:rsidRPr="00E90B20">
              <w:rPr>
                <w:rFonts w:ascii="Arial Narrow" w:hAnsi="Arial Narrow" w:cs="Arial Narrow"/>
                <w:sz w:val="16"/>
                <w:szCs w:val="16"/>
                <w:lang w:eastAsia="sk-SK"/>
              </w:rPr>
              <w:t>0,0%</w:t>
            </w:r>
          </w:p>
        </w:tc>
      </w:tr>
    </w:tbl>
    <w:p w:rsidR="001E5B24" w:rsidRPr="007F7037" w:rsidP="001E5B24">
      <w:pPr>
        <w:bidi w:val="0"/>
        <w:jc w:val="both"/>
        <w:rPr>
          <w:rFonts w:ascii="Arial Narrow" w:hAnsi="Arial Narrow" w:cs="Arial Narrow"/>
          <w:sz w:val="22"/>
          <w:szCs w:val="22"/>
        </w:rPr>
      </w:pPr>
    </w:p>
    <w:p w:rsidR="001E5B24" w:rsidRPr="007F7037" w:rsidP="001E5B24">
      <w:pPr>
        <w:bidi w:val="0"/>
        <w:jc w:val="both"/>
        <w:rPr>
          <w:rFonts w:ascii="Arial Narrow" w:hAnsi="Arial Narrow" w:cs="Arial Narrow"/>
          <w:sz w:val="22"/>
          <w:szCs w:val="22"/>
        </w:rPr>
      </w:pPr>
      <w:r>
        <w:rPr>
          <w:rFonts w:ascii="Arial Narrow" w:hAnsi="Arial Narrow" w:cs="Arial Narrow"/>
          <w:sz w:val="22"/>
          <w:szCs w:val="22"/>
        </w:rPr>
        <w:tab/>
      </w:r>
      <w:r w:rsidRPr="007F7037">
        <w:rPr>
          <w:rFonts w:ascii="Arial Narrow" w:hAnsi="Arial Narrow" w:cs="Arial Narrow"/>
          <w:sz w:val="22"/>
          <w:szCs w:val="22"/>
        </w:rPr>
        <w:t xml:space="preserve">V časti </w:t>
      </w:r>
      <w:r>
        <w:rPr>
          <w:rFonts w:ascii="Arial Narrow" w:hAnsi="Arial Narrow" w:cs="Arial Narrow"/>
          <w:sz w:val="22"/>
          <w:szCs w:val="22"/>
        </w:rPr>
        <w:t>a</w:t>
      </w:r>
      <w:r w:rsidRPr="00BA3069">
        <w:rPr>
          <w:rFonts w:ascii="Arial Narrow" w:hAnsi="Arial Narrow" w:cs="Arial Narrow"/>
          <w:sz w:val="22"/>
          <w:szCs w:val="22"/>
        </w:rPr>
        <w:t>dministratíva</w:t>
      </w:r>
      <w:r w:rsidRPr="007F7037">
        <w:rPr>
          <w:rFonts w:ascii="Arial Narrow" w:hAnsi="Arial Narrow" w:cs="Arial Narrow"/>
          <w:b/>
          <w:bCs/>
          <w:sz w:val="22"/>
          <w:szCs w:val="22"/>
        </w:rPr>
        <w:t xml:space="preserve"> </w:t>
      </w:r>
      <w:r w:rsidRPr="007F7037">
        <w:rPr>
          <w:rFonts w:ascii="Arial Narrow" w:hAnsi="Arial Narrow" w:cs="Arial Narrow"/>
          <w:sz w:val="22"/>
          <w:szCs w:val="22"/>
        </w:rPr>
        <w:t xml:space="preserve">sú zahrnuté výdavky spojené s činnosťou aparátu </w:t>
      </w:r>
      <w:r>
        <w:rPr>
          <w:rFonts w:ascii="Arial Narrow" w:hAnsi="Arial Narrow" w:cs="Arial Narrow"/>
          <w:sz w:val="22"/>
          <w:szCs w:val="22"/>
        </w:rPr>
        <w:t>ministerstva</w:t>
      </w:r>
      <w:r w:rsidRPr="007F7037">
        <w:rPr>
          <w:rFonts w:ascii="Arial Narrow" w:hAnsi="Arial Narrow" w:cs="Arial Narrow"/>
          <w:sz w:val="22"/>
          <w:szCs w:val="22"/>
        </w:rPr>
        <w:t xml:space="preserve"> ako aj projekt akvizície zbierkových predmetov a podpora riadenia programov</w:t>
      </w:r>
      <w:r>
        <w:rPr>
          <w:rFonts w:ascii="Arial Narrow" w:hAnsi="Arial Narrow" w:cs="Arial Narrow"/>
          <w:sz w:val="22"/>
          <w:szCs w:val="22"/>
        </w:rPr>
        <w:t>.</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P="001E5B24">
      <w:pPr>
        <w:bidi w:val="0"/>
        <w:ind w:firstLine="708"/>
        <w:jc w:val="both"/>
        <w:rPr>
          <w:rFonts w:ascii="Arial Narrow" w:hAnsi="Arial Narrow" w:cs="Arial Narrow"/>
          <w:sz w:val="22"/>
          <w:szCs w:val="22"/>
        </w:rPr>
      </w:pPr>
      <w:r w:rsidRPr="007F7037">
        <w:rPr>
          <w:rFonts w:ascii="Arial Narrow" w:hAnsi="Arial Narrow" w:cs="Arial Narrow"/>
          <w:sz w:val="22"/>
          <w:szCs w:val="22"/>
        </w:rPr>
        <w:t xml:space="preserve">Výdavky súvisiace s činnosťou aparátu sa rozpočtujú na prvku Koncepčná a riadiaca činnosť. Medziročný nárast výdavkov na aparát je 17,8 % oproti </w:t>
      </w:r>
      <w:r>
        <w:rPr>
          <w:rFonts w:ascii="Arial Narrow" w:hAnsi="Arial Narrow" w:cs="Arial Narrow"/>
          <w:sz w:val="22"/>
          <w:szCs w:val="22"/>
        </w:rPr>
        <w:t xml:space="preserve">schválenému </w:t>
      </w:r>
      <w:r w:rsidRPr="007F7037">
        <w:rPr>
          <w:rFonts w:ascii="Arial Narrow" w:hAnsi="Arial Narrow" w:cs="Arial Narrow"/>
          <w:sz w:val="22"/>
          <w:szCs w:val="22"/>
        </w:rPr>
        <w:t xml:space="preserve">rozpočtu 2010 a pokles o 15,8 % k upravenému </w:t>
      </w:r>
      <w:r>
        <w:rPr>
          <w:rFonts w:ascii="Arial Narrow" w:hAnsi="Arial Narrow" w:cs="Arial Narrow"/>
          <w:sz w:val="22"/>
          <w:szCs w:val="22"/>
        </w:rPr>
        <w:t>rozpočtu 2010</w:t>
      </w:r>
      <w:r w:rsidRPr="007F7037">
        <w:rPr>
          <w:rFonts w:ascii="Arial Narrow" w:hAnsi="Arial Narrow" w:cs="Arial Narrow"/>
          <w:sz w:val="22"/>
          <w:szCs w:val="22"/>
        </w:rPr>
        <w:t xml:space="preserve">. </w:t>
      </w:r>
      <w:r>
        <w:rPr>
          <w:rFonts w:ascii="Arial Narrow" w:hAnsi="Arial Narrow" w:cs="Arial Narrow"/>
          <w:sz w:val="22"/>
          <w:szCs w:val="22"/>
        </w:rPr>
        <w:t>Uvedené je spôsobené tým, že limit výdavkov pre potreby aparátu bol v priebehu roka 2010 zvýšený o 2,19 mil. eur, čo sa najvýraznejšie prejavilo v tovaroch a službách, kde bol nárast o 1,20 mil. eur najmä v oblasti služieb, expertíz, posudkov a poistného.</w:t>
      </w:r>
    </w:p>
    <w:p w:rsidR="001E5B24" w:rsidP="001E5B24">
      <w:pPr>
        <w:bidi w:val="0"/>
        <w:jc w:val="both"/>
        <w:rPr>
          <w:rFonts w:ascii="Arial Narrow" w:hAnsi="Arial Narrow" w:cs="Arial Narrow"/>
          <w:sz w:val="22"/>
          <w:szCs w:val="22"/>
        </w:rPr>
      </w:pPr>
      <w:r>
        <w:rPr>
          <w:rFonts w:ascii="Arial Narrow" w:hAnsi="Arial Narrow" w:cs="Arial Narrow"/>
          <w:sz w:val="22"/>
          <w:szCs w:val="22"/>
        </w:rPr>
        <w:tab/>
      </w:r>
    </w:p>
    <w:p w:rsidR="001E5B24" w:rsidRPr="007F7037" w:rsidP="001E5B24">
      <w:pPr>
        <w:bidi w:val="0"/>
        <w:jc w:val="both"/>
        <w:rPr>
          <w:rFonts w:ascii="Arial Narrow" w:hAnsi="Arial Narrow" w:cs="Arial Narrow"/>
          <w:sz w:val="22"/>
          <w:szCs w:val="22"/>
        </w:rPr>
      </w:pPr>
      <w:r>
        <w:rPr>
          <w:rFonts w:ascii="Arial Narrow" w:hAnsi="Arial Narrow" w:cs="Arial Narrow"/>
          <w:sz w:val="22"/>
          <w:szCs w:val="22"/>
        </w:rPr>
        <w:tab/>
      </w:r>
      <w:r w:rsidRPr="007F7037">
        <w:rPr>
          <w:rFonts w:ascii="Arial Narrow" w:hAnsi="Arial Narrow" w:cs="Arial Narrow"/>
          <w:sz w:val="22"/>
          <w:szCs w:val="22"/>
        </w:rPr>
        <w:t xml:space="preserve">V časti ostatné výdavky sú zahrnuté výdavky z európskych zdrojov v skutočnosti roku 2008, </w:t>
      </w:r>
      <w:r>
        <w:rPr>
          <w:rFonts w:ascii="Arial Narrow" w:hAnsi="Arial Narrow" w:cs="Arial Narrow"/>
          <w:sz w:val="22"/>
          <w:szCs w:val="22"/>
        </w:rPr>
        <w:t xml:space="preserve">rastúce </w:t>
      </w:r>
      <w:r w:rsidRPr="007F7037">
        <w:rPr>
          <w:rFonts w:ascii="Arial Narrow" w:hAnsi="Arial Narrow" w:cs="Arial Narrow"/>
          <w:sz w:val="22"/>
          <w:szCs w:val="22"/>
        </w:rPr>
        <w:t>prostriedky z Európskeho hospodárskeho priestoru a Nórskeho finančného mechanizmu</w:t>
      </w:r>
      <w:r>
        <w:rPr>
          <w:rFonts w:ascii="Arial Narrow" w:hAnsi="Arial Narrow" w:cs="Arial Narrow"/>
          <w:sz w:val="22"/>
          <w:szCs w:val="22"/>
        </w:rPr>
        <w:t>,</w:t>
      </w:r>
      <w:r w:rsidRPr="007F7037">
        <w:rPr>
          <w:rFonts w:ascii="Arial Narrow" w:hAnsi="Arial Narrow" w:cs="Arial Narrow"/>
          <w:sz w:val="22"/>
          <w:szCs w:val="22"/>
        </w:rPr>
        <w:t xml:space="preserve"> ako aj výdavky potrebné na hospodársku mobilizáciu</w:t>
      </w:r>
      <w:r>
        <w:rPr>
          <w:rFonts w:ascii="Arial Narrow" w:hAnsi="Arial Narrow" w:cs="Arial Narrow"/>
          <w:sz w:val="22"/>
          <w:szCs w:val="22"/>
        </w:rPr>
        <w:t xml:space="preserve"> a príspevkovú organizáciu </w:t>
      </w:r>
      <w:r w:rsidRPr="00BA3069">
        <w:rPr>
          <w:rFonts w:ascii="Arial Narrow" w:hAnsi="Arial Narrow" w:cs="Arial Narrow"/>
          <w:sz w:val="22"/>
          <w:szCs w:val="22"/>
        </w:rPr>
        <w:t>Centrálna servisná organizácia MKCR SR</w:t>
      </w:r>
      <w:r w:rsidRPr="007F7037">
        <w:rPr>
          <w:rFonts w:ascii="Arial Narrow" w:hAnsi="Arial Narrow" w:cs="Arial Narrow"/>
          <w:sz w:val="22"/>
          <w:szCs w:val="22"/>
        </w:rPr>
        <w:t>.</w:t>
      </w:r>
    </w:p>
    <w:p w:rsidR="001E5B24" w:rsidRPr="007F7037" w:rsidP="001E5B24">
      <w:pPr>
        <w:bidi w:val="0"/>
        <w:jc w:val="both"/>
        <w:rPr>
          <w:rFonts w:ascii="Arial Narrow" w:hAnsi="Arial Narrow" w:cs="Arial Narrow"/>
          <w:sz w:val="22"/>
          <w:szCs w:val="22"/>
        </w:rPr>
      </w:pPr>
    </w:p>
    <w:p w:rsidR="001E5B24" w:rsidRPr="00B47F31" w:rsidP="001E5B24">
      <w:pPr>
        <w:bidi w:val="0"/>
        <w:rPr>
          <w:rFonts w:ascii="Arial Narrow" w:hAnsi="Arial Narrow" w:cs="Arial Narrow"/>
          <w:sz w:val="22"/>
          <w:szCs w:val="22"/>
        </w:rPr>
      </w:pPr>
      <w:r w:rsidR="00DB4442">
        <w:rPr>
          <w:rFonts w:ascii="Arial Narrow" w:hAnsi="Arial Narrow" w:cs="Arial Narrow"/>
          <w:sz w:val="22"/>
          <w:szCs w:val="22"/>
        </w:rPr>
        <w:br w:type="page"/>
      </w:r>
    </w:p>
    <w:p w:rsidR="001E5B24" w:rsidRPr="00270749" w:rsidP="001E5B24">
      <w:pPr>
        <w:pBdr>
          <w:bottom w:val="single" w:sz="4" w:space="1" w:color="auto"/>
        </w:pBdr>
        <w:bidi w:val="0"/>
        <w:jc w:val="both"/>
        <w:rPr>
          <w:rFonts w:ascii="Arial Narrow" w:hAnsi="Arial Narrow" w:cs="Arial Narrow"/>
          <w:b/>
          <w:bCs/>
          <w:kern w:val="32"/>
          <w:sz w:val="22"/>
          <w:szCs w:val="22"/>
        </w:rPr>
      </w:pPr>
      <w:r>
        <w:rPr>
          <w:rFonts w:ascii="Arial Narrow" w:hAnsi="Arial Narrow" w:cs="Arial Narrow"/>
          <w:b/>
          <w:bCs/>
          <w:kern w:val="32"/>
          <w:sz w:val="22"/>
          <w:szCs w:val="22"/>
        </w:rPr>
        <w:t>Ministerstvo zahraničných vecí SR</w:t>
      </w:r>
    </w:p>
    <w:p w:rsidR="001E5B24" w:rsidP="001E5B24">
      <w:pPr>
        <w:bidi w:val="0"/>
        <w:jc w:val="both"/>
        <w:rPr>
          <w:rFonts w:ascii="Arial Narrow" w:hAnsi="Arial Narrow" w:cs="Arial Narrow"/>
          <w:b/>
          <w:bCs/>
          <w:color w:val="000000"/>
          <w:sz w:val="22"/>
          <w:szCs w:val="22"/>
        </w:rPr>
      </w:pPr>
    </w:p>
    <w:tbl>
      <w:tblPr>
        <w:tblStyle w:val="TableNormal"/>
        <w:tblW w:w="5000" w:type="pct"/>
        <w:tblCellMar>
          <w:left w:w="70" w:type="dxa"/>
          <w:right w:w="70" w:type="dxa"/>
        </w:tblCellMar>
        <w:tblLook w:val="00A0"/>
      </w:tblPr>
      <w:tblGrid>
        <w:gridCol w:w="3439"/>
        <w:gridCol w:w="961"/>
        <w:gridCol w:w="962"/>
        <w:gridCol w:w="962"/>
        <w:gridCol w:w="962"/>
        <w:gridCol w:w="962"/>
        <w:gridCol w:w="964"/>
      </w:tblGrid>
      <w:tr>
        <w:tblPrEx>
          <w:tblW w:w="5000" w:type="pct"/>
          <w:tblCellMar>
            <w:left w:w="70" w:type="dxa"/>
            <w:right w:w="70" w:type="dxa"/>
          </w:tblCellMar>
          <w:tblLook w:val="00A0"/>
        </w:tblPrEx>
        <w:trPr>
          <w:trHeight w:val="253"/>
        </w:trPr>
        <w:tc>
          <w:tcPr>
            <w:tcW w:w="186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2"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5000" w:type="pct"/>
          <w:tblCellMar>
            <w:left w:w="70" w:type="dxa"/>
            <w:right w:w="70" w:type="dxa"/>
          </w:tblCellMar>
          <w:tblLook w:val="00A0"/>
        </w:tblPrEx>
        <w:trPr>
          <w:trHeight w:val="253"/>
        </w:trPr>
        <w:tc>
          <w:tcPr>
            <w:tcW w:w="1867"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FC3D07" w:rsidP="001E5B24">
            <w:pPr>
              <w:bidi w:val="0"/>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 xml:space="preserve">Zdroje </w:t>
            </w:r>
            <w:r>
              <w:rPr>
                <w:rFonts w:ascii="Arial Narrow" w:hAnsi="Arial Narrow" w:cs="Arial Narrow"/>
                <w:b/>
                <w:bCs/>
                <w:color w:val="000000"/>
                <w:sz w:val="16"/>
                <w:szCs w:val="16"/>
                <w:lang w:eastAsia="sk-SK"/>
              </w:rPr>
              <w:t xml:space="preserve">príslušnej </w:t>
            </w:r>
            <w:r w:rsidRPr="00FC3D07">
              <w:rPr>
                <w:rFonts w:ascii="Arial Narrow" w:hAnsi="Arial Narrow" w:cs="Arial Narrow"/>
                <w:b/>
                <w:bCs/>
                <w:color w:val="000000"/>
                <w:sz w:val="16"/>
                <w:szCs w:val="16"/>
                <w:lang w:eastAsia="sk-SK"/>
              </w:rPr>
              <w:t>kapitoly</w:t>
            </w:r>
            <w:r>
              <w:rPr>
                <w:rFonts w:ascii="Arial Narrow" w:hAnsi="Arial Narrow" w:cs="Arial Narrow"/>
                <w:b/>
                <w:bCs/>
                <w:color w:val="000000"/>
                <w:sz w:val="16"/>
                <w:szCs w:val="16"/>
                <w:lang w:eastAsia="sk-SK"/>
              </w:rPr>
              <w:t xml:space="preserve"> </w:t>
            </w:r>
          </w:p>
        </w:tc>
        <w:tc>
          <w:tcPr>
            <w:tcW w:w="522"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111 647</w:t>
            </w:r>
          </w:p>
        </w:tc>
        <w:tc>
          <w:tcPr>
            <w:tcW w:w="522"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123 684</w:t>
            </w:r>
          </w:p>
        </w:tc>
        <w:tc>
          <w:tcPr>
            <w:tcW w:w="522"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107 954</w:t>
            </w:r>
          </w:p>
        </w:tc>
        <w:tc>
          <w:tcPr>
            <w:tcW w:w="522"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111 751</w:t>
            </w:r>
          </w:p>
        </w:tc>
        <w:tc>
          <w:tcPr>
            <w:tcW w:w="522"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108 809</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FC3D07" w:rsidP="001E5B24">
            <w:pPr>
              <w:bidi w:val="0"/>
              <w:jc w:val="right"/>
              <w:rPr>
                <w:rFonts w:ascii="Arial Narrow" w:hAnsi="Arial Narrow" w:cs="Arial Narrow"/>
                <w:b/>
                <w:bCs/>
                <w:color w:val="000000"/>
                <w:sz w:val="16"/>
                <w:szCs w:val="16"/>
                <w:lang w:eastAsia="sk-SK"/>
              </w:rPr>
            </w:pPr>
            <w:r w:rsidRPr="00FC3D07">
              <w:rPr>
                <w:rFonts w:ascii="Arial Narrow" w:hAnsi="Arial Narrow" w:cs="Arial Narrow"/>
                <w:b/>
                <w:bCs/>
                <w:color w:val="000000"/>
                <w:sz w:val="16"/>
                <w:szCs w:val="16"/>
                <w:lang w:eastAsia="sk-SK"/>
              </w:rPr>
              <w:t>109 370</w:t>
            </w:r>
          </w:p>
        </w:tc>
      </w:tr>
      <w:tr>
        <w:tblPrEx>
          <w:tblW w:w="5000" w:type="pct"/>
          <w:tblCellMar>
            <w:left w:w="70" w:type="dxa"/>
            <w:right w:w="70" w:type="dxa"/>
          </w:tblCellMar>
          <w:tblLook w:val="00A0"/>
        </w:tblPrEx>
        <w:trPr>
          <w:trHeight w:val="253"/>
        </w:trPr>
        <w:tc>
          <w:tcPr>
            <w:tcW w:w="1867"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z toho:</w:t>
            </w:r>
          </w:p>
        </w:tc>
        <w:tc>
          <w:tcPr>
            <w:tcW w:w="522"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c>
          <w:tcPr>
            <w:tcW w:w="522"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p>
        </w:tc>
      </w:tr>
      <w:tr>
        <w:tblPrEx>
          <w:tblW w:w="5000" w:type="pct"/>
          <w:tblCellMar>
            <w:left w:w="70" w:type="dxa"/>
            <w:right w:w="70" w:type="dxa"/>
          </w:tblCellMar>
          <w:tblLook w:val="00A0"/>
        </w:tblPrEx>
        <w:trPr>
          <w:trHeight w:val="253"/>
        </w:trPr>
        <w:tc>
          <w:tcPr>
            <w:tcW w:w="1867" w:type="pct"/>
            <w:tcBorders>
              <w:top w:val="nil"/>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xml:space="preserve">rozpočtové zdroje kapitoly </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106 646</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114 295</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107 954</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111 751</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108 809</w:t>
            </w:r>
          </w:p>
        </w:tc>
        <w:tc>
          <w:tcPr>
            <w:tcW w:w="523"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109 370</w:t>
            </w:r>
          </w:p>
        </w:tc>
      </w:tr>
      <w:tr>
        <w:tblPrEx>
          <w:tblW w:w="5000" w:type="pct"/>
          <w:tblCellMar>
            <w:left w:w="70" w:type="dxa"/>
            <w:right w:w="70" w:type="dxa"/>
          </w:tblCellMar>
          <w:tblLook w:val="00A0"/>
        </w:tblPrEx>
        <w:trPr>
          <w:trHeight w:val="253"/>
        </w:trPr>
        <w:tc>
          <w:tcPr>
            <w:tcW w:w="1867" w:type="pct"/>
            <w:tcBorders>
              <w:top w:val="nil"/>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prenesené z min. rokov §8</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5 001</w:t>
            </w:r>
          </w:p>
        </w:tc>
        <w:tc>
          <w:tcPr>
            <w:tcW w:w="522" w:type="pct"/>
            <w:tcBorders>
              <w:top w:val="nil"/>
              <w:left w:val="nil"/>
              <w:bottom w:val="single" w:sz="4" w:space="0" w:color="auto"/>
              <w:right w:val="single" w:sz="4" w:space="0" w:color="auto"/>
            </w:tcBorders>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9 389</w:t>
            </w:r>
          </w:p>
        </w:tc>
        <w:tc>
          <w:tcPr>
            <w:tcW w:w="522" w:type="pct"/>
            <w:tcBorders>
              <w:top w:val="nil"/>
              <w:left w:val="nil"/>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r>
              <w:rPr>
                <w:rFonts w:ascii="Arial Narrow" w:hAnsi="Arial Narrow" w:cs="Arial Narrow"/>
                <w:color w:val="000000"/>
                <w:sz w:val="16"/>
                <w:szCs w:val="16"/>
                <w:lang w:eastAsia="sk-SK"/>
              </w:rPr>
              <w:t>0</w:t>
            </w:r>
          </w:p>
        </w:tc>
        <w:tc>
          <w:tcPr>
            <w:tcW w:w="522" w:type="pct"/>
            <w:tcBorders>
              <w:top w:val="nil"/>
              <w:left w:val="nil"/>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r>
              <w:rPr>
                <w:rFonts w:ascii="Arial Narrow" w:hAnsi="Arial Narrow" w:cs="Arial Narrow"/>
                <w:color w:val="000000"/>
                <w:sz w:val="16"/>
                <w:szCs w:val="16"/>
                <w:lang w:eastAsia="sk-SK"/>
              </w:rPr>
              <w:t>0</w:t>
            </w:r>
          </w:p>
        </w:tc>
        <w:tc>
          <w:tcPr>
            <w:tcW w:w="522" w:type="pct"/>
            <w:tcBorders>
              <w:top w:val="nil"/>
              <w:left w:val="nil"/>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r>
              <w:rPr>
                <w:rFonts w:ascii="Arial Narrow" w:hAnsi="Arial Narrow" w:cs="Arial Narrow"/>
                <w:color w:val="000000"/>
                <w:sz w:val="16"/>
                <w:szCs w:val="16"/>
                <w:lang w:eastAsia="sk-SK"/>
              </w:rPr>
              <w:t>0</w:t>
            </w:r>
          </w:p>
        </w:tc>
        <w:tc>
          <w:tcPr>
            <w:tcW w:w="523" w:type="pct"/>
            <w:tcBorders>
              <w:top w:val="nil"/>
              <w:left w:val="nil"/>
              <w:bottom w:val="single" w:sz="4" w:space="0" w:color="auto"/>
              <w:right w:val="single" w:sz="4" w:space="0" w:color="auto"/>
            </w:tcBorders>
            <w:noWrap/>
            <w:textDirection w:val="lrTb"/>
            <w:vAlign w:val="bottom"/>
          </w:tcPr>
          <w:p w:rsidR="001E5B24" w:rsidRPr="00FC3D07" w:rsidP="001E5B24">
            <w:pPr>
              <w:bidi w:val="0"/>
              <w:jc w:val="right"/>
              <w:rPr>
                <w:rFonts w:ascii="Arial Narrow" w:hAnsi="Arial Narrow" w:cs="Arial Narrow"/>
                <w:color w:val="000000"/>
                <w:sz w:val="16"/>
                <w:szCs w:val="16"/>
                <w:lang w:eastAsia="sk-SK"/>
              </w:rPr>
            </w:pPr>
            <w:r w:rsidRPr="00FC3D07">
              <w:rPr>
                <w:rFonts w:ascii="Arial Narrow" w:hAnsi="Arial Narrow" w:cs="Arial Narrow"/>
                <w:color w:val="000000"/>
                <w:sz w:val="16"/>
                <w:szCs w:val="16"/>
                <w:lang w:eastAsia="sk-SK"/>
              </w:rPr>
              <w:t> </w:t>
            </w:r>
            <w:r>
              <w:rPr>
                <w:rFonts w:ascii="Arial Narrow" w:hAnsi="Arial Narrow" w:cs="Arial Narrow"/>
                <w:color w:val="000000"/>
                <w:sz w:val="16"/>
                <w:szCs w:val="16"/>
                <w:lang w:eastAsia="sk-SK"/>
              </w:rPr>
              <w:t>0</w:t>
            </w:r>
          </w:p>
        </w:tc>
      </w:tr>
    </w:tbl>
    <w:p w:rsidR="001E5B24" w:rsidP="001E5B24">
      <w:pPr>
        <w:bidi w:val="0"/>
        <w:jc w:val="both"/>
        <w:rPr>
          <w:rFonts w:ascii="Arial Narrow" w:hAnsi="Arial Narrow" w:cs="Arial Narrow"/>
          <w:b/>
          <w:bCs/>
          <w:color w:val="000000"/>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Celkové</w:t>
      </w:r>
      <w:r w:rsidRPr="00FC3D07">
        <w:rPr>
          <w:rFonts w:ascii="Arial Narrow" w:hAnsi="Arial Narrow" w:cs="Arial Narrow"/>
          <w:sz w:val="22"/>
          <w:szCs w:val="22"/>
        </w:rPr>
        <w:t xml:space="preserve"> </w:t>
      </w:r>
      <w:r w:rsidRPr="00E57F9D">
        <w:rPr>
          <w:rFonts w:ascii="Arial Narrow" w:hAnsi="Arial Narrow" w:cs="Arial Narrow"/>
          <w:sz w:val="22"/>
          <w:szCs w:val="22"/>
        </w:rPr>
        <w:t xml:space="preserve">výdavky kapitoly na rok 2011 sú v porovnaní so schváleným rozpočtom roku 2010 vyššie o 3,8 mil. eur, </w:t>
      </w:r>
      <w:r w:rsidR="007C7DA8">
        <w:rPr>
          <w:rFonts w:ascii="Arial Narrow" w:hAnsi="Arial Narrow" w:cs="Arial Narrow"/>
          <w:sz w:val="22"/>
          <w:szCs w:val="22"/>
        </w:rPr>
        <w:t>t. j.</w:t>
      </w:r>
      <w:r w:rsidRPr="00E57F9D">
        <w:rPr>
          <w:rFonts w:ascii="Arial Narrow" w:hAnsi="Arial Narrow" w:cs="Arial Narrow"/>
          <w:sz w:val="22"/>
          <w:szCs w:val="22"/>
        </w:rPr>
        <w:t xml:space="preserve"> o 3,52 %. Rozpočet pre rok 2011 je oproti schválenému rozpočtu pre rok 2010 zvýšený z dôvodu vyšších výdavkov na príspevky do medzinárodných organizácií v sume 3,82 mil. eur, </w:t>
      </w:r>
      <w:r w:rsidR="007C7DA8">
        <w:rPr>
          <w:rFonts w:ascii="Arial Narrow" w:hAnsi="Arial Narrow" w:cs="Arial Narrow"/>
          <w:sz w:val="22"/>
          <w:szCs w:val="22"/>
        </w:rPr>
        <w:t>t. j.</w:t>
      </w:r>
      <w:r w:rsidRPr="00E57F9D">
        <w:rPr>
          <w:rFonts w:ascii="Arial Narrow" w:hAnsi="Arial Narrow" w:cs="Arial Narrow"/>
          <w:sz w:val="22"/>
          <w:szCs w:val="22"/>
        </w:rPr>
        <w:t xml:space="preserve"> 54,8 %, nárastu výdavkov na oficiálnu rozvojovú pomoc v sume 2,7 mil. eur, </w:t>
      </w:r>
      <w:r w:rsidR="007C7DA8">
        <w:rPr>
          <w:rFonts w:ascii="Arial Narrow" w:hAnsi="Arial Narrow" w:cs="Arial Narrow"/>
          <w:sz w:val="22"/>
          <w:szCs w:val="22"/>
        </w:rPr>
        <w:t>t. j.</w:t>
      </w:r>
      <w:r w:rsidRPr="00E57F9D">
        <w:rPr>
          <w:rFonts w:ascii="Arial Narrow" w:hAnsi="Arial Narrow" w:cs="Arial Narrow"/>
          <w:sz w:val="22"/>
          <w:szCs w:val="22"/>
        </w:rPr>
        <w:t xml:space="preserve"> 82,2 % a nárastu poistného z dôvodu zmeny výpočtu pre zamestnancov v cudzine v sume 6,5 mil. eur, </w:t>
      </w:r>
      <w:r w:rsidR="007C7DA8">
        <w:rPr>
          <w:rFonts w:ascii="Arial Narrow" w:hAnsi="Arial Narrow" w:cs="Arial Narrow"/>
          <w:sz w:val="22"/>
          <w:szCs w:val="22"/>
        </w:rPr>
        <w:t>t. j.</w:t>
      </w:r>
      <w:r w:rsidRPr="00E57F9D">
        <w:rPr>
          <w:rFonts w:ascii="Arial Narrow" w:hAnsi="Arial Narrow" w:cs="Arial Narrow"/>
          <w:sz w:val="22"/>
          <w:szCs w:val="22"/>
        </w:rPr>
        <w:t xml:space="preserve"> 125,4 %. Po odrátaní </w:t>
      </w:r>
      <w:r>
        <w:rPr>
          <w:rFonts w:ascii="Arial Narrow" w:hAnsi="Arial Narrow" w:cs="Arial Narrow"/>
          <w:sz w:val="22"/>
          <w:szCs w:val="22"/>
        </w:rPr>
        <w:t>uvedených titulov</w:t>
      </w:r>
      <w:r w:rsidRPr="00E57F9D">
        <w:rPr>
          <w:rFonts w:ascii="Arial Narrow" w:hAnsi="Arial Narrow" w:cs="Arial Narrow"/>
          <w:sz w:val="22"/>
          <w:szCs w:val="22"/>
        </w:rPr>
        <w:t xml:space="preserve">, ktoré zvyšujú rozpočtovú základňu </w:t>
      </w:r>
      <w:r>
        <w:rPr>
          <w:rFonts w:ascii="Arial Narrow" w:hAnsi="Arial Narrow" w:cs="Arial Narrow"/>
          <w:sz w:val="22"/>
          <w:szCs w:val="22"/>
        </w:rPr>
        <w:t xml:space="preserve">schváleného rozpočtu 2010 v sume 10,3 mil. eur, ako aj </w:t>
      </w:r>
      <w:r w:rsidRPr="00E57F9D">
        <w:rPr>
          <w:rFonts w:ascii="Arial Narrow" w:hAnsi="Arial Narrow" w:cs="Arial Narrow"/>
          <w:sz w:val="22"/>
          <w:szCs w:val="22"/>
        </w:rPr>
        <w:t xml:space="preserve">rozpočtu </w:t>
      </w:r>
      <w:r w:rsidR="00475F5B">
        <w:rPr>
          <w:rFonts w:ascii="Arial Narrow" w:hAnsi="Arial Narrow" w:cs="Arial Narrow"/>
          <w:sz w:val="22"/>
          <w:szCs w:val="22"/>
        </w:rPr>
        <w:t>na</w:t>
      </w:r>
      <w:r w:rsidRPr="00E57F9D">
        <w:rPr>
          <w:rFonts w:ascii="Arial Narrow" w:hAnsi="Arial Narrow" w:cs="Arial Narrow"/>
          <w:sz w:val="22"/>
          <w:szCs w:val="22"/>
        </w:rPr>
        <w:t xml:space="preserve"> rok 2011</w:t>
      </w:r>
      <w:r>
        <w:rPr>
          <w:rFonts w:ascii="Arial Narrow" w:hAnsi="Arial Narrow" w:cs="Arial Narrow"/>
          <w:sz w:val="22"/>
          <w:szCs w:val="22"/>
        </w:rPr>
        <w:t xml:space="preserve"> v sume 23,3 mil. eur</w:t>
      </w:r>
      <w:r w:rsidRPr="00E57F9D">
        <w:rPr>
          <w:rFonts w:ascii="Arial Narrow" w:hAnsi="Arial Narrow" w:cs="Arial Narrow"/>
          <w:sz w:val="22"/>
          <w:szCs w:val="22"/>
        </w:rPr>
        <w:t>, by rozpočet kapitoly klesol o</w:t>
      </w:r>
      <w:r>
        <w:rPr>
          <w:rFonts w:ascii="Arial Narrow" w:hAnsi="Arial Narrow" w:cs="Arial Narrow"/>
          <w:sz w:val="22"/>
          <w:szCs w:val="22"/>
        </w:rPr>
        <w:t> 9,4</w:t>
      </w:r>
      <w:r w:rsidRPr="00E57F9D">
        <w:rPr>
          <w:rFonts w:ascii="Arial Narrow" w:hAnsi="Arial Narrow" w:cs="Arial Narrow"/>
          <w:sz w:val="22"/>
          <w:szCs w:val="22"/>
        </w:rPr>
        <w:t xml:space="preserve"> % oproti schválenému rozpočtu </w:t>
      </w:r>
      <w:r w:rsidR="00475F5B">
        <w:rPr>
          <w:rFonts w:ascii="Arial Narrow" w:hAnsi="Arial Narrow" w:cs="Arial Narrow"/>
          <w:sz w:val="22"/>
          <w:szCs w:val="22"/>
        </w:rPr>
        <w:t>na</w:t>
      </w:r>
      <w:r w:rsidRPr="00E57F9D">
        <w:rPr>
          <w:rFonts w:ascii="Arial Narrow" w:hAnsi="Arial Narrow" w:cs="Arial Narrow"/>
          <w:sz w:val="22"/>
          <w:szCs w:val="22"/>
        </w:rPr>
        <w:t xml:space="preserve"> rok 2010.</w:t>
      </w:r>
      <w:r>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RPr="00FC3D07" w:rsidP="001E5B24">
      <w:pPr>
        <w:bidi w:val="0"/>
        <w:ind w:firstLine="708"/>
        <w:jc w:val="both"/>
        <w:rPr>
          <w:rFonts w:ascii="Arial Narrow" w:hAnsi="Arial Narrow" w:cs="Arial Narrow"/>
          <w:sz w:val="22"/>
          <w:szCs w:val="22"/>
        </w:rPr>
      </w:pPr>
      <w:r w:rsidRPr="00FC3D07">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FC3D07">
        <w:rPr>
          <w:rFonts w:ascii="Arial Narrow" w:hAnsi="Arial Narrow" w:cs="Arial Narrow"/>
          <w:sz w:val="22"/>
          <w:szCs w:val="22"/>
        </w:rPr>
        <w:t xml:space="preserve"> rok 2011 rozpočtuje na úrovni 58,1 mil. </w:t>
      </w:r>
      <w:r>
        <w:rPr>
          <w:rFonts w:ascii="Arial Narrow" w:hAnsi="Arial Narrow" w:cs="Arial Narrow"/>
          <w:sz w:val="22"/>
          <w:szCs w:val="22"/>
        </w:rPr>
        <w:t>eur</w:t>
      </w:r>
      <w:r w:rsidRPr="00FC3D07">
        <w:rPr>
          <w:rFonts w:ascii="Arial Narrow" w:hAnsi="Arial Narrow" w:cs="Arial Narrow"/>
          <w:sz w:val="22"/>
          <w:szCs w:val="22"/>
        </w:rPr>
        <w:t xml:space="preserve">, čo v porovnaní s rokom 2010 predstavuje nárast o 2,26 % (1,29 mil. </w:t>
      </w:r>
      <w:r>
        <w:rPr>
          <w:rFonts w:ascii="Arial Narrow" w:hAnsi="Arial Narrow" w:cs="Arial Narrow"/>
          <w:sz w:val="22"/>
          <w:szCs w:val="22"/>
        </w:rPr>
        <w:t>eur</w:t>
      </w:r>
      <w:r w:rsidRPr="00FC3D07">
        <w:rPr>
          <w:rFonts w:ascii="Arial Narrow" w:hAnsi="Arial Narrow" w:cs="Arial Narrow"/>
          <w:sz w:val="22"/>
          <w:szCs w:val="22"/>
        </w:rPr>
        <w:t xml:space="preserve">). Medziročný pokles mzdových výdavkov o 9,10% je ovplyvnený 10% viazaním osobných výdavkov štátnych zamestnancov a zamestnancov pri výkone práce vo verejnom záujme pri zohľadnení dopočtu 1% valorizácie z roku 2010 a 10% viazaním osobných výdavkov ministra a zamestnancov vo verejnej funkcii z úrovne roka 2010. Medziročný rast výdavkov na poistné o 123,5% zodpovedá zabezpečeniu poistného pre zamestnancov v zahraničnej službe v nadväznosti na zrušenie výnimky z platenia poistného v sume 6,5 mil. </w:t>
      </w:r>
      <w:r>
        <w:rPr>
          <w:rFonts w:ascii="Arial Narrow" w:hAnsi="Arial Narrow" w:cs="Arial Narrow"/>
          <w:sz w:val="22"/>
          <w:szCs w:val="22"/>
        </w:rPr>
        <w:t>eur</w:t>
      </w:r>
      <w:r w:rsidRPr="00FC3D07">
        <w:rPr>
          <w:rFonts w:ascii="Arial Narrow" w:hAnsi="Arial Narrow" w:cs="Arial Narrow"/>
          <w:sz w:val="22"/>
          <w:szCs w:val="22"/>
        </w:rPr>
        <w:t xml:space="preserve">. V limite počtu zamestnancov je premietnuté zníženie o 1 miesto štátneho tajomníka. </w:t>
      </w:r>
      <w:r>
        <w:rPr>
          <w:rFonts w:ascii="Arial Narrow" w:hAnsi="Arial Narrow" w:cs="Arial Narrow"/>
          <w:sz w:val="22"/>
          <w:szCs w:val="22"/>
        </w:rPr>
        <w:t xml:space="preserve">Ak by sme </w:t>
      </w:r>
      <w:r w:rsidR="00475F5B">
        <w:rPr>
          <w:rFonts w:ascii="Arial Narrow" w:hAnsi="Arial Narrow" w:cs="Arial Narrow"/>
          <w:sz w:val="22"/>
          <w:szCs w:val="22"/>
        </w:rPr>
        <w:t>na</w:t>
      </w:r>
      <w:r>
        <w:rPr>
          <w:rFonts w:ascii="Arial Narrow" w:hAnsi="Arial Narrow" w:cs="Arial Narrow"/>
          <w:sz w:val="22"/>
          <w:szCs w:val="22"/>
        </w:rPr>
        <w:t xml:space="preserve"> rok 2011 sumu osobných výdavkov očistili od vplyvu nárastu poistného, potom by tieto zaznamenali oproti schválenému rozpočtu v roku </w:t>
      </w:r>
      <w:r w:rsidRPr="00252954">
        <w:rPr>
          <w:rFonts w:ascii="Arial Narrow" w:hAnsi="Arial Narrow" w:cs="Arial Narrow"/>
          <w:sz w:val="22"/>
          <w:szCs w:val="22"/>
        </w:rPr>
        <w:t>2010 pokles o 9,18 %.</w:t>
      </w:r>
    </w:p>
    <w:p w:rsidR="001E5B24" w:rsidRPr="00FC3D07" w:rsidP="001E5B24">
      <w:pPr>
        <w:bidi w:val="0"/>
        <w:jc w:val="both"/>
        <w:rPr>
          <w:rFonts w:ascii="Arial Narrow" w:hAnsi="Arial Narrow" w:cs="Arial Narrow"/>
          <w:sz w:val="22"/>
          <w:szCs w:val="22"/>
        </w:rPr>
      </w:pPr>
    </w:p>
    <w:p w:rsidR="001E5B24" w:rsidRPr="00FC3D07" w:rsidP="001E5B24">
      <w:pPr>
        <w:bidi w:val="0"/>
        <w:ind w:firstLine="708"/>
        <w:jc w:val="both"/>
        <w:rPr>
          <w:rFonts w:ascii="Arial Narrow" w:hAnsi="Arial Narrow" w:cs="Arial Narrow"/>
          <w:sz w:val="22"/>
          <w:szCs w:val="22"/>
        </w:rPr>
      </w:pPr>
      <w:r w:rsidRPr="00FC3D07">
        <w:rPr>
          <w:rFonts w:ascii="Arial Narrow" w:hAnsi="Arial Narrow" w:cs="Arial Narrow"/>
          <w:sz w:val="22"/>
          <w:szCs w:val="22"/>
        </w:rPr>
        <w:t>Návrh rozpočtu nezohľadňuje novelu kompetenčného zákona, ktorým na Ministerstvo zahraničných vecí SR prechádza pôsobnosť v oblasti riadenia obchodno-ekonomických oddelení z Ministerstva hospodárstva SR v termíne od 1.1.2011 a pôsobnosť v oblasti koordinácie realizácie politík EÚ z Úradu vlády SR v termíne</w:t>
        <w:br/>
        <w:t>od 1.11.2010.</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Vo výdavkoch na</w:t>
      </w:r>
      <w:r w:rsidRPr="00366554">
        <w:rPr>
          <w:rFonts w:ascii="Arial Narrow" w:hAnsi="Arial Narrow" w:cs="Arial Narrow"/>
          <w:sz w:val="22"/>
          <w:szCs w:val="22"/>
        </w:rPr>
        <w:t> tovar</w:t>
      </w:r>
      <w:r>
        <w:rPr>
          <w:rFonts w:ascii="Arial Narrow" w:hAnsi="Arial Narrow" w:cs="Arial Narrow"/>
          <w:sz w:val="22"/>
          <w:szCs w:val="22"/>
        </w:rPr>
        <w:t>y</w:t>
      </w:r>
      <w:r w:rsidRPr="00366554">
        <w:rPr>
          <w:rFonts w:ascii="Arial Narrow" w:hAnsi="Arial Narrow" w:cs="Arial Narrow"/>
          <w:sz w:val="22"/>
          <w:szCs w:val="22"/>
        </w:rPr>
        <w:t xml:space="preserve"> a služb</w:t>
      </w:r>
      <w:r>
        <w:rPr>
          <w:rFonts w:ascii="Arial Narrow" w:hAnsi="Arial Narrow" w:cs="Arial Narrow"/>
          <w:sz w:val="22"/>
          <w:szCs w:val="22"/>
        </w:rPr>
        <w:t>y</w:t>
      </w:r>
      <w:r w:rsidRPr="00366554">
        <w:rPr>
          <w:rFonts w:ascii="Arial Narrow" w:hAnsi="Arial Narrow" w:cs="Arial Narrow"/>
          <w:sz w:val="22"/>
          <w:szCs w:val="22"/>
        </w:rPr>
        <w:t xml:space="preserve"> je </w:t>
      </w:r>
      <w:r>
        <w:rPr>
          <w:rFonts w:ascii="Arial Narrow" w:hAnsi="Arial Narrow" w:cs="Arial Narrow"/>
          <w:sz w:val="22"/>
          <w:szCs w:val="22"/>
        </w:rPr>
        <w:t xml:space="preserve">v roku 2011 </w:t>
      </w:r>
      <w:r w:rsidRPr="00366554">
        <w:rPr>
          <w:rFonts w:ascii="Arial Narrow" w:hAnsi="Arial Narrow" w:cs="Arial Narrow"/>
          <w:sz w:val="22"/>
          <w:szCs w:val="22"/>
        </w:rPr>
        <w:t>pokles o</w:t>
      </w:r>
      <w:r>
        <w:rPr>
          <w:rFonts w:ascii="Arial Narrow" w:hAnsi="Arial Narrow" w:cs="Arial Narrow"/>
          <w:sz w:val="22"/>
          <w:szCs w:val="22"/>
        </w:rPr>
        <w:t> 9,1</w:t>
      </w:r>
      <w:r w:rsidRPr="00366554">
        <w:rPr>
          <w:rFonts w:ascii="Arial Narrow" w:hAnsi="Arial Narrow" w:cs="Arial Narrow"/>
          <w:sz w:val="22"/>
          <w:szCs w:val="22"/>
        </w:rPr>
        <w:t xml:space="preserve"> %</w:t>
      </w:r>
      <w:r>
        <w:rPr>
          <w:rFonts w:ascii="Arial Narrow" w:hAnsi="Arial Narrow" w:cs="Arial Narrow"/>
          <w:sz w:val="22"/>
          <w:szCs w:val="22"/>
        </w:rPr>
        <w:t xml:space="preserve"> oproti schválenému rozpočtu 2010 z dôvodu viazania </w:t>
      </w:r>
      <w:r w:rsidRPr="00366554">
        <w:rPr>
          <w:rFonts w:ascii="Arial Narrow" w:hAnsi="Arial Narrow" w:cs="Arial Narrow"/>
          <w:sz w:val="22"/>
          <w:szCs w:val="22"/>
        </w:rPr>
        <w:t xml:space="preserve">vo výdavkoch na </w:t>
      </w:r>
      <w:r>
        <w:rPr>
          <w:rFonts w:ascii="Arial Narrow" w:hAnsi="Arial Narrow" w:cs="Arial Narrow"/>
          <w:sz w:val="22"/>
          <w:szCs w:val="22"/>
        </w:rPr>
        <w:t>tovary a služby</w:t>
      </w:r>
      <w:r w:rsidRPr="00366554">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 </w:t>
      </w:r>
      <w:r w:rsidRPr="00366554">
        <w:rPr>
          <w:rFonts w:ascii="Arial Narrow" w:hAnsi="Arial Narrow" w:cs="Arial Narrow"/>
          <w:sz w:val="22"/>
          <w:szCs w:val="22"/>
        </w:rPr>
        <w:t xml:space="preserve">bežných transferoch </w:t>
      </w:r>
      <w:r>
        <w:rPr>
          <w:rFonts w:ascii="Arial Narrow" w:hAnsi="Arial Narrow" w:cs="Arial Narrow"/>
          <w:sz w:val="22"/>
          <w:szCs w:val="22"/>
        </w:rPr>
        <w:t xml:space="preserve">došlo k nárastu o 52,9 %, </w:t>
      </w:r>
      <w:r w:rsidRPr="00366554">
        <w:rPr>
          <w:rFonts w:ascii="Arial Narrow" w:hAnsi="Arial Narrow" w:cs="Arial Narrow"/>
          <w:sz w:val="22"/>
          <w:szCs w:val="22"/>
        </w:rPr>
        <w:t xml:space="preserve">a to </w:t>
      </w:r>
      <w:r>
        <w:rPr>
          <w:rFonts w:ascii="Arial Narrow" w:hAnsi="Arial Narrow" w:cs="Arial Narrow"/>
          <w:sz w:val="22"/>
          <w:szCs w:val="22"/>
        </w:rPr>
        <w:t xml:space="preserve">v dôsledku </w:t>
      </w:r>
      <w:r w:rsidRPr="00FC3D07">
        <w:rPr>
          <w:rFonts w:ascii="Arial Narrow" w:hAnsi="Arial Narrow" w:cs="Arial Narrow"/>
          <w:sz w:val="22"/>
          <w:szCs w:val="22"/>
        </w:rPr>
        <w:t xml:space="preserve">zvýšených výdavkov na príspevky do </w:t>
      </w:r>
      <w:r>
        <w:rPr>
          <w:rFonts w:ascii="Arial Narrow" w:hAnsi="Arial Narrow" w:cs="Arial Narrow"/>
          <w:sz w:val="22"/>
          <w:szCs w:val="22"/>
        </w:rPr>
        <w:t>medzinárodných organizácií</w:t>
      </w:r>
      <w:r w:rsidRPr="00FC3D07">
        <w:rPr>
          <w:rFonts w:ascii="Arial Narrow" w:hAnsi="Arial Narrow" w:cs="Arial Narrow"/>
          <w:sz w:val="22"/>
          <w:szCs w:val="22"/>
        </w:rPr>
        <w:t xml:space="preserve"> a</w:t>
      </w:r>
      <w:r>
        <w:rPr>
          <w:rFonts w:ascii="Arial Narrow" w:hAnsi="Arial Narrow" w:cs="Arial Narrow"/>
          <w:sz w:val="22"/>
          <w:szCs w:val="22"/>
        </w:rPr>
        <w:t xml:space="preserve"> zvýšenie rozpočtovaných </w:t>
      </w:r>
      <w:r w:rsidRPr="00FC3D07">
        <w:rPr>
          <w:rFonts w:ascii="Arial Narrow" w:hAnsi="Arial Narrow" w:cs="Arial Narrow"/>
          <w:sz w:val="22"/>
          <w:szCs w:val="22"/>
        </w:rPr>
        <w:t xml:space="preserve">výdavkov na oficiálnu rozvojovú pomoc. </w:t>
      </w:r>
    </w:p>
    <w:p w:rsidR="001E5B24" w:rsidRPr="00FC3D07" w:rsidP="001E5B24">
      <w:pPr>
        <w:bidi w:val="0"/>
        <w:ind w:firstLine="708"/>
        <w:jc w:val="both"/>
        <w:rPr>
          <w:rFonts w:ascii="Arial Narrow" w:hAnsi="Arial Narrow" w:cs="Arial Narrow"/>
          <w:sz w:val="22"/>
          <w:szCs w:val="22"/>
        </w:rPr>
      </w:pPr>
    </w:p>
    <w:p w:rsidR="001E5B24" w:rsidRPr="00FC3D07" w:rsidP="001E5B24">
      <w:pPr>
        <w:bidi w:val="0"/>
        <w:ind w:firstLine="708"/>
        <w:jc w:val="both"/>
        <w:rPr>
          <w:rFonts w:ascii="Arial Narrow" w:hAnsi="Arial Narrow" w:cs="Arial Narrow"/>
          <w:sz w:val="22"/>
          <w:szCs w:val="22"/>
        </w:rPr>
      </w:pPr>
      <w:r w:rsidRPr="00FC3D07">
        <w:rPr>
          <w:rFonts w:ascii="Arial Narrow" w:hAnsi="Arial Narrow" w:cs="Arial Narrow"/>
          <w:sz w:val="22"/>
          <w:szCs w:val="22"/>
        </w:rPr>
        <w:t xml:space="preserve">Kapitálové výdavky sú nižšie o 692 tis. </w:t>
      </w:r>
      <w:r>
        <w:rPr>
          <w:rFonts w:ascii="Arial Narrow" w:hAnsi="Arial Narrow" w:cs="Arial Narrow"/>
          <w:sz w:val="22"/>
          <w:szCs w:val="22"/>
        </w:rPr>
        <w:t>eur</w:t>
      </w:r>
      <w:r w:rsidRPr="00FC3D07">
        <w:rPr>
          <w:rFonts w:ascii="Arial Narrow" w:hAnsi="Arial Narrow" w:cs="Arial Narrow"/>
          <w:sz w:val="22"/>
          <w:szCs w:val="22"/>
        </w:rPr>
        <w:t xml:space="preserve">, </w:t>
      </w:r>
      <w:r w:rsidR="007C7DA8">
        <w:rPr>
          <w:rFonts w:ascii="Arial Narrow" w:hAnsi="Arial Narrow" w:cs="Arial Narrow"/>
          <w:sz w:val="22"/>
          <w:szCs w:val="22"/>
        </w:rPr>
        <w:t>t. j.</w:t>
      </w:r>
      <w:r w:rsidRPr="00FC3D07">
        <w:rPr>
          <w:rFonts w:ascii="Arial Narrow" w:hAnsi="Arial Narrow" w:cs="Arial Narrow"/>
          <w:sz w:val="22"/>
          <w:szCs w:val="22"/>
        </w:rPr>
        <w:t xml:space="preserve"> o 15,4 % </w:t>
      </w:r>
      <w:r>
        <w:rPr>
          <w:rFonts w:ascii="Arial Narrow" w:hAnsi="Arial Narrow" w:cs="Arial Narrow"/>
          <w:sz w:val="22"/>
          <w:szCs w:val="22"/>
        </w:rPr>
        <w:t>z dôvodu ukončenia niektorých investičných akcií a rozpočtujú</w:t>
      </w:r>
      <w:r w:rsidRPr="00FC3D07">
        <w:rPr>
          <w:rFonts w:ascii="Arial Narrow" w:hAnsi="Arial Narrow" w:cs="Arial Narrow"/>
          <w:sz w:val="22"/>
          <w:szCs w:val="22"/>
        </w:rPr>
        <w:t xml:space="preserve"> sa na rekonštrukciu rezidencie ZÚ v Helsinkách a</w:t>
      </w:r>
      <w:r>
        <w:rPr>
          <w:rFonts w:ascii="Arial Narrow" w:hAnsi="Arial Narrow" w:cs="Arial Narrow"/>
          <w:sz w:val="22"/>
          <w:szCs w:val="22"/>
        </w:rPr>
        <w:t> na komunikačnú infraštruktúru.</w:t>
      </w:r>
    </w:p>
    <w:p w:rsidR="001E5B24" w:rsidP="001E5B24">
      <w:pPr>
        <w:bidi w:val="0"/>
        <w:jc w:val="both"/>
        <w:rPr>
          <w:rFonts w:ascii="Arial Narrow" w:hAnsi="Arial Narrow" w:cs="Arial Narrow"/>
          <w:b/>
          <w:bCs/>
          <w:color w:val="000000"/>
          <w:sz w:val="22"/>
          <w:szCs w:val="22"/>
        </w:rPr>
      </w:pPr>
    </w:p>
    <w:tbl>
      <w:tblPr>
        <w:tblStyle w:val="TableNormal"/>
        <w:tblW w:w="4962" w:type="pct"/>
        <w:tblInd w:w="70" w:type="dxa"/>
        <w:tblCellMar>
          <w:left w:w="70" w:type="dxa"/>
          <w:right w:w="70" w:type="dxa"/>
        </w:tblCellMar>
        <w:tblLook w:val="00A0"/>
      </w:tblPr>
      <w:tblGrid>
        <w:gridCol w:w="3405"/>
        <w:gridCol w:w="957"/>
        <w:gridCol w:w="956"/>
        <w:gridCol w:w="956"/>
        <w:gridCol w:w="956"/>
        <w:gridCol w:w="956"/>
        <w:gridCol w:w="956"/>
      </w:tblGrid>
      <w:tr>
        <w:tblPrEx>
          <w:tblW w:w="4962" w:type="pct"/>
          <w:tblInd w:w="70" w:type="dxa"/>
          <w:tblCellMar>
            <w:left w:w="70" w:type="dxa"/>
            <w:right w:w="70" w:type="dxa"/>
          </w:tblCellMar>
          <w:tblLook w:val="00A0"/>
        </w:tblPrEx>
        <w:trPr>
          <w:trHeight w:val="242"/>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42"/>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B417A4" w:rsidP="001E5B24">
            <w:pPr>
              <w:bidi w:val="0"/>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Zahraničná politika</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99 905</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107 340</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97 696</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94 974</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95 491</w:t>
            </w:r>
          </w:p>
        </w:tc>
        <w:tc>
          <w:tcPr>
            <w:tcW w:w="523" w:type="pct"/>
            <w:tcBorders>
              <w:top w:val="nil"/>
              <w:left w:val="nil"/>
              <w:bottom w:val="single" w:sz="4" w:space="0" w:color="auto"/>
              <w:right w:val="single" w:sz="4" w:space="0" w:color="auto"/>
            </w:tcBorders>
            <w:noWrap/>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96 376</w:t>
            </w:r>
          </w:p>
        </w:tc>
      </w:tr>
    </w:tbl>
    <w:p w:rsidR="001E5B24" w:rsidP="001E5B24">
      <w:pPr>
        <w:bidi w:val="0"/>
        <w:jc w:val="both"/>
        <w:rPr>
          <w:rFonts w:ascii="Arial" w:hAnsi="Arial" w:cs="Arial"/>
          <w:b/>
          <w:bCs/>
          <w:color w:val="000000"/>
          <w:sz w:val="22"/>
          <w:szCs w:val="22"/>
        </w:rPr>
      </w:pPr>
    </w:p>
    <w:p w:rsidR="001E5B24" w:rsidP="001E5B24">
      <w:pPr>
        <w:bidi w:val="0"/>
        <w:ind w:firstLine="708"/>
        <w:jc w:val="both"/>
        <w:rPr>
          <w:rFonts w:ascii="Arial Narrow" w:hAnsi="Arial Narrow" w:cs="Arial Narrow"/>
          <w:sz w:val="22"/>
          <w:szCs w:val="22"/>
        </w:rPr>
      </w:pPr>
      <w:r w:rsidRPr="00B417A4">
        <w:rPr>
          <w:rFonts w:ascii="Arial Narrow" w:hAnsi="Arial Narrow" w:cs="Arial Narrow"/>
          <w:color w:val="000000"/>
          <w:sz w:val="22"/>
          <w:szCs w:val="22"/>
        </w:rPr>
        <w:t xml:space="preserve">V rámci výdavkov na zahraničnú politiku sa rozpočtujú prostriedky predovšetkým na zastupiteľské úrady SR v zahraničí, v rámci ktorých sa okrem osobných výdavkov zahraničnej služby zabezpečuje prenájom bytov, administratívnych budov, rezidencií, lekárske prehliadky počas výkonu zahraničnej služby, školné a zápisné pre deti zamestnancov zahraničnej služby. Nárast výdavkov v kategórii poistného je spôsobený </w:t>
      </w:r>
      <w:r w:rsidRPr="00B417A4">
        <w:rPr>
          <w:rFonts w:ascii="Arial Narrow" w:hAnsi="Arial Narrow" w:cs="Arial Narrow"/>
          <w:sz w:val="22"/>
          <w:szCs w:val="22"/>
        </w:rPr>
        <w:t>zmenou výpočtu odvodov pre zamestnancov v zahraničnej službe v nadväznosti na zrušenie výnimky</w:t>
      </w:r>
      <w:r w:rsidRPr="00B417A4">
        <w:rPr>
          <w:rFonts w:ascii="Arial Narrow" w:hAnsi="Arial Narrow" w:cs="Arial Narrow"/>
          <w:color w:val="000000"/>
          <w:sz w:val="22"/>
          <w:szCs w:val="22"/>
        </w:rPr>
        <w:t xml:space="preserve"> od roku </w:t>
      </w:r>
      <w:r w:rsidRPr="00B417A4">
        <w:rPr>
          <w:rFonts w:ascii="Arial Narrow" w:hAnsi="Arial Narrow" w:cs="Arial Narrow"/>
          <w:sz w:val="22"/>
          <w:szCs w:val="22"/>
        </w:rPr>
        <w:t xml:space="preserve">2011. </w:t>
      </w:r>
    </w:p>
    <w:p w:rsidR="001E5B24" w:rsidRPr="00B417A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color w:val="000000"/>
          <w:sz w:val="22"/>
          <w:szCs w:val="22"/>
        </w:rPr>
      </w:pPr>
      <w:r w:rsidRPr="00B417A4">
        <w:rPr>
          <w:rFonts w:ascii="Arial Narrow" w:hAnsi="Arial Narrow" w:cs="Arial Narrow"/>
          <w:color w:val="000000"/>
          <w:sz w:val="22"/>
          <w:szCs w:val="22"/>
        </w:rPr>
        <w:t>Ďalšie výdavky na zahraničnú politiku sú rozpísan</w:t>
      </w:r>
      <w:r>
        <w:rPr>
          <w:rFonts w:ascii="Arial Narrow" w:hAnsi="Arial Narrow" w:cs="Arial Narrow"/>
          <w:color w:val="000000"/>
          <w:sz w:val="22"/>
          <w:szCs w:val="22"/>
        </w:rPr>
        <w:t>é</w:t>
      </w:r>
      <w:r w:rsidRPr="00B417A4">
        <w:rPr>
          <w:rFonts w:ascii="Arial Narrow" w:hAnsi="Arial Narrow" w:cs="Arial Narrow"/>
          <w:color w:val="000000"/>
          <w:sz w:val="22"/>
          <w:szCs w:val="22"/>
        </w:rPr>
        <w:t xml:space="preserve"> pre slovenské inštitúty v zahraničí, kde sa </w:t>
      </w:r>
      <w:r w:rsidRPr="00B417A4">
        <w:rPr>
          <w:rFonts w:ascii="Arial Narrow" w:hAnsi="Arial Narrow" w:cs="Arial Narrow"/>
          <w:sz w:val="22"/>
          <w:szCs w:val="22"/>
        </w:rPr>
        <w:t xml:space="preserve">okrem </w:t>
      </w:r>
      <w:r w:rsidRPr="00B417A4">
        <w:rPr>
          <w:rFonts w:ascii="Arial Narrow" w:hAnsi="Arial Narrow" w:cs="Arial Narrow"/>
          <w:color w:val="000000"/>
          <w:sz w:val="22"/>
          <w:szCs w:val="22"/>
        </w:rPr>
        <w:t>osobných výdavkov zabezpečujú najmä</w:t>
      </w:r>
      <w:r w:rsidRPr="00CC4E75">
        <w:rPr>
          <w:rFonts w:ascii="Arial Narrow" w:hAnsi="Arial Narrow" w:cs="Arial Narrow"/>
          <w:color w:val="000000"/>
          <w:sz w:val="22"/>
          <w:szCs w:val="22"/>
        </w:rPr>
        <w:t xml:space="preserve"> výdavky súvisiace s reprezentáciou a propagáciou SR v zahraničí pri usporiadaní výstav, kultúrnych podujatí a programov.</w:t>
      </w:r>
    </w:p>
    <w:p w:rsidR="001E5B24" w:rsidRPr="00CC4E75" w:rsidP="001E5B24">
      <w:pPr>
        <w:bidi w:val="0"/>
        <w:ind w:firstLine="708"/>
        <w:jc w:val="both"/>
        <w:rPr>
          <w:rFonts w:ascii="Arial Narrow" w:hAnsi="Arial Narrow" w:cs="Arial Narrow"/>
          <w:color w:val="000000"/>
          <w:sz w:val="22"/>
          <w:szCs w:val="22"/>
        </w:rPr>
      </w:pPr>
    </w:p>
    <w:p w:rsidR="001E5B24" w:rsidP="001E5B24">
      <w:pPr>
        <w:bidi w:val="0"/>
        <w:ind w:left="45" w:firstLine="663"/>
        <w:jc w:val="both"/>
        <w:rPr>
          <w:rFonts w:ascii="Arial Narrow" w:hAnsi="Arial Narrow" w:cs="Arial Narrow"/>
          <w:sz w:val="22"/>
          <w:szCs w:val="22"/>
        </w:rPr>
      </w:pPr>
      <w:r w:rsidRPr="00CC4E75">
        <w:rPr>
          <w:rFonts w:ascii="Arial Narrow" w:hAnsi="Arial Narrow" w:cs="Arial Narrow"/>
          <w:sz w:val="22"/>
          <w:szCs w:val="22"/>
        </w:rPr>
        <w:t xml:space="preserve">Pre ústredie MZV SR sú rozpočtované výdavky na zahraničnú politiku len v oblasti bežných výdavkov, kde sa okrem mzdových prostriedkov a prostriedkov na prevádzku rozpočtujú aj bežné výdavky na spoluprácu s tretím sektorom 78,2 tis. </w:t>
      </w:r>
      <w:r>
        <w:rPr>
          <w:rFonts w:ascii="Arial Narrow" w:hAnsi="Arial Narrow" w:cs="Arial Narrow"/>
          <w:sz w:val="22"/>
          <w:szCs w:val="22"/>
        </w:rPr>
        <w:t>eur</w:t>
      </w:r>
      <w:r w:rsidRPr="00CC4E75">
        <w:rPr>
          <w:rFonts w:ascii="Arial Narrow" w:hAnsi="Arial Narrow" w:cs="Arial Narrow"/>
          <w:sz w:val="22"/>
          <w:szCs w:val="22"/>
        </w:rPr>
        <w:t xml:space="preserve"> a vzdelávanie zamestnancov 218 tis. </w:t>
      </w:r>
      <w:r>
        <w:rPr>
          <w:rFonts w:ascii="Arial Narrow" w:hAnsi="Arial Narrow" w:cs="Arial Narrow"/>
          <w:sz w:val="22"/>
          <w:szCs w:val="22"/>
        </w:rPr>
        <w:t>eur</w:t>
      </w:r>
      <w:r w:rsidRPr="00CC4E75">
        <w:rPr>
          <w:rFonts w:ascii="Arial Narrow" w:hAnsi="Arial Narrow" w:cs="Arial Narrow"/>
          <w:sz w:val="22"/>
          <w:szCs w:val="22"/>
        </w:rPr>
        <w:t>. V bežných transferoch bol rozpísaný transfer pre príspevkovú organizáciu S</w:t>
      </w:r>
      <w:r>
        <w:rPr>
          <w:rFonts w:ascii="Arial Narrow" w:hAnsi="Arial Narrow" w:cs="Arial Narrow"/>
          <w:sz w:val="22"/>
          <w:szCs w:val="22"/>
        </w:rPr>
        <w:t>Ú</w:t>
      </w:r>
      <w:r w:rsidRPr="00CC4E75">
        <w:rPr>
          <w:rFonts w:ascii="Arial Narrow" w:hAnsi="Arial Narrow" w:cs="Arial Narrow"/>
          <w:sz w:val="22"/>
          <w:szCs w:val="22"/>
        </w:rPr>
        <w:t xml:space="preserve">ZA 1,72 mil. </w:t>
      </w:r>
      <w:r>
        <w:rPr>
          <w:rFonts w:ascii="Arial Narrow" w:hAnsi="Arial Narrow" w:cs="Arial Narrow"/>
          <w:sz w:val="22"/>
          <w:szCs w:val="22"/>
        </w:rPr>
        <w:t>eur</w:t>
      </w:r>
      <w:r w:rsidRPr="00CC4E75">
        <w:rPr>
          <w:rFonts w:ascii="Arial Narrow" w:hAnsi="Arial Narrow" w:cs="Arial Narrow"/>
          <w:sz w:val="22"/>
          <w:szCs w:val="22"/>
        </w:rPr>
        <w:t xml:space="preserve"> a prostriedky na dotácie v pôsobnosti MZV SR v sume 89,6 tis. </w:t>
      </w:r>
      <w:r>
        <w:rPr>
          <w:rFonts w:ascii="Arial Narrow" w:hAnsi="Arial Narrow" w:cs="Arial Narrow"/>
          <w:sz w:val="22"/>
          <w:szCs w:val="22"/>
        </w:rPr>
        <w:t>eur</w:t>
      </w:r>
      <w:r w:rsidRPr="00CC4E75">
        <w:rPr>
          <w:rFonts w:ascii="Arial Narrow" w:hAnsi="Arial Narrow" w:cs="Arial Narrow"/>
          <w:sz w:val="22"/>
          <w:szCs w:val="22"/>
        </w:rPr>
        <w:t>.</w:t>
      </w:r>
    </w:p>
    <w:p w:rsidR="001E5B24" w:rsidRPr="00CC4E75" w:rsidP="001E5B24">
      <w:pPr>
        <w:bidi w:val="0"/>
        <w:ind w:left="45" w:firstLine="663"/>
        <w:jc w:val="both"/>
        <w:rPr>
          <w:rFonts w:ascii="Arial Narrow" w:hAnsi="Arial Narrow" w:cs="Arial Narrow"/>
          <w:color w:val="000000"/>
          <w:sz w:val="22"/>
          <w:szCs w:val="22"/>
        </w:rPr>
      </w:pPr>
    </w:p>
    <w:p w:rsidR="001E5B24" w:rsidP="001E5B24">
      <w:pPr>
        <w:bidi w:val="0"/>
        <w:ind w:firstLine="708"/>
        <w:jc w:val="both"/>
        <w:rPr>
          <w:rFonts w:ascii="Arial Narrow" w:hAnsi="Arial Narrow" w:cs="Arial Narrow"/>
          <w:sz w:val="22"/>
          <w:szCs w:val="22"/>
        </w:rPr>
      </w:pPr>
      <w:r w:rsidRPr="00CC4E75">
        <w:rPr>
          <w:rFonts w:ascii="Arial Narrow" w:hAnsi="Arial Narrow" w:cs="Arial Narrow"/>
          <w:color w:val="000000"/>
          <w:sz w:val="22"/>
          <w:szCs w:val="22"/>
        </w:rPr>
        <w:t xml:space="preserve">Kapitálovými výdavkami v oblasti zahraničná politika sa zabezpečí </w:t>
      </w:r>
      <w:r w:rsidRPr="00CC4E75">
        <w:rPr>
          <w:rFonts w:ascii="Arial Narrow" w:hAnsi="Arial Narrow" w:cs="Arial Narrow"/>
          <w:sz w:val="22"/>
          <w:szCs w:val="22"/>
        </w:rPr>
        <w:t>rekonštrukcia rezidencie ZÚ v Helsinkách a nákup komunikačnej infraštruktúry.</w:t>
      </w:r>
    </w:p>
    <w:p w:rsidR="001E5B24" w:rsidRPr="00A157AB" w:rsidP="001E5B24">
      <w:pPr>
        <w:bidi w:val="0"/>
        <w:jc w:val="right"/>
        <w:rPr>
          <w:rFonts w:ascii="Arial Narrow" w:hAnsi="Arial Narrow" w:cs="Arial Narrow"/>
          <w:b/>
          <w:bCs/>
          <w:color w:val="000000"/>
          <w:sz w:val="16"/>
          <w:szCs w:val="16"/>
        </w:rPr>
      </w:pPr>
    </w:p>
    <w:tbl>
      <w:tblPr>
        <w:tblStyle w:val="TableNormal"/>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6"/>
        <w:gridCol w:w="964"/>
        <w:gridCol w:w="964"/>
        <w:gridCol w:w="962"/>
        <w:gridCol w:w="962"/>
        <w:gridCol w:w="962"/>
        <w:gridCol w:w="960"/>
      </w:tblGrid>
      <w:tr>
        <w:tblPrEx>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33"/>
        </w:trPr>
        <w:tc>
          <w:tcPr>
            <w:tcW w:w="185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42" w:type="pct"/>
          <w:tblInd w:w="108" w:type="dxa"/>
          <w:tblLook w:val="00A0"/>
        </w:tblPrEx>
        <w:trPr>
          <w:trHeight w:val="233"/>
        </w:trPr>
        <w:tc>
          <w:tcPr>
            <w:tcW w:w="185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Oficiálna rozvojová pomoc</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4 754</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5 833</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3 285</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5 985</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3 285</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3 285</w:t>
            </w:r>
          </w:p>
        </w:tc>
      </w:tr>
    </w:tbl>
    <w:p w:rsidR="001E5B24" w:rsidP="001E5B24">
      <w:pPr>
        <w:bidi w:val="0"/>
        <w:ind w:firstLine="708"/>
        <w:jc w:val="both"/>
        <w:rPr>
          <w:rFonts w:ascii="Arial" w:hAnsi="Arial" w:cs="Arial"/>
          <w:color w:val="000000"/>
          <w:sz w:val="22"/>
          <w:szCs w:val="22"/>
        </w:rPr>
      </w:pPr>
    </w:p>
    <w:p w:rsidR="001E5B24" w:rsidP="001E5B24">
      <w:pPr>
        <w:bidi w:val="0"/>
        <w:ind w:firstLine="708"/>
        <w:jc w:val="both"/>
        <w:rPr>
          <w:rFonts w:ascii="Arial Narrow" w:hAnsi="Arial Narrow" w:cs="Arial Narrow"/>
          <w:color w:val="000000"/>
          <w:sz w:val="22"/>
          <w:szCs w:val="22"/>
        </w:rPr>
      </w:pPr>
      <w:r w:rsidRPr="00072A8D">
        <w:rPr>
          <w:rFonts w:ascii="Arial Narrow" w:hAnsi="Arial Narrow" w:cs="Arial Narrow"/>
          <w:color w:val="000000"/>
          <w:sz w:val="22"/>
          <w:szCs w:val="22"/>
        </w:rPr>
        <w:t>Z prostriedkov rozpočtovaných v rámci oblasti na oficiálnu rozvojovú pomoc (ODA) sa</w:t>
      </w:r>
      <w:r w:rsidRPr="00CC4E75">
        <w:rPr>
          <w:rFonts w:ascii="Arial Narrow" w:hAnsi="Arial Narrow" w:cs="Arial Narrow"/>
          <w:color w:val="000000"/>
          <w:sz w:val="22"/>
          <w:szCs w:val="22"/>
        </w:rPr>
        <w:t xml:space="preserve"> zabezpečuje pomoc rozvojovým krajinám a krajinám v procese transformácie s tým, že prostriedky sú určené na projekty v prioritných krajinách a na projekty pre programové krajiny Srbsko, Afganistan a Keňa. Výdavky na túto oblasť rastú medziročne o 82 % a to najmä v dôsledku plnenia si záväzkov členskej krajiny EÚ a záväzku usilovať sa o zvýšenie ODA na HDP krajiny.</w:t>
      </w:r>
    </w:p>
    <w:p w:rsidR="001E5B24" w:rsidRPr="00CC4E75" w:rsidP="001E5B24">
      <w:pPr>
        <w:bidi w:val="0"/>
        <w:ind w:firstLine="708"/>
        <w:jc w:val="both"/>
        <w:rPr>
          <w:rFonts w:ascii="Arial Narrow" w:hAnsi="Arial Narrow" w:cs="Arial Narrow"/>
          <w:color w:val="000000"/>
          <w:sz w:val="22"/>
          <w:szCs w:val="22"/>
        </w:rPr>
      </w:pPr>
    </w:p>
    <w:tbl>
      <w:tblPr>
        <w:tblStyle w:val="TableNormal"/>
        <w:tblpPr w:leftFromText="141" w:rightFromText="141" w:vertAnchor="text" w:horzAnchor="margin" w:tblpX="108" w:tblpY="43"/>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6"/>
        <w:gridCol w:w="964"/>
        <w:gridCol w:w="964"/>
        <w:gridCol w:w="962"/>
        <w:gridCol w:w="962"/>
        <w:gridCol w:w="962"/>
        <w:gridCol w:w="960"/>
      </w:tblGrid>
      <w:tr>
        <w:tblPrEx>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33"/>
        </w:trPr>
        <w:tc>
          <w:tcPr>
            <w:tcW w:w="185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42" w:type="pct"/>
          <w:tblLook w:val="00A0"/>
        </w:tblPrEx>
        <w:trPr>
          <w:trHeight w:val="233"/>
        </w:trPr>
        <w:tc>
          <w:tcPr>
            <w:tcW w:w="185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Príspevky medzinárodným organizáciám</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6 910</w:t>
            </w:r>
          </w:p>
        </w:tc>
        <w:tc>
          <w:tcPr>
            <w:tcW w:w="525"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10 511</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6 973</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10 792</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10 033</w:t>
            </w:r>
          </w:p>
        </w:tc>
        <w:tc>
          <w:tcPr>
            <w:tcW w:w="524" w:type="pct"/>
            <w:tcBorders>
              <w:top w:val="single" w:sz="4" w:space="0" w:color="auto"/>
              <w:left w:val="single" w:sz="4" w:space="0" w:color="auto"/>
              <w:bottom w:val="single" w:sz="4" w:space="0" w:color="auto"/>
              <w:right w:val="single" w:sz="4" w:space="0" w:color="auto"/>
            </w:tcBorders>
            <w:textDirection w:val="lrTb"/>
            <w:vAlign w:val="bottom"/>
          </w:tcPr>
          <w:p w:rsidR="001E5B24" w:rsidRPr="00B417A4" w:rsidP="001E5B24">
            <w:pPr>
              <w:bidi w:val="0"/>
              <w:jc w:val="right"/>
              <w:rPr>
                <w:rFonts w:ascii="Arial Narrow" w:hAnsi="Arial Narrow" w:cs="Arial Narrow"/>
                <w:color w:val="000000"/>
                <w:sz w:val="16"/>
                <w:szCs w:val="16"/>
                <w:lang w:eastAsia="sk-SK"/>
              </w:rPr>
            </w:pPr>
            <w:r w:rsidRPr="00B417A4">
              <w:rPr>
                <w:rFonts w:ascii="Arial Narrow" w:hAnsi="Arial Narrow" w:cs="Arial Narrow"/>
                <w:color w:val="000000"/>
                <w:sz w:val="16"/>
                <w:szCs w:val="16"/>
                <w:lang w:eastAsia="sk-SK"/>
              </w:rPr>
              <w:t>9 709</w:t>
            </w:r>
          </w:p>
        </w:tc>
      </w:tr>
    </w:tbl>
    <w:p w:rsidR="001E5B24" w:rsidP="001E5B24">
      <w:pPr>
        <w:bidi w:val="0"/>
        <w:ind w:firstLine="708"/>
        <w:jc w:val="both"/>
        <w:rPr>
          <w:rFonts w:ascii="Arial Narrow" w:hAnsi="Arial Narrow" w:cs="Arial Narrow"/>
          <w:color w:val="000000"/>
          <w:sz w:val="22"/>
          <w:szCs w:val="22"/>
        </w:rPr>
      </w:pPr>
    </w:p>
    <w:p w:rsidR="001E5B24" w:rsidP="001E5B24">
      <w:pPr>
        <w:bidi w:val="0"/>
        <w:ind w:firstLine="708"/>
        <w:jc w:val="both"/>
        <w:rPr>
          <w:rFonts w:ascii="Arial Narrow" w:hAnsi="Arial Narrow" w:cs="Arial Narrow"/>
          <w:color w:val="000000"/>
          <w:sz w:val="22"/>
          <w:szCs w:val="22"/>
        </w:rPr>
      </w:pPr>
      <w:r w:rsidRPr="00072A8D">
        <w:rPr>
          <w:rFonts w:ascii="Arial Narrow" w:hAnsi="Arial Narrow" w:cs="Arial Narrow"/>
          <w:color w:val="000000"/>
          <w:sz w:val="22"/>
          <w:szCs w:val="22"/>
        </w:rPr>
        <w:t xml:space="preserve">V rámci oblasti diplomacia sa zohľadnili najmä v kategórii bežných transferov aj výdavky v oblasti poplatkov a príspevkov za členstvo SR v medzinárodných </w:t>
      </w:r>
      <w:r w:rsidRPr="00E57F9D">
        <w:rPr>
          <w:rFonts w:ascii="Arial Narrow" w:hAnsi="Arial Narrow" w:cs="Arial Narrow"/>
          <w:color w:val="000000"/>
          <w:sz w:val="22"/>
          <w:szCs w:val="22"/>
        </w:rPr>
        <w:t xml:space="preserve">organizáciách. V porovnaní so schváleným rozpočtom roku 2010 boli výdavky tejto oblasti v roku 2011 zvýšené o 3,82 mil. eur, </w:t>
      </w:r>
      <w:r w:rsidR="007C7DA8">
        <w:rPr>
          <w:rFonts w:ascii="Arial Narrow" w:hAnsi="Arial Narrow" w:cs="Arial Narrow"/>
          <w:color w:val="000000"/>
          <w:sz w:val="22"/>
          <w:szCs w:val="22"/>
        </w:rPr>
        <w:t>t. j.</w:t>
      </w:r>
      <w:r w:rsidRPr="00E57F9D">
        <w:rPr>
          <w:rFonts w:ascii="Arial Narrow" w:hAnsi="Arial Narrow" w:cs="Arial Narrow"/>
          <w:color w:val="000000"/>
          <w:sz w:val="22"/>
          <w:szCs w:val="22"/>
        </w:rPr>
        <w:t xml:space="preserve"> 54,8 % a to v dôsledku zásadného nárastu príspevku SR do rozpočtového systému OSN, ku ktorému došlo z dôvodu zmeny výšky príspevkovej škály. Percentuálny podiel SR na financovaní rozpočtu OSN bol z doterajšieho 0,063 % zvýšený na 0,142 %, čo predstavuje celkový nárast príspevkov do medzinárodných organizácií v roku 2011. Kapitálové výdavky v tejto oblasti na rok 2011 nie sú rozpočtované</w:t>
      </w:r>
      <w:r w:rsidRPr="00CC4E75">
        <w:rPr>
          <w:rFonts w:ascii="Arial Narrow" w:hAnsi="Arial Narrow" w:cs="Arial Narrow"/>
          <w:color w:val="000000"/>
          <w:sz w:val="22"/>
          <w:szCs w:val="22"/>
        </w:rPr>
        <w:t xml:space="preserve">. </w:t>
      </w:r>
    </w:p>
    <w:p w:rsidR="001E5B24" w:rsidP="001E5B24">
      <w:pPr>
        <w:bidi w:val="0"/>
        <w:jc w:val="both"/>
        <w:rPr>
          <w:rFonts w:ascii="Arial Narrow" w:hAnsi="Arial Narrow" w:cs="Arial Narrow"/>
          <w:b/>
          <w:bCs/>
          <w:sz w:val="22"/>
          <w:szCs w:val="22"/>
        </w:rPr>
      </w:pPr>
    </w:p>
    <w:p w:rsidR="001E5B24" w:rsidP="001E5B24">
      <w:pPr>
        <w:autoSpaceDE w:val="0"/>
        <w:autoSpaceDN w:val="0"/>
        <w:bidi w:val="0"/>
        <w:adjustRightInd w:val="0"/>
        <w:jc w:val="both"/>
        <w:rPr>
          <w:rFonts w:ascii="Arial Narrow" w:hAnsi="Arial Narrow" w:cs="Arial Narrow"/>
          <w:sz w:val="22"/>
          <w:szCs w:val="22"/>
        </w:rPr>
      </w:pPr>
    </w:p>
    <w:p w:rsidR="001E5B24" w:rsidP="001E5B24">
      <w:pPr>
        <w:pBdr>
          <w:bottom w:val="single" w:sz="4" w:space="1" w:color="auto"/>
        </w:pBdr>
        <w:bidi w:val="0"/>
        <w:jc w:val="both"/>
        <w:rPr>
          <w:rFonts w:ascii="Arial Narrow" w:hAnsi="Arial Narrow" w:cs="Arial Narrow"/>
          <w:b/>
          <w:bCs/>
          <w:sz w:val="22"/>
          <w:szCs w:val="22"/>
        </w:rPr>
      </w:pPr>
      <w:r w:rsidRPr="00BF76C5">
        <w:rPr>
          <w:rFonts w:ascii="Arial Narrow" w:hAnsi="Arial Narrow" w:cs="Arial Narrow"/>
          <w:b/>
          <w:bCs/>
          <w:sz w:val="22"/>
          <w:szCs w:val="22"/>
        </w:rPr>
        <w:t>Úrad vlády SR</w:t>
      </w:r>
    </w:p>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b/>
          <w:bCs/>
          <w:sz w:val="22"/>
          <w:szCs w:val="22"/>
        </w:rPr>
      </w:pPr>
      <w:r w:rsidRPr="00F90571">
        <w:rPr>
          <w:rFonts w:ascii="Arial Narrow" w:hAnsi="Arial Narrow" w:cs="Arial Narrow"/>
          <w:color w:val="000000"/>
          <w:sz w:val="22"/>
          <w:szCs w:val="22"/>
        </w:rPr>
        <w:t>Výdavkami Úradu vlády SR na rok 2011 sa zabezpečujú prostriedky na riešenie protipovodňovej ochrany, podporu menšinovej kultúrnej politiky, na riešenie problematiky rómskych komunít, na zabezpečenie prevádzky vládnej siete Govnet a Ústredného portálu verejnej správy, ako aj na trvalý Euro Info servis pre občanov SR v súvislosti s členstvom SR v eurozóne. Pre Správu zariadení Úradu vlády SR sa zabezpečujú prostriedky na chod účelových zariadení v oblasti poskytovania služieb, na správu a údržbu objektov ÚV SR, na obstaranie a správu hnuteľného majetku pre ÚV SR a na obstaranie hmotného a nehmotného majetku. V rámci výdavkov Úradu pre Slovákov žijúcich v zahraničí sa rozpočtujú predovšetkým prostriedky na podporu aktivít Slovákov žijúcich v zahraničí.</w:t>
      </w:r>
    </w:p>
    <w:p w:rsidR="001E5B24" w:rsidP="001E5B24">
      <w:pPr>
        <w:bidi w:val="0"/>
        <w:jc w:val="both"/>
        <w:rPr>
          <w:rFonts w:ascii="Arial Narrow" w:hAnsi="Arial Narrow" w:cs="Arial Narrow"/>
          <w:b/>
          <w:bCs/>
          <w:sz w:val="22"/>
          <w:szCs w:val="22"/>
        </w:rPr>
      </w:pP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405"/>
        <w:gridCol w:w="957"/>
        <w:gridCol w:w="956"/>
        <w:gridCol w:w="956"/>
        <w:gridCol w:w="956"/>
        <w:gridCol w:w="956"/>
        <w:gridCol w:w="956"/>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tcPr>
          <w:p w:rsidR="001E5B24" w:rsidRPr="00F90571" w:rsidP="001E5B24">
            <w:pPr>
              <w:bidi w:val="0"/>
              <w:rPr>
                <w:rFonts w:ascii="Arial Narrow" w:hAnsi="Arial Narrow" w:cs="Arial Narrow"/>
                <w:b/>
                <w:bCs/>
                <w:color w:val="000000"/>
                <w:sz w:val="16"/>
                <w:szCs w:val="16"/>
              </w:rPr>
            </w:pPr>
            <w:r w:rsidRPr="00F90571">
              <w:rPr>
                <w:rFonts w:ascii="Arial Narrow" w:hAnsi="Arial Narrow" w:cs="Arial Narrow"/>
                <w:b/>
                <w:bCs/>
                <w:color w:val="000000"/>
                <w:sz w:val="16"/>
                <w:szCs w:val="16"/>
              </w:rPr>
              <w:t>Zdroje príslušnej kapitoly</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39 008</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43 237</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27 367</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63 872</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26 226</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tcPr>
          <w:p w:rsidR="001E5B24" w:rsidRPr="00F90571" w:rsidP="001E5B24">
            <w:pPr>
              <w:bidi w:val="0"/>
              <w:jc w:val="right"/>
              <w:rPr>
                <w:rFonts w:ascii="Arial Narrow" w:hAnsi="Arial Narrow" w:cs="Arial Narrow"/>
                <w:b/>
                <w:bCs/>
                <w:color w:val="000000"/>
                <w:sz w:val="16"/>
                <w:szCs w:val="16"/>
              </w:rPr>
            </w:pPr>
            <w:r w:rsidRPr="00F90571">
              <w:rPr>
                <w:rFonts w:ascii="Arial Narrow" w:hAnsi="Arial Narrow" w:cs="Arial Narrow"/>
                <w:b/>
                <w:bCs/>
                <w:color w:val="000000"/>
                <w:sz w:val="16"/>
                <w:szCs w:val="16"/>
              </w:rPr>
              <w:t>26 226</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rPr>
                <w:rFonts w:ascii="Arial Narrow" w:hAnsi="Arial Narrow" w:cs="Arial Narrow"/>
                <w:color w:val="000000"/>
                <w:sz w:val="16"/>
                <w:szCs w:val="16"/>
              </w:rPr>
            </w:pPr>
            <w:r w:rsidRPr="00F90571">
              <w:rPr>
                <w:rFonts w:ascii="Arial Narrow" w:hAnsi="Arial Narrow" w:cs="Arial Narrow"/>
                <w:color w:val="000000"/>
                <w:sz w:val="16"/>
                <w:szCs w:val="16"/>
              </w:rPr>
              <w:t>z toho:</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 </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rPr>
                <w:rFonts w:ascii="Arial Narrow" w:hAnsi="Arial Narrow" w:cs="Arial Narrow"/>
                <w:color w:val="000000"/>
                <w:sz w:val="16"/>
                <w:szCs w:val="16"/>
              </w:rPr>
            </w:pPr>
            <w:r w:rsidRPr="00F90571">
              <w:rPr>
                <w:rFonts w:ascii="Arial Narrow" w:hAnsi="Arial Narrow" w:cs="Arial Narrow"/>
                <w:color w:val="000000"/>
                <w:sz w:val="16"/>
                <w:szCs w:val="16"/>
              </w:rPr>
              <w:t xml:space="preserve">rozpočtové zdroje kapitoly </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35 566</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38 201</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26 993</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63 770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26 226</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26 226</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rPr>
                <w:rFonts w:ascii="Arial Narrow" w:hAnsi="Arial Narrow" w:cs="Arial Narrow"/>
                <w:color w:val="000000"/>
                <w:sz w:val="16"/>
                <w:szCs w:val="16"/>
              </w:rPr>
            </w:pPr>
            <w:r w:rsidRPr="00F90571">
              <w:rPr>
                <w:rFonts w:ascii="Arial Narrow" w:hAnsi="Arial Narrow" w:cs="Arial Narrow"/>
                <w:color w:val="000000"/>
                <w:sz w:val="16"/>
                <w:szCs w:val="16"/>
              </w:rPr>
              <w:t>presun z minulých rokov §8</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1 286</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1 234</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rPr>
                <w:rFonts w:ascii="Arial Narrow" w:hAnsi="Arial Narrow" w:cs="Arial Narrow"/>
                <w:color w:val="000000"/>
                <w:sz w:val="16"/>
                <w:szCs w:val="16"/>
              </w:rPr>
            </w:pPr>
            <w:r w:rsidRPr="00F90571">
              <w:rPr>
                <w:rFonts w:ascii="Arial Narrow" w:hAnsi="Arial Narrow" w:cs="Arial Narrow"/>
                <w:color w:val="000000"/>
                <w:sz w:val="16"/>
                <w:szCs w:val="16"/>
              </w:rPr>
              <w:t xml:space="preserve">zdroje EÚ vrátane spolufinancovania: </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1 862</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3 604</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r>
      <w:tr>
        <w:tblPrEx>
          <w:tblW w:w="4962" w:type="pct"/>
          <w:tblInd w:w="70" w:type="dxa"/>
          <w:tblCellMar>
            <w:left w:w="70" w:type="dxa"/>
            <w:right w:w="70" w:type="dxa"/>
          </w:tblCellMar>
          <w:tblLook w:val="00A0"/>
        </w:tblPrEx>
        <w:trPr>
          <w:trHeight w:val="239"/>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90571" w:rsidP="001E5B24">
            <w:pPr>
              <w:bidi w:val="0"/>
              <w:rPr>
                <w:rFonts w:ascii="Arial Narrow" w:hAnsi="Arial Narrow" w:cs="Arial Narrow"/>
                <w:color w:val="000000"/>
                <w:sz w:val="16"/>
                <w:szCs w:val="16"/>
              </w:rPr>
            </w:pPr>
            <w:r>
              <w:rPr>
                <w:rFonts w:ascii="Arial Narrow" w:hAnsi="Arial Narrow" w:cs="Arial Narrow"/>
                <w:color w:val="000000"/>
                <w:sz w:val="16"/>
                <w:szCs w:val="16"/>
              </w:rPr>
              <w:t>iné zdroje*</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294</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198</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374</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102</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F90571" w:rsidP="001E5B24">
            <w:pPr>
              <w:bidi w:val="0"/>
              <w:jc w:val="right"/>
              <w:rPr>
                <w:rFonts w:ascii="Arial Narrow" w:hAnsi="Arial Narrow" w:cs="Arial Narrow"/>
                <w:color w:val="000000"/>
                <w:sz w:val="16"/>
                <w:szCs w:val="16"/>
              </w:rPr>
            </w:pPr>
            <w:r w:rsidRPr="00F90571">
              <w:rPr>
                <w:rFonts w:ascii="Arial Narrow" w:hAnsi="Arial Narrow" w:cs="Arial Narrow"/>
                <w:color w:val="000000"/>
                <w:sz w:val="16"/>
                <w:szCs w:val="16"/>
              </w:rPr>
              <w:t>0</w:t>
            </w:r>
          </w:p>
        </w:tc>
      </w:tr>
    </w:tbl>
    <w:p w:rsidR="001E5B24" w:rsidRPr="00BF76C5" w:rsidP="001E5B24">
      <w:pPr>
        <w:bidi w:val="0"/>
        <w:jc w:val="both"/>
        <w:rPr>
          <w:rFonts w:ascii="Arial Narrow" w:hAnsi="Arial Narrow" w:cs="Arial Narrow"/>
          <w:sz w:val="14"/>
          <w:szCs w:val="14"/>
        </w:rPr>
      </w:pPr>
      <w:r w:rsidRPr="00BF76C5">
        <w:rPr>
          <w:rFonts w:ascii="Arial Narrow" w:hAnsi="Arial Narrow" w:cs="Arial Narrow"/>
          <w:sz w:val="14"/>
          <w:szCs w:val="14"/>
        </w:rPr>
        <w:t>* iné zdroje zo zahraničia a mimorozpočtové prostriedky (finančný mechanizmus EHP a Nórsky finančný mechanizmus)</w:t>
      </w:r>
    </w:p>
    <w:p w:rsidR="001E5B24" w:rsidRPr="00BF76C5" w:rsidP="001E5B24">
      <w:pPr>
        <w:bidi w:val="0"/>
        <w:jc w:val="both"/>
        <w:rPr>
          <w:rFonts w:ascii="Arial Narrow" w:hAnsi="Arial Narrow" w:cs="Arial Narrow"/>
          <w:sz w:val="16"/>
          <w:szCs w:val="16"/>
        </w:rPr>
      </w:pPr>
    </w:p>
    <w:p w:rsidR="001E5B24" w:rsidRPr="00F90571" w:rsidP="001E5B24">
      <w:pPr>
        <w:bidi w:val="0"/>
        <w:ind w:firstLine="708"/>
        <w:jc w:val="both"/>
        <w:rPr>
          <w:rFonts w:ascii="Arial Narrow" w:hAnsi="Arial Narrow" w:cs="Arial Narrow"/>
          <w:sz w:val="22"/>
          <w:szCs w:val="22"/>
        </w:rPr>
      </w:pPr>
      <w:r w:rsidRPr="00F90571">
        <w:rPr>
          <w:rFonts w:ascii="Arial Narrow" w:hAnsi="Arial Narrow" w:cs="Arial Narrow"/>
          <w:color w:val="000000"/>
          <w:sz w:val="22"/>
          <w:szCs w:val="22"/>
        </w:rPr>
        <w:t>Výdavky kapitoly v roku 2011 sú rozpočtované v hodnote 6</w:t>
      </w:r>
      <w:r>
        <w:rPr>
          <w:rFonts w:ascii="Arial Narrow" w:hAnsi="Arial Narrow" w:cs="Arial Narrow"/>
          <w:color w:val="000000"/>
          <w:sz w:val="22"/>
          <w:szCs w:val="22"/>
        </w:rPr>
        <w:t xml:space="preserve">3,7 mil. eur, čo je v porovnaní so schváleným rozpočtom roku </w:t>
      </w:r>
      <w:r w:rsidRPr="00F90571">
        <w:rPr>
          <w:rFonts w:ascii="Arial Narrow" w:hAnsi="Arial Narrow" w:cs="Arial Narrow"/>
          <w:color w:val="000000"/>
          <w:sz w:val="22"/>
          <w:szCs w:val="22"/>
        </w:rPr>
        <w:t>201</w:t>
      </w:r>
      <w:r>
        <w:rPr>
          <w:rFonts w:ascii="Arial Narrow" w:hAnsi="Arial Narrow" w:cs="Arial Narrow"/>
          <w:color w:val="000000"/>
          <w:sz w:val="22"/>
          <w:szCs w:val="22"/>
        </w:rPr>
        <w:t>0</w:t>
      </w:r>
      <w:r w:rsidRPr="00F90571">
        <w:rPr>
          <w:rFonts w:ascii="Arial Narrow" w:hAnsi="Arial Narrow" w:cs="Arial Narrow"/>
          <w:color w:val="000000"/>
          <w:sz w:val="22"/>
          <w:szCs w:val="22"/>
        </w:rPr>
        <w:t xml:space="preserve"> viac o 36,8 mil. </w:t>
      </w:r>
      <w:r>
        <w:rPr>
          <w:rFonts w:ascii="Arial Narrow" w:hAnsi="Arial Narrow" w:cs="Arial Narrow"/>
          <w:color w:val="000000"/>
          <w:sz w:val="22"/>
          <w:szCs w:val="22"/>
        </w:rPr>
        <w:t xml:space="preserve">eur, </w:t>
      </w:r>
      <w:r w:rsidR="007C7DA8">
        <w:rPr>
          <w:rFonts w:ascii="Arial Narrow" w:hAnsi="Arial Narrow" w:cs="Arial Narrow"/>
          <w:color w:val="000000"/>
          <w:sz w:val="22"/>
          <w:szCs w:val="22"/>
        </w:rPr>
        <w:t>t. j.</w:t>
      </w:r>
      <w:r>
        <w:rPr>
          <w:rFonts w:ascii="Arial Narrow" w:hAnsi="Arial Narrow" w:cs="Arial Narrow"/>
          <w:color w:val="000000"/>
          <w:sz w:val="22"/>
          <w:szCs w:val="22"/>
        </w:rPr>
        <w:t xml:space="preserve"> o 136 %</w:t>
      </w:r>
      <w:r w:rsidRPr="00F90571">
        <w:rPr>
          <w:rFonts w:ascii="Arial Narrow" w:hAnsi="Arial Narrow" w:cs="Arial Narrow"/>
          <w:color w:val="000000"/>
          <w:sz w:val="22"/>
          <w:szCs w:val="22"/>
        </w:rPr>
        <w:t xml:space="preserve">. </w:t>
      </w:r>
      <w:r w:rsidRPr="00F90571">
        <w:rPr>
          <w:rFonts w:ascii="Arial Narrow" w:hAnsi="Arial Narrow" w:cs="Arial Narrow"/>
          <w:sz w:val="22"/>
          <w:szCs w:val="22"/>
        </w:rPr>
        <w:t>Toto zvýšenie sa týka najmä výdavkov na bežné transfery v súvislosti s prostriedkami rozpočtovanými na protipovodňovú ochranu</w:t>
      </w:r>
      <w:r>
        <w:rPr>
          <w:rFonts w:ascii="Arial Narrow" w:hAnsi="Arial Narrow" w:cs="Arial Narrow"/>
          <w:sz w:val="22"/>
          <w:szCs w:val="22"/>
        </w:rPr>
        <w:t xml:space="preserve"> v sume 33,5 mil. eur</w:t>
      </w:r>
      <w:r w:rsidRPr="00F90571">
        <w:rPr>
          <w:rFonts w:ascii="Arial Narrow" w:hAnsi="Arial Narrow" w:cs="Arial Narrow"/>
          <w:sz w:val="22"/>
          <w:szCs w:val="22"/>
        </w:rPr>
        <w:t>, ako aj novými kompetenciami podpredsedu vlády SR pre menšiny</w:t>
      </w:r>
      <w:r>
        <w:rPr>
          <w:rFonts w:ascii="Arial Narrow" w:hAnsi="Arial Narrow" w:cs="Arial Narrow"/>
          <w:sz w:val="22"/>
          <w:szCs w:val="22"/>
        </w:rPr>
        <w:t xml:space="preserve"> zabezpečenými zdrojmi v sume 5,5 mil. eur (menšinová politika a granty)</w:t>
      </w:r>
      <w:r w:rsidRPr="00F90571">
        <w:rPr>
          <w:rFonts w:ascii="Arial Narrow" w:hAnsi="Arial Narrow" w:cs="Arial Narrow"/>
          <w:sz w:val="22"/>
          <w:szCs w:val="22"/>
        </w:rPr>
        <w:t>.</w:t>
      </w:r>
      <w:r>
        <w:rPr>
          <w:rFonts w:ascii="Arial Narrow" w:hAnsi="Arial Narrow" w:cs="Arial Narrow"/>
          <w:sz w:val="22"/>
          <w:szCs w:val="22"/>
        </w:rPr>
        <w:t xml:space="preserve"> Zároveň sa neznižovali výdavky na rezervu predsedníčky vlády SR v sume 1,66 mil. eur a ani výdavky pre podpredsedu vlády SR v sume 1,06 mil. eur.</w:t>
      </w:r>
      <w:r w:rsidRPr="00F90571">
        <w:rPr>
          <w:rFonts w:ascii="Arial Narrow" w:hAnsi="Arial Narrow" w:cs="Arial Narrow"/>
          <w:sz w:val="22"/>
          <w:szCs w:val="22"/>
        </w:rPr>
        <w:t xml:space="preserve"> </w:t>
      </w:r>
      <w:r>
        <w:rPr>
          <w:rFonts w:ascii="Arial Narrow" w:hAnsi="Arial Narrow" w:cs="Arial Narrow"/>
          <w:sz w:val="22"/>
          <w:szCs w:val="22"/>
        </w:rPr>
        <w:t>Po odpočítaní uvedených položiek dochádza k poklesu výdavkov na rok 2011 o 10,1%.</w:t>
      </w:r>
    </w:p>
    <w:p w:rsidR="001E5B24" w:rsidP="001E5B24">
      <w:pPr>
        <w:bidi w:val="0"/>
        <w:ind w:firstLine="708"/>
        <w:jc w:val="both"/>
        <w:rPr>
          <w:rFonts w:ascii="Arial Narrow" w:hAnsi="Arial Narrow" w:cs="Arial Narrow"/>
          <w:sz w:val="22"/>
          <w:szCs w:val="22"/>
        </w:rPr>
      </w:pPr>
    </w:p>
    <w:p w:rsidR="001E5B24" w:rsidRPr="00F90571" w:rsidP="001E5B24">
      <w:pPr>
        <w:bidi w:val="0"/>
        <w:ind w:firstLine="708"/>
        <w:jc w:val="both"/>
        <w:rPr>
          <w:rFonts w:ascii="Arial Narrow" w:hAnsi="Arial Narrow" w:cs="Arial Narrow"/>
          <w:sz w:val="22"/>
          <w:szCs w:val="22"/>
        </w:rPr>
      </w:pPr>
      <w:r w:rsidRPr="00F90571">
        <w:rPr>
          <w:rFonts w:ascii="Arial Narrow" w:hAnsi="Arial Narrow" w:cs="Arial Narrow"/>
          <w:sz w:val="22"/>
          <w:szCs w:val="22"/>
        </w:rPr>
        <w:t xml:space="preserve">Objem osobných výdavkov sa </w:t>
      </w:r>
      <w:r w:rsidR="00475F5B">
        <w:rPr>
          <w:rFonts w:ascii="Arial Narrow" w:hAnsi="Arial Narrow" w:cs="Arial Narrow"/>
          <w:sz w:val="22"/>
          <w:szCs w:val="22"/>
        </w:rPr>
        <w:t>na</w:t>
      </w:r>
      <w:r w:rsidRPr="00F90571">
        <w:rPr>
          <w:rFonts w:ascii="Arial Narrow" w:hAnsi="Arial Narrow" w:cs="Arial Narrow"/>
          <w:sz w:val="22"/>
          <w:szCs w:val="22"/>
        </w:rPr>
        <w:t xml:space="preserve"> rok 2011 rozpočtuje na úrovni 7,04 mil. </w:t>
      </w:r>
      <w:r>
        <w:rPr>
          <w:rFonts w:ascii="Arial Narrow" w:hAnsi="Arial Narrow" w:cs="Arial Narrow"/>
          <w:sz w:val="22"/>
          <w:szCs w:val="22"/>
        </w:rPr>
        <w:t>eur</w:t>
      </w:r>
      <w:r w:rsidRPr="00F90571">
        <w:rPr>
          <w:rFonts w:ascii="Arial Narrow" w:hAnsi="Arial Narrow" w:cs="Arial Narrow"/>
          <w:sz w:val="22"/>
          <w:szCs w:val="22"/>
        </w:rPr>
        <w:t xml:space="preserve">, čo v porovnaní so schváleným rokom 2010 predstavuje pokles o 9,75 % (760 tis. </w:t>
      </w:r>
      <w:r>
        <w:rPr>
          <w:rFonts w:ascii="Arial Narrow" w:hAnsi="Arial Narrow" w:cs="Arial Narrow"/>
          <w:sz w:val="22"/>
          <w:szCs w:val="22"/>
        </w:rPr>
        <w:t>eur</w:t>
      </w:r>
      <w:r w:rsidRPr="00F90571">
        <w:rPr>
          <w:rFonts w:ascii="Arial Narrow" w:hAnsi="Arial Narrow" w:cs="Arial Narrow"/>
          <w:sz w:val="22"/>
          <w:szCs w:val="22"/>
        </w:rPr>
        <w:t xml:space="preserve">). Medziročný pokles osobných výdavkov je ovplyvnený viazaním osobných výdavkov na úrovni 10 % </w:t>
      </w:r>
      <w:r w:rsidR="00475F5B">
        <w:rPr>
          <w:rFonts w:ascii="Arial Narrow" w:hAnsi="Arial Narrow" w:cs="Arial Narrow"/>
          <w:sz w:val="22"/>
          <w:szCs w:val="22"/>
        </w:rPr>
        <w:t>pre</w:t>
      </w:r>
      <w:r w:rsidRPr="00F90571">
        <w:rPr>
          <w:rFonts w:ascii="Arial Narrow" w:hAnsi="Arial Narrow" w:cs="Arial Narrow"/>
          <w:sz w:val="22"/>
          <w:szCs w:val="22"/>
        </w:rPr>
        <w:t xml:space="preserve"> štátnych zamestnancov a zamestnancov pri výkone práce vo verejnom záujme pri zohľadnení dopočtu 1% valorizácie z roku 2010. </w:t>
      </w:r>
    </w:p>
    <w:p w:rsidR="001E5B24" w:rsidRPr="00F90571" w:rsidP="001E5B24">
      <w:pPr>
        <w:bidi w:val="0"/>
        <w:ind w:firstLine="708"/>
        <w:jc w:val="both"/>
        <w:rPr>
          <w:rFonts w:ascii="Arial Narrow" w:hAnsi="Arial Narrow" w:cs="Arial Narrow"/>
          <w:sz w:val="22"/>
          <w:szCs w:val="22"/>
        </w:rPr>
      </w:pPr>
    </w:p>
    <w:p w:rsidR="001E5B24" w:rsidRPr="00F90571" w:rsidP="001E5B24">
      <w:pPr>
        <w:bidi w:val="0"/>
        <w:ind w:firstLine="708"/>
        <w:jc w:val="both"/>
        <w:rPr>
          <w:rFonts w:ascii="Arial Narrow" w:hAnsi="Arial Narrow" w:cs="Arial Narrow"/>
          <w:sz w:val="22"/>
          <w:szCs w:val="22"/>
        </w:rPr>
      </w:pPr>
      <w:r w:rsidRPr="00F90571">
        <w:rPr>
          <w:rFonts w:ascii="Arial Narrow" w:hAnsi="Arial Narrow" w:cs="Arial Narrow"/>
          <w:sz w:val="22"/>
          <w:szCs w:val="22"/>
        </w:rPr>
        <w:t>Návrh rozpočtu osobných výdavkov nezohľadňuje novelu kompetenčného zákona, ktorým prechádza pôsobnosť v oblasti koordinácie realizácie politík EU na Ministerstvo zahraničných vecí SR v termíne od 1.11.2010 , pôsobnosť v oblasti koordinácie využívania finančných prostriedkov z f</w:t>
      </w:r>
      <w:r>
        <w:rPr>
          <w:rFonts w:ascii="Arial Narrow" w:hAnsi="Arial Narrow" w:cs="Arial Narrow"/>
          <w:sz w:val="22"/>
          <w:szCs w:val="22"/>
        </w:rPr>
        <w:t>ondov EÚ</w:t>
      </w:r>
      <w:r w:rsidRPr="00F90571">
        <w:rPr>
          <w:rFonts w:ascii="Arial Narrow" w:hAnsi="Arial Narrow" w:cs="Arial Narrow"/>
          <w:sz w:val="22"/>
          <w:szCs w:val="22"/>
        </w:rPr>
        <w:t xml:space="preserve"> na Ministerstvo dopravy, </w:t>
      </w:r>
      <w:r>
        <w:rPr>
          <w:rFonts w:ascii="Arial Narrow" w:hAnsi="Arial Narrow" w:cs="Arial Narrow"/>
          <w:sz w:val="22"/>
          <w:szCs w:val="22"/>
        </w:rPr>
        <w:t>pôšt a telekomunikácií</w:t>
      </w:r>
      <w:r w:rsidRPr="00F90571">
        <w:rPr>
          <w:rFonts w:ascii="Arial Narrow" w:hAnsi="Arial Narrow" w:cs="Arial Narrow"/>
          <w:sz w:val="22"/>
          <w:szCs w:val="22"/>
        </w:rPr>
        <w:t xml:space="preserve"> SR v termíne od 1.1.2011 a ani prechádzajúce kompetencie na podpredsedu vlády v Úrade vlády SR v oblasti  podpory kultúry národnostných menšín z Ministerstva kultúry </w:t>
      </w:r>
      <w:r>
        <w:rPr>
          <w:rFonts w:ascii="Arial Narrow" w:hAnsi="Arial Narrow" w:cs="Arial Narrow"/>
          <w:sz w:val="22"/>
          <w:szCs w:val="22"/>
        </w:rPr>
        <w:t xml:space="preserve">a cestovného ruchu </w:t>
      </w:r>
      <w:r w:rsidRPr="00F90571">
        <w:rPr>
          <w:rFonts w:ascii="Arial Narrow" w:hAnsi="Arial Narrow" w:cs="Arial Narrow"/>
          <w:sz w:val="22"/>
          <w:szCs w:val="22"/>
        </w:rPr>
        <w:t>SR v termíne od 1.11.2010.</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Vo výdavkoch na</w:t>
      </w:r>
      <w:r w:rsidRPr="00366554">
        <w:rPr>
          <w:rFonts w:ascii="Arial Narrow" w:hAnsi="Arial Narrow" w:cs="Arial Narrow"/>
          <w:sz w:val="22"/>
          <w:szCs w:val="22"/>
        </w:rPr>
        <w:t> tovar</w:t>
      </w:r>
      <w:r>
        <w:rPr>
          <w:rFonts w:ascii="Arial Narrow" w:hAnsi="Arial Narrow" w:cs="Arial Narrow"/>
          <w:sz w:val="22"/>
          <w:szCs w:val="22"/>
        </w:rPr>
        <w:t>y</w:t>
      </w:r>
      <w:r w:rsidRPr="00366554">
        <w:rPr>
          <w:rFonts w:ascii="Arial Narrow" w:hAnsi="Arial Narrow" w:cs="Arial Narrow"/>
          <w:sz w:val="22"/>
          <w:szCs w:val="22"/>
        </w:rPr>
        <w:t xml:space="preserve"> a služb</w:t>
      </w:r>
      <w:r>
        <w:rPr>
          <w:rFonts w:ascii="Arial Narrow" w:hAnsi="Arial Narrow" w:cs="Arial Narrow"/>
          <w:sz w:val="22"/>
          <w:szCs w:val="22"/>
        </w:rPr>
        <w:t>y</w:t>
      </w:r>
      <w:r w:rsidRPr="00366554">
        <w:rPr>
          <w:rFonts w:ascii="Arial Narrow" w:hAnsi="Arial Narrow" w:cs="Arial Narrow"/>
          <w:sz w:val="22"/>
          <w:szCs w:val="22"/>
        </w:rPr>
        <w:t xml:space="preserve"> </w:t>
      </w:r>
      <w:r>
        <w:rPr>
          <w:rFonts w:ascii="Arial Narrow" w:hAnsi="Arial Narrow" w:cs="Arial Narrow"/>
          <w:sz w:val="22"/>
          <w:szCs w:val="22"/>
        </w:rPr>
        <w:t xml:space="preserve">v sume 6,68 mil. eur na rok 2011 je nárast </w:t>
      </w:r>
      <w:r w:rsidRPr="00366554">
        <w:rPr>
          <w:rFonts w:ascii="Arial Narrow" w:hAnsi="Arial Narrow" w:cs="Arial Narrow"/>
          <w:sz w:val="22"/>
          <w:szCs w:val="22"/>
        </w:rPr>
        <w:t>o</w:t>
      </w:r>
      <w:r>
        <w:rPr>
          <w:rFonts w:ascii="Arial Narrow" w:hAnsi="Arial Narrow" w:cs="Arial Narrow"/>
          <w:sz w:val="22"/>
          <w:szCs w:val="22"/>
        </w:rPr>
        <w:t xml:space="preserve"> 8,38 </w:t>
      </w:r>
      <w:r w:rsidRPr="00366554">
        <w:rPr>
          <w:rFonts w:ascii="Arial Narrow" w:hAnsi="Arial Narrow" w:cs="Arial Narrow"/>
          <w:sz w:val="22"/>
          <w:szCs w:val="22"/>
        </w:rPr>
        <w:t>%</w:t>
      </w:r>
      <w:r>
        <w:rPr>
          <w:rFonts w:ascii="Arial Narrow" w:hAnsi="Arial Narrow" w:cs="Arial Narrow"/>
          <w:sz w:val="22"/>
          <w:szCs w:val="22"/>
        </w:rPr>
        <w:t xml:space="preserve"> oproti schválenému rozpočtu 2010</w:t>
      </w:r>
      <w:r w:rsidRPr="00366554">
        <w:rPr>
          <w:rFonts w:ascii="Arial Narrow" w:hAnsi="Arial Narrow" w:cs="Arial Narrow"/>
          <w:sz w:val="22"/>
          <w:szCs w:val="22"/>
        </w:rPr>
        <w:t xml:space="preserve">, </w:t>
      </w:r>
      <w:r>
        <w:rPr>
          <w:rFonts w:ascii="Arial Narrow" w:hAnsi="Arial Narrow" w:cs="Arial Narrow"/>
          <w:sz w:val="22"/>
          <w:szCs w:val="22"/>
        </w:rPr>
        <w:t xml:space="preserve">a to z dôvodu nových kompetencií podpredsedu vlády SR pre ľudské práva a menšiny. </w:t>
      </w:r>
    </w:p>
    <w:p w:rsidR="001E5B24" w:rsidP="001E5B24">
      <w:pPr>
        <w:bidi w:val="0"/>
        <w:ind w:firstLine="708"/>
        <w:jc w:val="both"/>
        <w:rPr>
          <w:rFonts w:ascii="Arial Narrow" w:hAnsi="Arial Narrow" w:cs="Arial Narrow"/>
          <w:sz w:val="22"/>
          <w:szCs w:val="22"/>
        </w:rPr>
      </w:pPr>
    </w:p>
    <w:p w:rsidR="001E5B24" w:rsidRPr="00366554"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366554">
        <w:rPr>
          <w:rFonts w:ascii="Arial Narrow" w:hAnsi="Arial Narrow" w:cs="Arial Narrow"/>
          <w:sz w:val="22"/>
          <w:szCs w:val="22"/>
        </w:rPr>
        <w:t xml:space="preserve"> bežných transferoch </w:t>
      </w:r>
      <w:r>
        <w:rPr>
          <w:rFonts w:ascii="Arial Narrow" w:hAnsi="Arial Narrow" w:cs="Arial Narrow"/>
          <w:sz w:val="22"/>
          <w:szCs w:val="22"/>
        </w:rPr>
        <w:t xml:space="preserve">v sume 49 mil. eur na rok 2011 je oproti schválenému rozpočtu 2010 nárast o 37 mil. eur, </w:t>
      </w:r>
      <w:r w:rsidR="007C7DA8">
        <w:rPr>
          <w:rFonts w:ascii="Arial Narrow" w:hAnsi="Arial Narrow" w:cs="Arial Narrow"/>
          <w:sz w:val="22"/>
          <w:szCs w:val="22"/>
        </w:rPr>
        <w:t>t. j.</w:t>
      </w:r>
      <w:r>
        <w:rPr>
          <w:rFonts w:ascii="Arial Narrow" w:hAnsi="Arial Narrow" w:cs="Arial Narrow"/>
          <w:sz w:val="22"/>
          <w:szCs w:val="22"/>
        </w:rPr>
        <w:t xml:space="preserve"> </w:t>
      </w:r>
      <w:r w:rsidRPr="00366554">
        <w:rPr>
          <w:rFonts w:ascii="Arial Narrow" w:hAnsi="Arial Narrow" w:cs="Arial Narrow"/>
          <w:sz w:val="22"/>
          <w:szCs w:val="22"/>
        </w:rPr>
        <w:t>o</w:t>
      </w:r>
      <w:r>
        <w:rPr>
          <w:rFonts w:ascii="Arial Narrow" w:hAnsi="Arial Narrow" w:cs="Arial Narrow"/>
          <w:sz w:val="22"/>
          <w:szCs w:val="22"/>
        </w:rPr>
        <w:t> 308</w:t>
      </w:r>
      <w:r w:rsidRPr="00366554">
        <w:rPr>
          <w:rFonts w:ascii="Arial Narrow" w:hAnsi="Arial Narrow" w:cs="Arial Narrow"/>
          <w:sz w:val="22"/>
          <w:szCs w:val="22"/>
        </w:rPr>
        <w:t xml:space="preserve">%, </w:t>
      </w:r>
      <w:r>
        <w:rPr>
          <w:rFonts w:ascii="Arial Narrow" w:hAnsi="Arial Narrow" w:cs="Arial Narrow"/>
          <w:sz w:val="22"/>
          <w:szCs w:val="22"/>
        </w:rPr>
        <w:t>v dôsledku riešenia protipovodňovej ochrany v sume 33,5 mil. eur a rozpočtovania grantov od roku 2011 v sume 3,5 mil. eur.</w:t>
      </w:r>
    </w:p>
    <w:p w:rsidR="001E5B24" w:rsidRPr="00F90571" w:rsidP="001E5B24">
      <w:pPr>
        <w:bidi w:val="0"/>
        <w:ind w:firstLine="708"/>
        <w:jc w:val="both"/>
        <w:rPr>
          <w:rFonts w:ascii="Arial Narrow" w:hAnsi="Arial Narrow" w:cs="Arial Narrow"/>
          <w:sz w:val="22"/>
          <w:szCs w:val="22"/>
        </w:rPr>
      </w:pPr>
    </w:p>
    <w:p w:rsidR="001E5B24" w:rsidRPr="00F90571" w:rsidP="001E5B24">
      <w:pPr>
        <w:bidi w:val="0"/>
        <w:ind w:firstLine="708"/>
        <w:jc w:val="both"/>
        <w:rPr>
          <w:rFonts w:ascii="Arial Narrow" w:hAnsi="Arial Narrow" w:cs="Arial Narrow"/>
          <w:sz w:val="22"/>
          <w:szCs w:val="22"/>
        </w:rPr>
      </w:pPr>
      <w:r w:rsidRPr="00F90571">
        <w:rPr>
          <w:rFonts w:ascii="Arial Narrow" w:hAnsi="Arial Narrow" w:cs="Arial Narrow"/>
          <w:sz w:val="22"/>
          <w:szCs w:val="22"/>
        </w:rPr>
        <w:t xml:space="preserve">Objem kapitálových výdavkov </w:t>
      </w:r>
      <w:r>
        <w:rPr>
          <w:rFonts w:ascii="Arial Narrow" w:hAnsi="Arial Narrow" w:cs="Arial Narrow"/>
          <w:sz w:val="22"/>
          <w:szCs w:val="22"/>
        </w:rPr>
        <w:t xml:space="preserve">v sume 1 mil. eur na </w:t>
      </w:r>
      <w:r w:rsidRPr="00F90571">
        <w:rPr>
          <w:rFonts w:ascii="Arial Narrow" w:hAnsi="Arial Narrow" w:cs="Arial Narrow"/>
          <w:sz w:val="22"/>
          <w:szCs w:val="22"/>
        </w:rPr>
        <w:t xml:space="preserve">rok 2011 zostáva na úrovni </w:t>
      </w:r>
      <w:r>
        <w:rPr>
          <w:rFonts w:ascii="Arial Narrow" w:hAnsi="Arial Narrow" w:cs="Arial Narrow"/>
          <w:sz w:val="22"/>
          <w:szCs w:val="22"/>
        </w:rPr>
        <w:t xml:space="preserve">schváleného rozpočtu </w:t>
      </w:r>
      <w:r w:rsidRPr="00F90571">
        <w:rPr>
          <w:rFonts w:ascii="Arial Narrow" w:hAnsi="Arial Narrow" w:cs="Arial Narrow"/>
          <w:sz w:val="22"/>
          <w:szCs w:val="22"/>
        </w:rPr>
        <w:t>roku 2010 a je určený predovšetkým na nákup hmotného a nehmotného investičného majetku, softvér, kancelárske vybavenie, výpočtovú techniku, telekomunikačnú techniku, prevádzkové stroje, prístroje a zariadenia, na</w:t>
      </w:r>
      <w:r w:rsidRPr="00F90571">
        <w:rPr>
          <w:rFonts w:ascii="Arial Narrow" w:hAnsi="Arial Narrow" w:cs="Arial Narrow"/>
          <w:color w:val="FF0000"/>
          <w:sz w:val="22"/>
          <w:szCs w:val="22"/>
        </w:rPr>
        <w:t xml:space="preserve"> </w:t>
      </w:r>
      <w:r w:rsidRPr="00F90571">
        <w:rPr>
          <w:rFonts w:ascii="Arial Narrow" w:hAnsi="Arial Narrow" w:cs="Arial Narrow"/>
          <w:sz w:val="22"/>
          <w:szCs w:val="22"/>
        </w:rPr>
        <w:t xml:space="preserve">rekonštrukciu spojovacej chodby  Úradu vlády SR. V rámci kapitálových výdavkov sú </w:t>
      </w:r>
      <w:r>
        <w:rPr>
          <w:rFonts w:ascii="Arial Narrow" w:hAnsi="Arial Narrow" w:cs="Arial Narrow"/>
          <w:sz w:val="22"/>
          <w:szCs w:val="22"/>
        </w:rPr>
        <w:t xml:space="preserve">v </w:t>
      </w:r>
      <w:r w:rsidRPr="00F90571">
        <w:rPr>
          <w:rFonts w:ascii="Arial Narrow" w:hAnsi="Arial Narrow" w:cs="Arial Narrow"/>
          <w:sz w:val="22"/>
          <w:szCs w:val="22"/>
        </w:rPr>
        <w:t>kapitálov</w:t>
      </w:r>
      <w:r>
        <w:rPr>
          <w:rFonts w:ascii="Arial Narrow" w:hAnsi="Arial Narrow" w:cs="Arial Narrow"/>
          <w:sz w:val="22"/>
          <w:szCs w:val="22"/>
        </w:rPr>
        <w:t>ých</w:t>
      </w:r>
      <w:r w:rsidRPr="00F90571">
        <w:rPr>
          <w:rFonts w:ascii="Arial Narrow" w:hAnsi="Arial Narrow" w:cs="Arial Narrow"/>
          <w:sz w:val="22"/>
          <w:szCs w:val="22"/>
        </w:rPr>
        <w:t xml:space="preserve"> transfer</w:t>
      </w:r>
      <w:r>
        <w:rPr>
          <w:rFonts w:ascii="Arial Narrow" w:hAnsi="Arial Narrow" w:cs="Arial Narrow"/>
          <w:sz w:val="22"/>
          <w:szCs w:val="22"/>
        </w:rPr>
        <w:t>och</w:t>
      </w:r>
      <w:r w:rsidRPr="00F90571">
        <w:rPr>
          <w:rFonts w:ascii="Arial Narrow" w:hAnsi="Arial Narrow" w:cs="Arial Narrow"/>
          <w:sz w:val="22"/>
          <w:szCs w:val="22"/>
        </w:rPr>
        <w:t xml:space="preserve"> rozp</w:t>
      </w:r>
      <w:r>
        <w:rPr>
          <w:rFonts w:ascii="Arial Narrow" w:hAnsi="Arial Narrow" w:cs="Arial Narrow"/>
          <w:sz w:val="22"/>
          <w:szCs w:val="22"/>
        </w:rPr>
        <w:t xml:space="preserve">očtované </w:t>
      </w:r>
      <w:r w:rsidRPr="00F90571">
        <w:rPr>
          <w:rFonts w:ascii="Arial Narrow" w:hAnsi="Arial Narrow" w:cs="Arial Narrow"/>
          <w:sz w:val="22"/>
          <w:szCs w:val="22"/>
        </w:rPr>
        <w:t xml:space="preserve">prostriedky vo výške 166 tis. </w:t>
      </w:r>
      <w:r>
        <w:rPr>
          <w:rFonts w:ascii="Arial Narrow" w:hAnsi="Arial Narrow" w:cs="Arial Narrow"/>
          <w:sz w:val="22"/>
          <w:szCs w:val="22"/>
        </w:rPr>
        <w:t>eur,</w:t>
      </w:r>
      <w:r w:rsidRPr="00F90571">
        <w:rPr>
          <w:rFonts w:ascii="Arial Narrow" w:hAnsi="Arial Narrow" w:cs="Arial Narrow"/>
          <w:sz w:val="22"/>
          <w:szCs w:val="22"/>
        </w:rPr>
        <w:t xml:space="preserve"> určené na potreby rómskej komunity. </w:t>
      </w:r>
    </w:p>
    <w:p w:rsidR="001E5B24" w:rsidP="001E5B24">
      <w:pPr>
        <w:autoSpaceDE w:val="0"/>
        <w:autoSpaceDN w:val="0"/>
        <w:bidi w:val="0"/>
        <w:adjustRightInd w:val="0"/>
        <w:jc w:val="both"/>
        <w:rPr>
          <w:rFonts w:ascii="Arial Narrow" w:hAnsi="Arial Narrow" w:cs="Arial Narrow"/>
          <w:sz w:val="22"/>
          <w:szCs w:val="22"/>
        </w:rPr>
      </w:pPr>
    </w:p>
    <w:p w:rsidR="001E5B24" w:rsidP="001E5B24">
      <w:pPr>
        <w:bidi w:val="0"/>
        <w:jc w:val="both"/>
      </w:pPr>
    </w:p>
    <w:p w:rsidR="001E5B24" w:rsidP="001E5B24">
      <w:pPr>
        <w:pBdr>
          <w:bottom w:val="single" w:sz="4" w:space="1" w:color="auto"/>
        </w:pBdr>
        <w:bidi w:val="0"/>
        <w:jc w:val="both"/>
        <w:rPr>
          <w:rFonts w:ascii="Arial Narrow" w:hAnsi="Arial Narrow" w:cs="Arial Narrow"/>
          <w:b/>
          <w:bCs/>
          <w:sz w:val="22"/>
          <w:szCs w:val="22"/>
        </w:rPr>
      </w:pPr>
      <w:r w:rsidRPr="00241E7A">
        <w:rPr>
          <w:rFonts w:ascii="Arial Narrow" w:hAnsi="Arial Narrow" w:cs="Arial Narrow"/>
          <w:b/>
          <w:bCs/>
          <w:sz w:val="22"/>
          <w:szCs w:val="22"/>
        </w:rPr>
        <w:t xml:space="preserve">Kancelária Národnej rady SR </w:t>
      </w:r>
    </w:p>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b/>
          <w:bCs/>
          <w:sz w:val="22"/>
          <w:szCs w:val="22"/>
        </w:rPr>
      </w:pPr>
      <w:r w:rsidRPr="001373AA">
        <w:rPr>
          <w:rFonts w:ascii="Arial Narrow" w:hAnsi="Arial Narrow" w:cs="Arial Narrow"/>
          <w:color w:val="000000"/>
          <w:sz w:val="22"/>
          <w:szCs w:val="22"/>
        </w:rPr>
        <w:t>V rozpočte Kancelárie Národnej rady SR sú zahrnuté výdavky na plnenie funkcií a činnosť poslancov a výborov NR SR, vrátane odmien asistentom poslancov, výdavkov na prevádzku poslaneckých pracovní v areáli NR SR, ako aj kancelárií vo vybraných sídlach v rámci územia SR, výdavky na ubytovanie poslancov mimo ubytovacieho zariadenia NR SR a výdavky na činnosť poslaneckých klubov.</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05"/>
        <w:gridCol w:w="957"/>
        <w:gridCol w:w="956"/>
        <w:gridCol w:w="956"/>
        <w:gridCol w:w="956"/>
        <w:gridCol w:w="956"/>
        <w:gridCol w:w="956"/>
      </w:tblGrid>
      <w:tr>
        <w:tblPrEx>
          <w:tblW w:w="4962" w:type="pct"/>
          <w:tblInd w:w="70" w:type="dxa"/>
          <w:tblCellMar>
            <w:left w:w="70" w:type="dxa"/>
            <w:right w:w="70" w:type="dxa"/>
          </w:tblCellMar>
          <w:tblLook w:val="00A0"/>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41"/>
        </w:trPr>
        <w:tc>
          <w:tcPr>
            <w:tcW w:w="1862" w:type="pct"/>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1373AA" w:rsidP="001E5B24">
            <w:pPr>
              <w:bidi w:val="0"/>
              <w:rPr>
                <w:rFonts w:ascii="Arial Narrow" w:hAnsi="Arial Narrow" w:cs="Arial Narrow"/>
                <w:b/>
                <w:bCs/>
                <w:color w:val="000000"/>
                <w:sz w:val="16"/>
                <w:szCs w:val="16"/>
              </w:rPr>
            </w:pPr>
            <w:r w:rsidRPr="001373AA">
              <w:rPr>
                <w:rFonts w:ascii="Arial Narrow" w:hAnsi="Arial Narrow" w:cs="Arial Narrow"/>
                <w:b/>
                <w:bCs/>
                <w:color w:val="000000"/>
                <w:sz w:val="16"/>
                <w:szCs w:val="16"/>
              </w:rPr>
              <w:t>Zdroje príslušnej kapitoly</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37 683</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57 785</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41 456</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26 759</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21 766</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1373AA" w:rsidP="001E5B24">
            <w:pPr>
              <w:bidi w:val="0"/>
              <w:jc w:val="right"/>
              <w:rPr>
                <w:rFonts w:ascii="Arial Narrow" w:hAnsi="Arial Narrow" w:cs="Arial Narrow"/>
                <w:b/>
                <w:bCs/>
                <w:color w:val="000000"/>
                <w:sz w:val="16"/>
                <w:szCs w:val="16"/>
              </w:rPr>
            </w:pPr>
            <w:r w:rsidRPr="001373AA">
              <w:rPr>
                <w:rFonts w:ascii="Arial Narrow" w:hAnsi="Arial Narrow" w:cs="Arial Narrow"/>
                <w:b/>
                <w:bCs/>
                <w:color w:val="000000"/>
                <w:sz w:val="16"/>
                <w:szCs w:val="16"/>
              </w:rPr>
              <w:t>21 766</w:t>
            </w:r>
          </w:p>
        </w:tc>
      </w:tr>
      <w:tr>
        <w:tblPrEx>
          <w:tblW w:w="4962" w:type="pct"/>
          <w:tblInd w:w="70" w:type="dxa"/>
          <w:tblCellMar>
            <w:left w:w="70" w:type="dxa"/>
            <w:right w:w="70" w:type="dxa"/>
          </w:tblCellMar>
          <w:tblLook w:val="00A0"/>
        </w:tblPrEx>
        <w:trPr>
          <w:trHeight w:val="241"/>
        </w:trPr>
        <w:tc>
          <w:tcPr>
            <w:tcW w:w="186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373AA" w:rsidP="001E5B24">
            <w:pPr>
              <w:bidi w:val="0"/>
              <w:rPr>
                <w:rFonts w:ascii="Arial Narrow" w:hAnsi="Arial Narrow" w:cs="Arial Narrow"/>
                <w:color w:val="000000"/>
                <w:sz w:val="16"/>
                <w:szCs w:val="16"/>
              </w:rPr>
            </w:pPr>
            <w:r w:rsidRPr="001373AA">
              <w:rPr>
                <w:rFonts w:ascii="Arial Narrow" w:hAnsi="Arial Narrow" w:cs="Arial Narrow"/>
                <w:color w:val="000000"/>
                <w:sz w:val="16"/>
                <w:szCs w:val="16"/>
              </w:rPr>
              <w:t>z toho:</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p>
        </w:tc>
      </w:tr>
      <w:tr>
        <w:tblPrEx>
          <w:tblW w:w="4962" w:type="pct"/>
          <w:tblInd w:w="70" w:type="dxa"/>
          <w:tblCellMar>
            <w:left w:w="70" w:type="dxa"/>
            <w:right w:w="70" w:type="dxa"/>
          </w:tblCellMar>
          <w:tblLook w:val="00A0"/>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1373AA" w:rsidP="001E5B24">
            <w:pPr>
              <w:bidi w:val="0"/>
              <w:rPr>
                <w:rFonts w:ascii="Arial Narrow" w:hAnsi="Arial Narrow" w:cs="Arial Narrow"/>
                <w:color w:val="000000"/>
                <w:sz w:val="16"/>
                <w:szCs w:val="16"/>
              </w:rPr>
            </w:pPr>
            <w:r w:rsidRPr="001373AA">
              <w:rPr>
                <w:rFonts w:ascii="Arial Narrow" w:hAnsi="Arial Narrow" w:cs="Arial Narrow"/>
                <w:color w:val="000000"/>
                <w:sz w:val="16"/>
                <w:szCs w:val="16"/>
              </w:rPr>
              <w:t xml:space="preserve">rozpočtové zdroje kapitoly </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34 111</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52 239</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41 456</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26 759</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21 766</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21 766</w:t>
            </w:r>
          </w:p>
        </w:tc>
      </w:tr>
      <w:tr>
        <w:tblPrEx>
          <w:tblW w:w="4962" w:type="pct"/>
          <w:tblInd w:w="70" w:type="dxa"/>
          <w:tblCellMar>
            <w:left w:w="70" w:type="dxa"/>
            <w:right w:w="70" w:type="dxa"/>
          </w:tblCellMar>
          <w:tblLook w:val="00A0"/>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1373AA" w:rsidP="001E5B24">
            <w:pPr>
              <w:bidi w:val="0"/>
              <w:rPr>
                <w:rFonts w:ascii="Arial Narrow" w:hAnsi="Arial Narrow" w:cs="Arial Narrow"/>
                <w:color w:val="000000"/>
                <w:sz w:val="16"/>
                <w:szCs w:val="16"/>
              </w:rPr>
            </w:pPr>
            <w:r w:rsidRPr="001373AA">
              <w:rPr>
                <w:rFonts w:ascii="Arial Narrow" w:hAnsi="Arial Narrow" w:cs="Arial Narrow"/>
                <w:color w:val="000000"/>
                <w:sz w:val="16"/>
                <w:szCs w:val="16"/>
              </w:rPr>
              <w:t>presun z minulých rokov §8</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3 385</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5 546</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r w:rsidRPr="001373AA">
              <w:rPr>
                <w:rFonts w:ascii="Arial Narrow" w:hAnsi="Arial Narrow" w:cs="Arial Narrow"/>
                <w:color w:val="000000"/>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 </w:t>
            </w:r>
            <w:r>
              <w:rPr>
                <w:rFonts w:ascii="Arial Narrow" w:hAnsi="Arial Narrow" w:cs="Arial Narrow"/>
                <w:color w:val="000000"/>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r w:rsidRPr="001373AA">
              <w:rPr>
                <w:rFonts w:ascii="Arial Narrow" w:hAnsi="Arial Narrow" w:cs="Arial Narrow"/>
                <w:color w:val="000000"/>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Pr>
                <w:rFonts w:ascii="Arial Narrow" w:hAnsi="Arial Narrow" w:cs="Arial Narrow"/>
                <w:color w:val="000000"/>
                <w:sz w:val="16"/>
                <w:szCs w:val="16"/>
              </w:rPr>
              <w:t>0</w:t>
            </w:r>
            <w:r w:rsidRPr="001373AA">
              <w:rPr>
                <w:rFonts w:ascii="Arial Narrow" w:hAnsi="Arial Narrow" w:cs="Arial Narrow"/>
                <w:color w:val="000000"/>
                <w:sz w:val="16"/>
                <w:szCs w:val="16"/>
              </w:rPr>
              <w:t> </w:t>
            </w:r>
          </w:p>
        </w:tc>
      </w:tr>
      <w:tr>
        <w:tblPrEx>
          <w:tblW w:w="4962" w:type="pct"/>
          <w:tblInd w:w="70" w:type="dxa"/>
          <w:tblCellMar>
            <w:left w:w="70" w:type="dxa"/>
            <w:right w:w="70" w:type="dxa"/>
          </w:tblCellMar>
          <w:tblLook w:val="00A0"/>
        </w:tblPrEx>
        <w:trPr>
          <w:trHeight w:val="241"/>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1373AA" w:rsidP="001E5B24">
            <w:pPr>
              <w:bidi w:val="0"/>
              <w:rPr>
                <w:rFonts w:ascii="Arial Narrow" w:hAnsi="Arial Narrow" w:cs="Arial Narrow"/>
                <w:color w:val="000000"/>
                <w:sz w:val="16"/>
                <w:szCs w:val="16"/>
              </w:rPr>
            </w:pPr>
            <w:r w:rsidRPr="001373AA">
              <w:rPr>
                <w:rFonts w:ascii="Arial Narrow" w:hAnsi="Arial Narrow" w:cs="Arial Narrow"/>
                <w:color w:val="000000"/>
                <w:sz w:val="16"/>
                <w:szCs w:val="16"/>
              </w:rPr>
              <w:t>iné zdroje:**</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187</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1373AA" w:rsidP="001E5B24">
            <w:pPr>
              <w:bidi w:val="0"/>
              <w:jc w:val="right"/>
              <w:rPr>
                <w:rFonts w:ascii="Arial Narrow" w:hAnsi="Arial Narrow" w:cs="Arial Narrow"/>
                <w:color w:val="000000"/>
                <w:sz w:val="16"/>
                <w:szCs w:val="16"/>
              </w:rPr>
            </w:pPr>
            <w:r w:rsidRPr="001373AA">
              <w:rPr>
                <w:rFonts w:ascii="Arial Narrow" w:hAnsi="Arial Narrow" w:cs="Arial Narrow"/>
                <w:color w:val="000000"/>
                <w:sz w:val="16"/>
                <w:szCs w:val="16"/>
              </w:rPr>
              <w:t>0</w:t>
            </w:r>
          </w:p>
        </w:tc>
      </w:tr>
    </w:tbl>
    <w:p w:rsidR="001E5B24" w:rsidRPr="00241E7A" w:rsidP="001E5B24">
      <w:pPr>
        <w:bidi w:val="0"/>
        <w:jc w:val="both"/>
        <w:rPr>
          <w:rFonts w:ascii="Arial Narrow" w:hAnsi="Arial Narrow" w:cs="Arial Narrow"/>
          <w:b/>
          <w:bCs/>
          <w:sz w:val="22"/>
          <w:szCs w:val="22"/>
        </w:rPr>
      </w:pPr>
      <w:r w:rsidRPr="00241E7A">
        <w:rPr>
          <w:rFonts w:ascii="Arial Narrow" w:hAnsi="Arial Narrow" w:cs="Arial Narrow"/>
          <w:sz w:val="16"/>
          <w:szCs w:val="16"/>
        </w:rPr>
        <w:t>* mimorozpočtové prostriedky</w:t>
      </w:r>
    </w:p>
    <w:p w:rsidR="001E5B24" w:rsidRPr="001373AA" w:rsidP="001E5B24">
      <w:pPr>
        <w:bidi w:val="0"/>
        <w:jc w:val="right"/>
        <w:rPr>
          <w:rFonts w:ascii="Arial Narrow" w:hAnsi="Arial Narrow" w:cs="Arial Narrow"/>
          <w:sz w:val="16"/>
          <w:szCs w:val="16"/>
        </w:rPr>
      </w:pPr>
    </w:p>
    <w:p w:rsidR="001E5B24" w:rsidP="001E5B24">
      <w:pPr>
        <w:bidi w:val="0"/>
        <w:ind w:firstLine="708"/>
        <w:jc w:val="both"/>
        <w:rPr>
          <w:rFonts w:ascii="Arial Narrow" w:hAnsi="Arial Narrow" w:cs="Arial Narrow"/>
          <w:sz w:val="22"/>
          <w:szCs w:val="22"/>
        </w:rPr>
      </w:pPr>
      <w:r w:rsidRPr="001373AA">
        <w:rPr>
          <w:rFonts w:ascii="Arial Narrow" w:hAnsi="Arial Narrow" w:cs="Arial Narrow"/>
          <w:color w:val="000000"/>
          <w:sz w:val="22"/>
          <w:szCs w:val="22"/>
        </w:rPr>
        <w:t xml:space="preserve">V roku 2011 dosahujú rozpočtované výdavky kapitoly hodnotu 26,8 mil. eur, čo </w:t>
      </w:r>
      <w:r w:rsidRPr="001373AA">
        <w:rPr>
          <w:rFonts w:ascii="Arial Narrow" w:hAnsi="Arial Narrow" w:cs="Arial Narrow"/>
          <w:sz w:val="22"/>
          <w:szCs w:val="22"/>
        </w:rPr>
        <w:t>je v porovnaní s</w:t>
      </w:r>
      <w:r>
        <w:rPr>
          <w:rFonts w:ascii="Arial Narrow" w:hAnsi="Arial Narrow" w:cs="Arial Narrow"/>
          <w:sz w:val="22"/>
          <w:szCs w:val="22"/>
        </w:rPr>
        <w:t>o schváleným rozpočtom</w:t>
      </w:r>
      <w:r w:rsidRPr="001373AA">
        <w:rPr>
          <w:rFonts w:ascii="Arial Narrow" w:hAnsi="Arial Narrow" w:cs="Arial Narrow"/>
          <w:sz w:val="22"/>
          <w:szCs w:val="22"/>
        </w:rPr>
        <w:t> rok</w:t>
      </w:r>
      <w:r>
        <w:rPr>
          <w:rFonts w:ascii="Arial Narrow" w:hAnsi="Arial Narrow" w:cs="Arial Narrow"/>
          <w:sz w:val="22"/>
          <w:szCs w:val="22"/>
        </w:rPr>
        <w:t>u</w:t>
      </w:r>
      <w:r w:rsidRPr="001373AA">
        <w:rPr>
          <w:rFonts w:ascii="Arial Narrow" w:hAnsi="Arial Narrow" w:cs="Arial Narrow"/>
          <w:sz w:val="22"/>
          <w:szCs w:val="22"/>
        </w:rPr>
        <w:t xml:space="preserve"> 2010 menej</w:t>
      </w:r>
      <w:r>
        <w:rPr>
          <w:rFonts w:ascii="Arial Narrow" w:hAnsi="Arial Narrow" w:cs="Arial Narrow"/>
          <w:sz w:val="22"/>
          <w:szCs w:val="22"/>
        </w:rPr>
        <w:t xml:space="preserve"> o  35,5 %, z dôvodu výrazného poklesu prostriedkov rozpočtovaných na rekonštrukciu Bratislavského hradu. </w:t>
      </w:r>
    </w:p>
    <w:p w:rsidR="001E5B24" w:rsidP="001E5B24">
      <w:pPr>
        <w:bidi w:val="0"/>
        <w:ind w:firstLine="708"/>
        <w:jc w:val="both"/>
        <w:rPr>
          <w:rFonts w:ascii="Arial Narrow" w:hAnsi="Arial Narrow" w:cs="Arial Narrow"/>
          <w:sz w:val="22"/>
          <w:szCs w:val="22"/>
        </w:rPr>
      </w:pPr>
    </w:p>
    <w:p w:rsidR="001E5B24" w:rsidRPr="00FD1781"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V prípade vylúčenia výdavkov na obnovu Bratislavského hradu, ktoré v roku 2011 oproti schválenému rozpočtu 2010 klesajú o sumu 9,94 mil. eur, jednorazovo rozpočtovaných výdavkov na voľby do Národnej rady SR určené na odchodné poslancov v sume 3,1 mil. eur a na obmenu notebookov pre poslancov v sume 623 tis. eur, ako aj zvýšených výdavkov na prevádzkové potreby kancelárie Národnej rady SR v sume 1,46 mil. eur, ktoré boli zapracované do návrhu rozpočtu na rok 2011 na základe úpravy rozpočtu 2010, by pokles výdavkov pre rok 2011 predstavoval 10,3%.</w:t>
      </w:r>
    </w:p>
    <w:p w:rsidR="001E5B24" w:rsidRPr="00FD1781"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r w:rsidRPr="00FD1781">
        <w:rPr>
          <w:rFonts w:ascii="Arial Narrow" w:hAnsi="Arial Narrow" w:cs="Arial Narrow"/>
          <w:sz w:val="22"/>
          <w:szCs w:val="22"/>
        </w:rPr>
        <w:t xml:space="preserve"> Objem osobných výdavkov sa </w:t>
      </w:r>
      <w:r w:rsidR="00475F5B">
        <w:rPr>
          <w:rFonts w:ascii="Arial Narrow" w:hAnsi="Arial Narrow" w:cs="Arial Narrow"/>
          <w:sz w:val="22"/>
          <w:szCs w:val="22"/>
        </w:rPr>
        <w:t>na</w:t>
      </w:r>
      <w:r w:rsidRPr="00FD1781">
        <w:rPr>
          <w:rFonts w:ascii="Arial Narrow" w:hAnsi="Arial Narrow" w:cs="Arial Narrow"/>
          <w:sz w:val="22"/>
          <w:szCs w:val="22"/>
        </w:rPr>
        <w:t xml:space="preserve"> rok 2011 rozpočtuje na úrovni 14,4 mil. eur, čo v porovnaní so</w:t>
      </w:r>
      <w:r w:rsidRPr="001373AA">
        <w:rPr>
          <w:rFonts w:ascii="Arial Narrow" w:hAnsi="Arial Narrow" w:cs="Arial Narrow"/>
          <w:sz w:val="22"/>
          <w:szCs w:val="22"/>
        </w:rPr>
        <w:t xml:space="preserve"> schváleným </w:t>
      </w:r>
      <w:r>
        <w:rPr>
          <w:rFonts w:ascii="Arial Narrow" w:hAnsi="Arial Narrow" w:cs="Arial Narrow"/>
          <w:sz w:val="22"/>
          <w:szCs w:val="22"/>
        </w:rPr>
        <w:t xml:space="preserve">rozpočtom na rok </w:t>
      </w:r>
      <w:r w:rsidRPr="001373AA">
        <w:rPr>
          <w:rFonts w:ascii="Arial Narrow" w:hAnsi="Arial Narrow" w:cs="Arial Narrow"/>
          <w:sz w:val="22"/>
          <w:szCs w:val="22"/>
        </w:rPr>
        <w:t xml:space="preserve">2010 predstavuje pokles 9,50 % (1,52 mil. </w:t>
      </w:r>
      <w:r>
        <w:rPr>
          <w:rFonts w:ascii="Arial Narrow" w:hAnsi="Arial Narrow" w:cs="Arial Narrow"/>
          <w:sz w:val="22"/>
          <w:szCs w:val="22"/>
        </w:rPr>
        <w:t>eur</w:t>
      </w:r>
      <w:r w:rsidRPr="001373AA">
        <w:rPr>
          <w:rFonts w:ascii="Arial Narrow" w:hAnsi="Arial Narrow" w:cs="Arial Narrow"/>
          <w:sz w:val="22"/>
          <w:szCs w:val="22"/>
        </w:rPr>
        <w:t xml:space="preserve">). Medziročný pokles osobných výdavkov je ovplyvnený viazaním osobných výdavkov na úrovni 10 % </w:t>
      </w:r>
      <w:r w:rsidR="00475F5B">
        <w:rPr>
          <w:rFonts w:ascii="Arial Narrow" w:hAnsi="Arial Narrow" w:cs="Arial Narrow"/>
          <w:sz w:val="22"/>
          <w:szCs w:val="22"/>
        </w:rPr>
        <w:t>pre</w:t>
      </w:r>
      <w:r w:rsidRPr="001373AA">
        <w:rPr>
          <w:rFonts w:ascii="Arial Narrow" w:hAnsi="Arial Narrow" w:cs="Arial Narrow"/>
          <w:sz w:val="22"/>
          <w:szCs w:val="22"/>
        </w:rPr>
        <w:t xml:space="preserve"> štátnych zamestnancov a zamestnancov pri výkone práce vo verejnom záujme pri zohľadnení dopočtu 1% valorizácie z roku 2010 a 10% viazaním osobných výdavkov </w:t>
      </w:r>
      <w:r w:rsidR="00475F5B">
        <w:rPr>
          <w:rFonts w:ascii="Arial Narrow" w:hAnsi="Arial Narrow" w:cs="Arial Narrow"/>
          <w:sz w:val="22"/>
          <w:szCs w:val="22"/>
        </w:rPr>
        <w:t>pre</w:t>
      </w:r>
      <w:r w:rsidRPr="001373AA">
        <w:rPr>
          <w:rFonts w:ascii="Arial Narrow" w:hAnsi="Arial Narrow" w:cs="Arial Narrow"/>
          <w:sz w:val="22"/>
          <w:szCs w:val="22"/>
        </w:rPr>
        <w:t xml:space="preserve"> ústavných činiteľov z úrovne roku 2010. </w:t>
      </w:r>
    </w:p>
    <w:p w:rsidR="001E5B24" w:rsidRPr="001373AA"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1373AA">
        <w:rPr>
          <w:rFonts w:ascii="Arial Narrow" w:hAnsi="Arial Narrow" w:cs="Arial Narrow"/>
          <w:sz w:val="22"/>
          <w:szCs w:val="22"/>
        </w:rPr>
        <w:t xml:space="preserve">ýdavky na prevádzku stúpajú oproti </w:t>
      </w:r>
      <w:r>
        <w:rPr>
          <w:rFonts w:ascii="Arial Narrow" w:hAnsi="Arial Narrow" w:cs="Arial Narrow"/>
          <w:sz w:val="22"/>
          <w:szCs w:val="22"/>
        </w:rPr>
        <w:t xml:space="preserve">schválenému rozpočtu </w:t>
      </w:r>
      <w:r w:rsidRPr="001373AA">
        <w:rPr>
          <w:rFonts w:ascii="Arial Narrow" w:hAnsi="Arial Narrow" w:cs="Arial Narrow"/>
          <w:sz w:val="22"/>
          <w:szCs w:val="22"/>
        </w:rPr>
        <w:t>v roku 2010</w:t>
      </w:r>
      <w:r w:rsidRPr="00371116">
        <w:rPr>
          <w:rFonts w:ascii="Arial Narrow" w:hAnsi="Arial Narrow" w:cs="Arial Narrow"/>
          <w:sz w:val="22"/>
          <w:szCs w:val="22"/>
        </w:rPr>
        <w:t xml:space="preserve"> </w:t>
      </w:r>
      <w:r w:rsidRPr="001373AA">
        <w:rPr>
          <w:rFonts w:ascii="Arial Narrow" w:hAnsi="Arial Narrow" w:cs="Arial Narrow"/>
          <w:sz w:val="22"/>
          <w:szCs w:val="22"/>
        </w:rPr>
        <w:t>o 16,61 %. Nárast vo výdavkoch na tovary a služby súvisí s</w:t>
      </w:r>
      <w:r>
        <w:rPr>
          <w:rFonts w:ascii="Arial Narrow" w:hAnsi="Arial Narrow" w:cs="Arial Narrow"/>
          <w:sz w:val="22"/>
          <w:szCs w:val="22"/>
        </w:rPr>
        <w:t> úpravou rozpočtu v priebehu roku 2010, ktorou</w:t>
      </w:r>
      <w:r w:rsidRPr="001373AA">
        <w:rPr>
          <w:rFonts w:ascii="Arial Narrow" w:hAnsi="Arial Narrow" w:cs="Arial Narrow"/>
          <w:sz w:val="22"/>
          <w:szCs w:val="22"/>
        </w:rPr>
        <w:t xml:space="preserve"> sa upravoval limit výdavkov určených na bežnú prevádzku navýšením o 1,46 mil. </w:t>
      </w:r>
      <w:r>
        <w:rPr>
          <w:rFonts w:ascii="Arial Narrow" w:hAnsi="Arial Narrow" w:cs="Arial Narrow"/>
          <w:sz w:val="22"/>
          <w:szCs w:val="22"/>
        </w:rPr>
        <w:t>eur</w:t>
      </w:r>
      <w:r w:rsidRPr="001373AA">
        <w:rPr>
          <w:rFonts w:ascii="Arial Narrow" w:hAnsi="Arial Narrow" w:cs="Arial Narrow"/>
          <w:sz w:val="22"/>
          <w:szCs w:val="22"/>
        </w:rPr>
        <w:t xml:space="preserve">. Toto zvýšenie bolo premietnuté aj do východísk v ďalších rokoch, pričom po pristúpení k úprave limitu na tovaroch a službách o 10 % je limit v tejto kategórii vyšší oproti </w:t>
      </w:r>
      <w:r>
        <w:rPr>
          <w:rFonts w:ascii="Arial Narrow" w:hAnsi="Arial Narrow" w:cs="Arial Narrow"/>
          <w:sz w:val="22"/>
          <w:szCs w:val="22"/>
        </w:rPr>
        <w:t>schválenému rozpočtu</w:t>
      </w:r>
      <w:r w:rsidRPr="001373AA">
        <w:rPr>
          <w:rFonts w:ascii="Arial Narrow" w:hAnsi="Arial Narrow" w:cs="Arial Narrow"/>
          <w:sz w:val="22"/>
          <w:szCs w:val="22"/>
        </w:rPr>
        <w:t xml:space="preserve"> 2010. </w:t>
      </w:r>
    </w:p>
    <w:p w:rsidR="001E5B24" w:rsidRPr="001373AA"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Bežné transfery v roku 2011 klesajú oproti schválenému rozpočtu 2010</w:t>
      </w:r>
      <w:r w:rsidRPr="001373AA">
        <w:rPr>
          <w:rFonts w:ascii="Arial Narrow" w:hAnsi="Arial Narrow" w:cs="Arial Narrow"/>
          <w:sz w:val="22"/>
          <w:szCs w:val="22"/>
        </w:rPr>
        <w:t xml:space="preserve"> o 94,6 %, čo súvisí s ukončením volebného obdobia poslancov v roku 2010. </w:t>
      </w:r>
    </w:p>
    <w:p w:rsidR="001E5B24" w:rsidRPr="001373AA"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1373AA">
        <w:rPr>
          <w:rFonts w:ascii="Arial Narrow" w:hAnsi="Arial Narrow" w:cs="Arial Narrow"/>
          <w:sz w:val="22"/>
          <w:szCs w:val="22"/>
        </w:rPr>
        <w:t xml:space="preserve">Kapitálové výdavky </w:t>
      </w:r>
      <w:r>
        <w:rPr>
          <w:rFonts w:ascii="Arial Narrow" w:hAnsi="Arial Narrow" w:cs="Arial Narrow"/>
          <w:sz w:val="22"/>
          <w:szCs w:val="22"/>
        </w:rPr>
        <w:t>v</w:t>
      </w:r>
      <w:r w:rsidRPr="001373AA">
        <w:rPr>
          <w:rFonts w:ascii="Arial Narrow" w:hAnsi="Arial Narrow" w:cs="Arial Narrow"/>
          <w:sz w:val="22"/>
          <w:szCs w:val="22"/>
        </w:rPr>
        <w:t xml:space="preserve"> rok</w:t>
      </w:r>
      <w:r>
        <w:rPr>
          <w:rFonts w:ascii="Arial Narrow" w:hAnsi="Arial Narrow" w:cs="Arial Narrow"/>
          <w:sz w:val="22"/>
          <w:szCs w:val="22"/>
        </w:rPr>
        <w:t>u</w:t>
      </w:r>
      <w:r w:rsidRPr="001373AA">
        <w:rPr>
          <w:rFonts w:ascii="Arial Narrow" w:hAnsi="Arial Narrow" w:cs="Arial Narrow"/>
          <w:sz w:val="22"/>
          <w:szCs w:val="22"/>
        </w:rPr>
        <w:t xml:space="preserve"> 2011</w:t>
      </w:r>
      <w:r>
        <w:rPr>
          <w:rFonts w:ascii="Arial Narrow" w:hAnsi="Arial Narrow" w:cs="Arial Narrow"/>
          <w:sz w:val="22"/>
          <w:szCs w:val="22"/>
        </w:rPr>
        <w:t xml:space="preserve"> </w:t>
      </w:r>
      <w:r w:rsidRPr="001373AA">
        <w:rPr>
          <w:rFonts w:ascii="Arial Narrow" w:hAnsi="Arial Narrow" w:cs="Arial Narrow"/>
          <w:sz w:val="22"/>
          <w:szCs w:val="22"/>
        </w:rPr>
        <w:t xml:space="preserve">zaznamenávajú pokles </w:t>
      </w:r>
      <w:r>
        <w:rPr>
          <w:rFonts w:ascii="Arial Narrow" w:hAnsi="Arial Narrow" w:cs="Arial Narrow"/>
          <w:sz w:val="22"/>
          <w:szCs w:val="22"/>
        </w:rPr>
        <w:t>oproti schválenému rozpočtu 2010</w:t>
      </w:r>
      <w:r w:rsidRPr="001373AA">
        <w:rPr>
          <w:rFonts w:ascii="Arial Narrow" w:hAnsi="Arial Narrow" w:cs="Arial Narrow"/>
          <w:sz w:val="22"/>
          <w:szCs w:val="22"/>
        </w:rPr>
        <w:t xml:space="preserve"> o 67,1 %, čo je spôsobené </w:t>
      </w:r>
      <w:r>
        <w:rPr>
          <w:rFonts w:ascii="Arial Narrow" w:hAnsi="Arial Narrow" w:cs="Arial Narrow"/>
          <w:sz w:val="22"/>
          <w:szCs w:val="22"/>
        </w:rPr>
        <w:t xml:space="preserve">výrazným </w:t>
      </w:r>
      <w:r w:rsidRPr="001373AA">
        <w:rPr>
          <w:rFonts w:ascii="Arial Narrow" w:hAnsi="Arial Narrow" w:cs="Arial Narrow"/>
          <w:sz w:val="22"/>
          <w:szCs w:val="22"/>
        </w:rPr>
        <w:t>poklesom vo výdavkoch rozpočtovaných na rekonštrukciu Bratislavského hradu.</w:t>
      </w:r>
    </w:p>
    <w:p w:rsidR="001E5B24" w:rsidP="001E5B24">
      <w:pPr>
        <w:bidi w:val="0"/>
        <w:rPr>
          <w:rFonts w:ascii="Arial Narrow" w:hAnsi="Arial Narrow" w:cs="Arial Narrow"/>
          <w:sz w:val="22"/>
          <w:szCs w:val="22"/>
          <w:u w:val="single"/>
        </w:rPr>
      </w:pPr>
    </w:p>
    <w:p w:rsidR="001E5B24" w:rsidP="001E5B24">
      <w:pPr>
        <w:bidi w:val="0"/>
        <w:rPr>
          <w:rFonts w:ascii="Arial Narrow" w:hAnsi="Arial Narrow" w:cs="Arial Narrow"/>
          <w:sz w:val="22"/>
          <w:szCs w:val="22"/>
          <w:u w:val="single"/>
        </w:rPr>
      </w:pPr>
    </w:p>
    <w:p w:rsidR="001E5B24" w:rsidP="001E5B24">
      <w:pPr>
        <w:pBdr>
          <w:bottom w:val="single" w:sz="4" w:space="1" w:color="auto"/>
        </w:pBdr>
        <w:bidi w:val="0"/>
        <w:rPr>
          <w:rFonts w:ascii="Arial Narrow" w:hAnsi="Arial Narrow" w:cs="Arial Narrow"/>
          <w:b/>
          <w:bCs/>
          <w:sz w:val="22"/>
          <w:szCs w:val="22"/>
        </w:rPr>
      </w:pPr>
      <w:r w:rsidRPr="001F30F9">
        <w:rPr>
          <w:rFonts w:ascii="Arial Narrow" w:hAnsi="Arial Narrow" w:cs="Arial Narrow"/>
          <w:b/>
          <w:bCs/>
          <w:sz w:val="22"/>
          <w:szCs w:val="22"/>
        </w:rPr>
        <w:t>Kancelária prezidenta SR</w:t>
      </w:r>
    </w:p>
    <w:p w:rsidR="001E5B24" w:rsidRPr="001F30F9" w:rsidP="001E5B24">
      <w:pPr>
        <w:bidi w:val="0"/>
        <w:rPr>
          <w:rFonts w:ascii="Arial Narrow" w:hAnsi="Arial Narrow" w:cs="Arial Narrow"/>
          <w:b/>
          <w:bCs/>
          <w:sz w:val="22"/>
          <w:szCs w:val="22"/>
        </w:rPr>
      </w:pPr>
    </w:p>
    <w:tbl>
      <w:tblPr>
        <w:tblStyle w:val="TableNormal"/>
        <w:tblW w:w="9009" w:type="dxa"/>
        <w:tblInd w:w="70" w:type="dxa"/>
        <w:tblLayout w:type="fixed"/>
        <w:tblCellMar>
          <w:left w:w="70" w:type="dxa"/>
          <w:right w:w="70" w:type="dxa"/>
        </w:tblCellMar>
      </w:tblPr>
      <w:tblGrid>
        <w:gridCol w:w="3402"/>
        <w:gridCol w:w="934"/>
        <w:gridCol w:w="935"/>
        <w:gridCol w:w="934"/>
        <w:gridCol w:w="935"/>
        <w:gridCol w:w="934"/>
        <w:gridCol w:w="935"/>
      </w:tblGrid>
      <w:tr>
        <w:tblPrEx>
          <w:tblW w:w="9009" w:type="dxa"/>
          <w:tblInd w:w="70" w:type="dxa"/>
          <w:tblLayout w:type="fixed"/>
          <w:tblCellMar>
            <w:left w:w="70" w:type="dxa"/>
            <w:right w:w="70" w:type="dxa"/>
          </w:tblCellMar>
        </w:tblPrEx>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491C66" w:rsidP="001E5B24">
            <w:pPr>
              <w:bidi w:val="0"/>
              <w:rPr>
                <w:rFonts w:ascii="Arial Narrow" w:hAnsi="Arial Narrow" w:cs="Arial Narrow"/>
                <w:b/>
                <w:bCs/>
                <w:sz w:val="16"/>
                <w:szCs w:val="16"/>
              </w:rPr>
            </w:pPr>
            <w:r w:rsidRPr="00491C66">
              <w:rPr>
                <w:rFonts w:ascii="Arial Narrow" w:hAnsi="Arial Narrow" w:cs="Arial Narrow"/>
                <w:b/>
                <w:bCs/>
                <w:sz w:val="16"/>
                <w:szCs w:val="16"/>
              </w:rPr>
              <w:t>v tis. eur</w:t>
            </w:r>
          </w:p>
        </w:tc>
        <w:tc>
          <w:tcPr>
            <w:tcW w:w="934"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2008 S</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2009 S</w:t>
            </w:r>
          </w:p>
        </w:tc>
        <w:tc>
          <w:tcPr>
            <w:tcW w:w="934"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2010 R</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2011 N</w:t>
            </w:r>
          </w:p>
        </w:tc>
        <w:tc>
          <w:tcPr>
            <w:tcW w:w="934"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2012 N</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center"/>
              <w:rPr>
                <w:rFonts w:ascii="Arial Narrow" w:hAnsi="Arial Narrow" w:cs="Arial Narrow"/>
                <w:b/>
                <w:bCs/>
                <w:sz w:val="16"/>
                <w:szCs w:val="16"/>
              </w:rPr>
            </w:pPr>
            <w:r w:rsidRPr="00491C66">
              <w:rPr>
                <w:rFonts w:ascii="Arial Narrow" w:hAnsi="Arial Narrow" w:cs="Arial Narrow"/>
                <w:b/>
                <w:bCs/>
                <w:sz w:val="16"/>
                <w:szCs w:val="16"/>
              </w:rPr>
              <w:t>2013 N</w:t>
            </w:r>
          </w:p>
        </w:tc>
      </w:tr>
      <w:tr>
        <w:tblPrEx>
          <w:tblW w:w="9009" w:type="dxa"/>
          <w:tblInd w:w="70" w:type="dxa"/>
          <w:tblLayout w:type="fixed"/>
          <w:tblCellMar>
            <w:left w:w="70" w:type="dxa"/>
            <w:right w:w="70" w:type="dxa"/>
          </w:tblCellMar>
        </w:tblPrEx>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491C66" w:rsidP="001E5B24">
            <w:pPr>
              <w:bidi w:val="0"/>
              <w:rPr>
                <w:rFonts w:ascii="Arial Narrow" w:hAnsi="Arial Narrow" w:cs="Arial Narrow"/>
                <w:sz w:val="16"/>
                <w:szCs w:val="16"/>
              </w:rPr>
            </w:pPr>
            <w:r w:rsidRPr="00491C66">
              <w:rPr>
                <w:rFonts w:ascii="Arial Narrow" w:hAnsi="Arial Narrow" w:cs="Arial Narrow"/>
                <w:sz w:val="16"/>
                <w:szCs w:val="16"/>
              </w:rPr>
              <w:t>Zdroje príslušnej kapitoly</w:t>
            </w:r>
          </w:p>
        </w:tc>
        <w:tc>
          <w:tcPr>
            <w:tcW w:w="934"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4 408</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3 608</w:t>
            </w:r>
          </w:p>
        </w:tc>
        <w:tc>
          <w:tcPr>
            <w:tcW w:w="934"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4 040</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3 795</w:t>
            </w:r>
          </w:p>
        </w:tc>
        <w:tc>
          <w:tcPr>
            <w:tcW w:w="934"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3 798</w:t>
            </w:r>
          </w:p>
        </w:tc>
        <w:tc>
          <w:tcPr>
            <w:tcW w:w="93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491C66" w:rsidP="001E5B24">
            <w:pPr>
              <w:bidi w:val="0"/>
              <w:jc w:val="right"/>
              <w:rPr>
                <w:rFonts w:ascii="Arial Narrow" w:hAnsi="Arial Narrow" w:cs="Arial Narrow"/>
                <w:sz w:val="16"/>
                <w:szCs w:val="16"/>
              </w:rPr>
            </w:pPr>
            <w:r w:rsidRPr="00491C66">
              <w:rPr>
                <w:rFonts w:ascii="Arial Narrow" w:hAnsi="Arial Narrow" w:cs="Arial Narrow"/>
                <w:sz w:val="16"/>
                <w:szCs w:val="16"/>
              </w:rPr>
              <w:t>3 798</w:t>
            </w:r>
          </w:p>
        </w:tc>
      </w:tr>
    </w:tbl>
    <w:p w:rsidR="001E5B24" w:rsidRPr="008B6B7C" w:rsidP="001E5B24">
      <w:pPr>
        <w:autoSpaceDE w:val="0"/>
        <w:autoSpaceDN w:val="0"/>
        <w:bidi w:val="0"/>
        <w:adjustRightInd w:val="0"/>
        <w:jc w:val="both"/>
        <w:rPr>
          <w:rFonts w:ascii="Arial Narrow" w:hAnsi="Arial Narrow" w:cs="Arial Narrow"/>
          <w:sz w:val="22"/>
          <w:szCs w:val="22"/>
        </w:rPr>
      </w:pPr>
    </w:p>
    <w:p w:rsidR="001E5B24" w:rsidRPr="00491C66" w:rsidP="001E5B24">
      <w:pPr>
        <w:autoSpaceDE w:val="0"/>
        <w:autoSpaceDN w:val="0"/>
        <w:bidi w:val="0"/>
        <w:adjustRightInd w:val="0"/>
        <w:ind w:firstLine="709"/>
        <w:jc w:val="both"/>
        <w:rPr>
          <w:rFonts w:ascii="Arial Narrow" w:hAnsi="Arial Narrow" w:cs="Arial Narrow"/>
          <w:sz w:val="22"/>
          <w:szCs w:val="22"/>
        </w:rPr>
      </w:pPr>
      <w:r w:rsidRPr="00491C66">
        <w:rPr>
          <w:rFonts w:ascii="Arial Narrow" w:hAnsi="Arial Narrow" w:cs="Arial Narrow"/>
          <w:sz w:val="22"/>
          <w:szCs w:val="22"/>
        </w:rPr>
        <w:t>Na rok 2011 sa pre kapitolu navrhuje limit výdavkov</w:t>
      </w:r>
      <w:r>
        <w:rPr>
          <w:rFonts w:ascii="Arial Narrow" w:hAnsi="Arial Narrow" w:cs="Arial Narrow"/>
          <w:sz w:val="22"/>
          <w:szCs w:val="22"/>
        </w:rPr>
        <w:t xml:space="preserve"> v sume 3,79 mil. eur, čo je pokles</w:t>
      </w:r>
      <w:r w:rsidRPr="00491C66">
        <w:rPr>
          <w:rFonts w:ascii="Arial Narrow" w:hAnsi="Arial Narrow" w:cs="Arial Narrow"/>
          <w:sz w:val="22"/>
          <w:szCs w:val="22"/>
        </w:rPr>
        <w:t xml:space="preserve"> o 6,1 % v porovnaní s</w:t>
      </w:r>
      <w:r>
        <w:rPr>
          <w:rFonts w:ascii="Arial Narrow" w:hAnsi="Arial Narrow" w:cs="Arial Narrow"/>
          <w:sz w:val="22"/>
          <w:szCs w:val="22"/>
        </w:rPr>
        <w:t>o schváleným rozpočtom</w:t>
      </w:r>
      <w:r w:rsidRPr="00491C66">
        <w:rPr>
          <w:rFonts w:ascii="Arial Narrow" w:hAnsi="Arial Narrow" w:cs="Arial Narrow"/>
          <w:sz w:val="22"/>
          <w:szCs w:val="22"/>
        </w:rPr>
        <w:t> rok</w:t>
      </w:r>
      <w:r>
        <w:rPr>
          <w:rFonts w:ascii="Arial Narrow" w:hAnsi="Arial Narrow" w:cs="Arial Narrow"/>
          <w:sz w:val="22"/>
          <w:szCs w:val="22"/>
        </w:rPr>
        <w:t>u</w:t>
      </w:r>
      <w:r w:rsidRPr="00491C66">
        <w:rPr>
          <w:rFonts w:ascii="Arial Narrow" w:hAnsi="Arial Narrow" w:cs="Arial Narrow"/>
          <w:sz w:val="22"/>
          <w:szCs w:val="22"/>
        </w:rPr>
        <w:t xml:space="preserve"> 2010. </w:t>
      </w:r>
    </w:p>
    <w:p w:rsidR="001E5B24" w:rsidRPr="00491C66" w:rsidP="001E5B24">
      <w:pPr>
        <w:bidi w:val="0"/>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CE5676">
        <w:rPr>
          <w:rFonts w:ascii="Arial Narrow" w:hAnsi="Arial Narrow" w:cs="Arial Narrow"/>
          <w:sz w:val="22"/>
          <w:szCs w:val="22"/>
        </w:rPr>
        <w:t xml:space="preserve">Objem osobných výdavkov sa </w:t>
      </w:r>
      <w:r>
        <w:rPr>
          <w:rFonts w:ascii="Arial Narrow" w:hAnsi="Arial Narrow" w:cs="Arial Narrow"/>
          <w:sz w:val="22"/>
          <w:szCs w:val="22"/>
        </w:rPr>
        <w:t>na</w:t>
      </w:r>
      <w:r w:rsidRPr="00CE5676">
        <w:rPr>
          <w:rFonts w:ascii="Arial Narrow" w:hAnsi="Arial Narrow" w:cs="Arial Narrow"/>
          <w:sz w:val="22"/>
          <w:szCs w:val="22"/>
        </w:rPr>
        <w:t xml:space="preserve"> rok 2011 rozpočtuje na úrovni 1,90 mil. </w:t>
      </w:r>
      <w:r>
        <w:rPr>
          <w:rFonts w:ascii="Arial Narrow" w:hAnsi="Arial Narrow" w:cs="Arial Narrow"/>
          <w:sz w:val="22"/>
          <w:szCs w:val="22"/>
        </w:rPr>
        <w:t>eur</w:t>
      </w:r>
      <w:r w:rsidRPr="00CE5676">
        <w:rPr>
          <w:rFonts w:ascii="Arial Narrow" w:hAnsi="Arial Narrow" w:cs="Arial Narrow"/>
          <w:sz w:val="22"/>
          <w:szCs w:val="22"/>
        </w:rPr>
        <w:t xml:space="preserve">, čo v porovnaní so schváleným </w:t>
      </w:r>
      <w:r>
        <w:rPr>
          <w:rFonts w:ascii="Arial Narrow" w:hAnsi="Arial Narrow" w:cs="Arial Narrow"/>
          <w:sz w:val="22"/>
          <w:szCs w:val="22"/>
        </w:rPr>
        <w:t xml:space="preserve">rozpočtom na </w:t>
      </w:r>
      <w:r w:rsidRPr="00CE5676">
        <w:rPr>
          <w:rFonts w:ascii="Arial Narrow" w:hAnsi="Arial Narrow" w:cs="Arial Narrow"/>
          <w:sz w:val="22"/>
          <w:szCs w:val="22"/>
        </w:rPr>
        <w:t xml:space="preserve">rok 2010 predstavuje pokles 0,62 % (11,9 tis. </w:t>
      </w:r>
      <w:r>
        <w:rPr>
          <w:rFonts w:ascii="Arial Narrow" w:hAnsi="Arial Narrow" w:cs="Arial Narrow"/>
          <w:sz w:val="22"/>
          <w:szCs w:val="22"/>
        </w:rPr>
        <w:t>eur</w:t>
      </w:r>
      <w:r w:rsidRPr="00CE5676">
        <w:rPr>
          <w:rFonts w:ascii="Arial Narrow" w:hAnsi="Arial Narrow" w:cs="Arial Narrow"/>
          <w:sz w:val="22"/>
          <w:szCs w:val="22"/>
        </w:rPr>
        <w:t xml:space="preserve">). Medziročný pokles osobných výdavkov je ovplyvnený viazaním osobných výdavkov na úrovni 10 % </w:t>
      </w:r>
      <w:r w:rsidR="00475F5B">
        <w:rPr>
          <w:rFonts w:ascii="Arial Narrow" w:hAnsi="Arial Narrow" w:cs="Arial Narrow"/>
          <w:sz w:val="22"/>
          <w:szCs w:val="22"/>
        </w:rPr>
        <w:t>pre</w:t>
      </w:r>
      <w:r w:rsidRPr="00CE5676">
        <w:rPr>
          <w:rFonts w:ascii="Arial Narrow" w:hAnsi="Arial Narrow" w:cs="Arial Narrow"/>
          <w:sz w:val="22"/>
          <w:szCs w:val="22"/>
        </w:rPr>
        <w:t> štátnych zamestnancov a zamestnancov pri výkone práce vo verejnom záujme pri zohľadnení dopočtu 1% valorizácie z roku 2010 a vrátenia viazania realizovaného v roku 2010 nad úroveň 3% neplnenia limitu počtu zamestnancov (8 osôb so zodpovedajúcim objemom osobných výdavkov</w:t>
      </w:r>
      <w:r>
        <w:rPr>
          <w:rFonts w:ascii="Arial Narrow" w:hAnsi="Arial Narrow" w:cs="Arial Narrow"/>
          <w:sz w:val="22"/>
          <w:szCs w:val="22"/>
        </w:rPr>
        <w:t xml:space="preserve"> v sume 179 tis. eur</w:t>
      </w:r>
      <w:r w:rsidRPr="00CE5676">
        <w:rPr>
          <w:rFonts w:ascii="Arial Narrow" w:hAnsi="Arial Narrow" w:cs="Arial Narrow"/>
          <w:sz w:val="22"/>
          <w:szCs w:val="22"/>
        </w:rPr>
        <w:t>). Okrem toho je v návrhu rozpočtu premietnuté 10% viazanie osobných výdavkov pr</w:t>
      </w:r>
      <w:r>
        <w:rPr>
          <w:rFonts w:ascii="Arial Narrow" w:hAnsi="Arial Narrow" w:cs="Arial Narrow"/>
          <w:sz w:val="22"/>
          <w:szCs w:val="22"/>
        </w:rPr>
        <w:t>ezidenta SR z úrovne roku 2010.</w:t>
      </w:r>
    </w:p>
    <w:p w:rsidR="001E5B24" w:rsidP="001E5B24">
      <w:pPr>
        <w:bidi w:val="0"/>
        <w:ind w:firstLine="708"/>
        <w:jc w:val="both"/>
        <w:rPr>
          <w:rFonts w:ascii="Arial Narrow" w:hAnsi="Arial Narrow" w:cs="Arial Narrow"/>
          <w:sz w:val="22"/>
          <w:szCs w:val="22"/>
        </w:rPr>
      </w:pPr>
    </w:p>
    <w:p w:rsidR="001E5B24" w:rsidRPr="00CE5676" w:rsidP="001E5B24">
      <w:pPr>
        <w:bidi w:val="0"/>
        <w:ind w:firstLine="708"/>
        <w:jc w:val="both"/>
        <w:rPr>
          <w:rFonts w:ascii="Arial Narrow" w:hAnsi="Arial Narrow" w:cs="Arial Narrow"/>
          <w:sz w:val="22"/>
          <w:szCs w:val="22"/>
        </w:rPr>
      </w:pPr>
      <w:r>
        <w:rPr>
          <w:rFonts w:ascii="Arial Narrow" w:hAnsi="Arial Narrow" w:cs="Arial Narrow"/>
          <w:sz w:val="22"/>
          <w:szCs w:val="22"/>
        </w:rPr>
        <w:t>Na tovary a služby sa v roku 2011 rozpisuje suma 1,63 mil. eur, čo je v porovnaní so schváleným rozpočtom roku 2010 pokles o 10,0 %.</w:t>
      </w:r>
    </w:p>
    <w:p w:rsidR="001E5B24" w:rsidP="001E5B24">
      <w:pPr>
        <w:autoSpaceDE w:val="0"/>
        <w:autoSpaceDN w:val="0"/>
        <w:bidi w:val="0"/>
        <w:adjustRightInd w:val="0"/>
        <w:jc w:val="both"/>
      </w:pPr>
    </w:p>
    <w:p w:rsidR="001E5B24" w:rsidP="001E5B24">
      <w:pPr>
        <w:autoSpaceDE w:val="0"/>
        <w:autoSpaceDN w:val="0"/>
        <w:bidi w:val="0"/>
        <w:adjustRightInd w:val="0"/>
        <w:jc w:val="both"/>
        <w:rPr>
          <w:rFonts w:ascii="Arial Narrow" w:hAnsi="Arial Narrow" w:cs="Arial Narrow"/>
          <w:sz w:val="22"/>
          <w:szCs w:val="22"/>
        </w:rPr>
      </w:pPr>
      <w:r>
        <w:tab/>
      </w:r>
      <w:r w:rsidRPr="005E2B1C">
        <w:rPr>
          <w:rFonts w:ascii="Arial Narrow" w:hAnsi="Arial Narrow" w:cs="Arial Narrow"/>
          <w:sz w:val="22"/>
          <w:szCs w:val="22"/>
        </w:rPr>
        <w:t>Výdavky na bežné transfery</w:t>
      </w:r>
      <w:r>
        <w:rPr>
          <w:rFonts w:ascii="Arial Narrow" w:hAnsi="Arial Narrow" w:cs="Arial Narrow"/>
          <w:sz w:val="22"/>
          <w:szCs w:val="22"/>
        </w:rPr>
        <w:t xml:space="preserve"> sa rozpisujú v sume 102 tis. eur, čo je v porovnaní so schváleným rozpočtom roku 2010 menej o 7,3 %.</w:t>
      </w:r>
    </w:p>
    <w:p w:rsidR="001E5B24" w:rsidP="001E5B24">
      <w:pPr>
        <w:autoSpaceDE w:val="0"/>
        <w:autoSpaceDN w:val="0"/>
        <w:bidi w:val="0"/>
        <w:adjustRightInd w:val="0"/>
        <w:jc w:val="both"/>
        <w:rPr>
          <w:rFonts w:ascii="Arial Narrow" w:hAnsi="Arial Narrow" w:cs="Arial Narrow"/>
          <w:sz w:val="22"/>
          <w:szCs w:val="22"/>
        </w:rPr>
      </w:pPr>
    </w:p>
    <w:p w:rsidR="001E5B24" w:rsidP="001E5B24">
      <w:pPr>
        <w:autoSpaceDE w:val="0"/>
        <w:autoSpaceDN w:val="0"/>
        <w:bidi w:val="0"/>
        <w:adjustRightInd w:val="0"/>
        <w:jc w:val="both"/>
        <w:rPr>
          <w:rFonts w:ascii="Arial Narrow" w:hAnsi="Arial Narrow" w:cs="Arial Narrow"/>
          <w:sz w:val="22"/>
          <w:szCs w:val="22"/>
        </w:rPr>
      </w:pPr>
      <w:r>
        <w:rPr>
          <w:rFonts w:ascii="Arial Narrow" w:hAnsi="Arial Narrow" w:cs="Arial Narrow"/>
          <w:sz w:val="22"/>
          <w:szCs w:val="22"/>
        </w:rPr>
        <w:tab/>
      </w:r>
      <w:r w:rsidRPr="00491C66">
        <w:rPr>
          <w:rFonts w:ascii="Arial Narrow" w:hAnsi="Arial Narrow" w:cs="Arial Narrow"/>
          <w:sz w:val="22"/>
          <w:szCs w:val="22"/>
        </w:rPr>
        <w:t>Kapitálové výdavky sú na rok 2011 rozpočtované</w:t>
      </w:r>
      <w:r>
        <w:rPr>
          <w:rFonts w:ascii="Arial Narrow" w:hAnsi="Arial Narrow" w:cs="Arial Narrow"/>
          <w:sz w:val="22"/>
          <w:szCs w:val="22"/>
        </w:rPr>
        <w:t xml:space="preserve"> v sume 160 tis. eur, čo predstavuje pokles</w:t>
      </w:r>
      <w:r w:rsidRPr="00491C66">
        <w:rPr>
          <w:rFonts w:ascii="Arial Narrow" w:hAnsi="Arial Narrow" w:cs="Arial Narrow"/>
          <w:sz w:val="22"/>
          <w:szCs w:val="22"/>
        </w:rPr>
        <w:t xml:space="preserve"> o 21,4 %</w:t>
      </w:r>
      <w:r w:rsidRPr="009D1B4C">
        <w:rPr>
          <w:rFonts w:ascii="Arial Narrow" w:hAnsi="Arial Narrow" w:cs="Arial Narrow"/>
          <w:sz w:val="22"/>
          <w:szCs w:val="22"/>
        </w:rPr>
        <w:t xml:space="preserve"> </w:t>
      </w:r>
      <w:r w:rsidRPr="00491C66">
        <w:rPr>
          <w:rFonts w:ascii="Arial Narrow" w:hAnsi="Arial Narrow" w:cs="Arial Narrow"/>
          <w:sz w:val="22"/>
          <w:szCs w:val="22"/>
        </w:rPr>
        <w:t>v porovnaní s</w:t>
      </w:r>
      <w:r>
        <w:rPr>
          <w:rFonts w:ascii="Arial Narrow" w:hAnsi="Arial Narrow" w:cs="Arial Narrow"/>
          <w:sz w:val="22"/>
          <w:szCs w:val="22"/>
        </w:rPr>
        <w:t>o schváleným rozpočtom</w:t>
      </w:r>
      <w:r w:rsidRPr="00491C66">
        <w:rPr>
          <w:rFonts w:ascii="Arial Narrow" w:hAnsi="Arial Narrow" w:cs="Arial Narrow"/>
          <w:sz w:val="22"/>
          <w:szCs w:val="22"/>
        </w:rPr>
        <w:t> rok</w:t>
      </w:r>
      <w:r>
        <w:rPr>
          <w:rFonts w:ascii="Arial Narrow" w:hAnsi="Arial Narrow" w:cs="Arial Narrow"/>
          <w:sz w:val="22"/>
          <w:szCs w:val="22"/>
        </w:rPr>
        <w:t>u</w:t>
      </w:r>
      <w:r w:rsidRPr="00491C66">
        <w:rPr>
          <w:rFonts w:ascii="Arial Narrow" w:hAnsi="Arial Narrow" w:cs="Arial Narrow"/>
          <w:sz w:val="22"/>
          <w:szCs w:val="22"/>
        </w:rPr>
        <w:t xml:space="preserve"> 2010</w:t>
      </w:r>
      <w:r>
        <w:rPr>
          <w:rFonts w:ascii="Arial Narrow" w:hAnsi="Arial Narrow" w:cs="Arial Narrow"/>
          <w:sz w:val="22"/>
          <w:szCs w:val="22"/>
        </w:rPr>
        <w:t xml:space="preserve">. </w:t>
      </w:r>
      <w:r w:rsidRPr="00491C66">
        <w:rPr>
          <w:rFonts w:ascii="Arial Narrow" w:hAnsi="Arial Narrow" w:cs="Arial Narrow"/>
          <w:sz w:val="22"/>
          <w:szCs w:val="22"/>
        </w:rPr>
        <w:t>Kancelária prezidenta vynakladá prostriedky na stavebné práce a rekonštrukcie budov v správe KP SR, nákup prístrojov a špeciálnych prístrojov.</w:t>
      </w:r>
    </w:p>
    <w:p w:rsidR="001E5B24" w:rsidP="001E5B24">
      <w:pPr>
        <w:autoSpaceDE w:val="0"/>
        <w:autoSpaceDN w:val="0"/>
        <w:bidi w:val="0"/>
        <w:adjustRightInd w:val="0"/>
        <w:jc w:val="both"/>
        <w:rPr>
          <w:rFonts w:ascii="Arial Narrow" w:hAnsi="Arial Narrow" w:cs="Arial Narrow"/>
          <w:sz w:val="22"/>
          <w:szCs w:val="22"/>
        </w:rPr>
      </w:pPr>
    </w:p>
    <w:p w:rsidR="001E5B24" w:rsidP="001E5B24">
      <w:pPr>
        <w:autoSpaceDE w:val="0"/>
        <w:autoSpaceDN w:val="0"/>
        <w:bidi w:val="0"/>
        <w:adjustRightInd w:val="0"/>
        <w:jc w:val="both"/>
        <w:rPr>
          <w:rFonts w:ascii="Arial Narrow" w:hAnsi="Arial Narrow" w:cs="Arial Narrow"/>
          <w:sz w:val="22"/>
          <w:szCs w:val="22"/>
        </w:rPr>
      </w:pPr>
    </w:p>
    <w:p w:rsidR="001E5B24" w:rsidRPr="000A1193" w:rsidP="001E5B24">
      <w:pPr>
        <w:pBdr>
          <w:bottom w:val="single" w:sz="4" w:space="1" w:color="auto"/>
        </w:pBdr>
        <w:bidi w:val="0"/>
        <w:jc w:val="both"/>
        <w:rPr>
          <w:rFonts w:ascii="Arial Narrow" w:hAnsi="Arial Narrow" w:cs="Arial Narrow"/>
          <w:b/>
          <w:bCs/>
          <w:sz w:val="22"/>
          <w:szCs w:val="22"/>
        </w:rPr>
      </w:pPr>
      <w:r w:rsidRPr="000A1193">
        <w:rPr>
          <w:rFonts w:ascii="Arial Narrow" w:hAnsi="Arial Narrow" w:cs="Arial Narrow"/>
          <w:b/>
          <w:bCs/>
          <w:sz w:val="22"/>
          <w:szCs w:val="22"/>
        </w:rPr>
        <w:t>Kancelária Ústavného súdu SR</w:t>
      </w:r>
    </w:p>
    <w:p w:rsidR="001E5B24" w:rsidRPr="00141DEB" w:rsidP="001E5B24">
      <w:pPr>
        <w:bidi w:val="0"/>
        <w:jc w:val="both"/>
        <w:rPr>
          <w:rFonts w:ascii="Arial Narrow" w:hAnsi="Arial Narrow" w:cs="Arial Narrow"/>
          <w:sz w:val="20"/>
          <w:szCs w:val="20"/>
        </w:rPr>
      </w:pPr>
    </w:p>
    <w:tbl>
      <w:tblPr>
        <w:tblStyle w:val="TableNormal"/>
        <w:tblW w:w="9087" w:type="dxa"/>
        <w:tblInd w:w="55" w:type="dxa"/>
        <w:tblLayout w:type="fixed"/>
        <w:tblCellMar>
          <w:left w:w="70" w:type="dxa"/>
          <w:right w:w="70" w:type="dxa"/>
        </w:tblCellMar>
        <w:tblLook w:val="00A0"/>
      </w:tblPr>
      <w:tblGrid>
        <w:gridCol w:w="3417"/>
        <w:gridCol w:w="945"/>
        <w:gridCol w:w="945"/>
        <w:gridCol w:w="945"/>
        <w:gridCol w:w="945"/>
        <w:gridCol w:w="945"/>
        <w:gridCol w:w="945"/>
      </w:tblGrid>
      <w:tr>
        <w:tblPrEx>
          <w:tblW w:w="9087" w:type="dxa"/>
          <w:tblInd w:w="55" w:type="dxa"/>
          <w:tblLayout w:type="fixed"/>
          <w:tblCellMar>
            <w:left w:w="70" w:type="dxa"/>
            <w:right w:w="70" w:type="dxa"/>
          </w:tblCellMar>
          <w:tblLook w:val="00A0"/>
        </w:tblPrEx>
        <w:trPr>
          <w:trHeight w:val="255"/>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C872AB" w:rsidP="001E5B24">
            <w:pPr>
              <w:bidi w:val="0"/>
              <w:rPr>
                <w:rFonts w:ascii="Arial Narrow" w:hAnsi="Arial Narrow" w:cs="Arial Narrow"/>
                <w:b/>
                <w:bCs/>
                <w:sz w:val="16"/>
                <w:szCs w:val="16"/>
              </w:rPr>
            </w:pPr>
            <w:r w:rsidRPr="00C872AB">
              <w:rPr>
                <w:rFonts w:ascii="Arial Narrow" w:hAnsi="Arial Narrow" w:cs="Arial Narrow"/>
                <w:b/>
                <w:bCs/>
                <w:sz w:val="16"/>
                <w:szCs w:val="16"/>
              </w:rPr>
              <w:t> v tis. eur</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2008 S</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2009 S</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2010 R</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2011 N</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2012 N</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C872AB" w:rsidP="001E5B24">
            <w:pPr>
              <w:bidi w:val="0"/>
              <w:jc w:val="center"/>
              <w:rPr>
                <w:rFonts w:ascii="Arial Narrow" w:hAnsi="Arial Narrow" w:cs="Arial Narrow"/>
                <w:b/>
                <w:bCs/>
                <w:sz w:val="16"/>
                <w:szCs w:val="16"/>
              </w:rPr>
            </w:pPr>
            <w:r w:rsidRPr="00C872AB">
              <w:rPr>
                <w:rFonts w:ascii="Arial Narrow" w:hAnsi="Arial Narrow" w:cs="Arial Narrow"/>
                <w:b/>
                <w:bCs/>
                <w:sz w:val="16"/>
                <w:szCs w:val="16"/>
              </w:rPr>
              <w:t>2013 N</w:t>
            </w:r>
          </w:p>
        </w:tc>
      </w:tr>
      <w:tr>
        <w:tblPrEx>
          <w:tblW w:w="9087" w:type="dxa"/>
          <w:tblInd w:w="55" w:type="dxa"/>
          <w:tblLayout w:type="fixed"/>
          <w:tblCellMar>
            <w:left w:w="70" w:type="dxa"/>
            <w:right w:w="70" w:type="dxa"/>
          </w:tblCellMar>
          <w:tblLook w:val="00A0"/>
        </w:tblPrEx>
        <w:trPr>
          <w:trHeight w:val="255"/>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C872AB" w:rsidP="001E5B24">
            <w:pPr>
              <w:bidi w:val="0"/>
              <w:rPr>
                <w:rFonts w:ascii="Arial Narrow" w:hAnsi="Arial Narrow" w:cs="Arial Narrow"/>
                <w:sz w:val="16"/>
                <w:szCs w:val="16"/>
              </w:rPr>
            </w:pPr>
            <w:r w:rsidRPr="00C872AB">
              <w:rPr>
                <w:rFonts w:ascii="Arial Narrow" w:hAnsi="Arial Narrow" w:cs="Arial Narrow"/>
                <w:sz w:val="16"/>
                <w:szCs w:val="16"/>
              </w:rPr>
              <w:t>Zdroje príslušnej kapitoly</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872AB" w:rsidP="001E5B24">
            <w:pPr>
              <w:bidi w:val="0"/>
              <w:jc w:val="right"/>
              <w:rPr>
                <w:rFonts w:ascii="Arial Narrow" w:hAnsi="Arial Narrow" w:cs="Arial Narrow"/>
                <w:sz w:val="16"/>
                <w:szCs w:val="16"/>
              </w:rPr>
            </w:pPr>
            <w:r w:rsidRPr="00C872AB">
              <w:rPr>
                <w:rFonts w:ascii="Arial Narrow" w:hAnsi="Arial Narrow" w:cs="Arial Narrow"/>
                <w:sz w:val="16"/>
                <w:szCs w:val="16"/>
              </w:rPr>
              <w:t>3 836</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872AB" w:rsidP="001E5B24">
            <w:pPr>
              <w:bidi w:val="0"/>
              <w:jc w:val="right"/>
              <w:rPr>
                <w:rFonts w:ascii="Arial Narrow" w:hAnsi="Arial Narrow" w:cs="Arial Narrow"/>
                <w:sz w:val="16"/>
                <w:szCs w:val="16"/>
              </w:rPr>
            </w:pPr>
            <w:r w:rsidRPr="00C872AB">
              <w:rPr>
                <w:rFonts w:ascii="Arial Narrow" w:hAnsi="Arial Narrow" w:cs="Arial Narrow"/>
                <w:sz w:val="16"/>
                <w:szCs w:val="16"/>
              </w:rPr>
              <w:t>4 438</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872AB" w:rsidP="001E5B24">
            <w:pPr>
              <w:bidi w:val="0"/>
              <w:jc w:val="right"/>
              <w:rPr>
                <w:rFonts w:ascii="Arial Narrow" w:hAnsi="Arial Narrow" w:cs="Arial Narrow"/>
                <w:sz w:val="16"/>
                <w:szCs w:val="16"/>
              </w:rPr>
            </w:pPr>
            <w:r w:rsidRPr="00C872AB">
              <w:rPr>
                <w:rFonts w:ascii="Arial Narrow" w:hAnsi="Arial Narrow" w:cs="Arial Narrow"/>
                <w:sz w:val="16"/>
                <w:szCs w:val="16"/>
              </w:rPr>
              <w:t>2 853</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22D2B" w:rsidP="001E5B24">
            <w:pPr>
              <w:bidi w:val="0"/>
              <w:jc w:val="right"/>
              <w:rPr>
                <w:rFonts w:ascii="Arial Narrow" w:hAnsi="Arial Narrow" w:cs="Arial"/>
                <w:sz w:val="16"/>
                <w:szCs w:val="16"/>
              </w:rPr>
            </w:pPr>
            <w:r w:rsidRPr="00C22D2B">
              <w:rPr>
                <w:rFonts w:ascii="Arial Narrow" w:hAnsi="Arial Narrow" w:cs="Arial"/>
                <w:sz w:val="16"/>
                <w:szCs w:val="16"/>
              </w:rPr>
              <w:t>3 097</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22D2B" w:rsidP="001E5B24">
            <w:pPr>
              <w:bidi w:val="0"/>
              <w:jc w:val="right"/>
              <w:rPr>
                <w:rFonts w:ascii="Arial Narrow" w:hAnsi="Arial Narrow" w:cs="Arial"/>
                <w:sz w:val="16"/>
                <w:szCs w:val="16"/>
              </w:rPr>
            </w:pPr>
            <w:r w:rsidRPr="00C22D2B">
              <w:rPr>
                <w:rFonts w:ascii="Arial Narrow" w:hAnsi="Arial Narrow" w:cs="Arial"/>
                <w:sz w:val="16"/>
                <w:szCs w:val="16"/>
              </w:rPr>
              <w:t>3 086</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C22D2B" w:rsidP="001E5B24">
            <w:pPr>
              <w:bidi w:val="0"/>
              <w:jc w:val="right"/>
              <w:rPr>
                <w:rFonts w:ascii="Arial Narrow" w:hAnsi="Arial Narrow" w:cs="Arial"/>
                <w:sz w:val="16"/>
                <w:szCs w:val="16"/>
              </w:rPr>
            </w:pPr>
            <w:r w:rsidRPr="00C22D2B">
              <w:rPr>
                <w:rFonts w:ascii="Arial Narrow" w:hAnsi="Arial Narrow" w:cs="Arial"/>
                <w:sz w:val="16"/>
                <w:szCs w:val="16"/>
              </w:rPr>
              <w:t>3 086</w:t>
            </w:r>
          </w:p>
        </w:tc>
      </w:tr>
    </w:tbl>
    <w:p w:rsidR="001E5B24" w:rsidRPr="00141DEB" w:rsidP="001E5B24">
      <w:pPr>
        <w:bidi w:val="0"/>
        <w:jc w:val="both"/>
        <w:rPr>
          <w:rFonts w:ascii="Arial Narrow" w:hAnsi="Arial Narrow" w:cs="Arial Narrow"/>
          <w:sz w:val="20"/>
          <w:szCs w:val="20"/>
        </w:rPr>
      </w:pPr>
    </w:p>
    <w:p w:rsidR="001E5B24" w:rsidP="001E5B24">
      <w:pPr>
        <w:bidi w:val="0"/>
        <w:ind w:firstLine="708"/>
        <w:jc w:val="both"/>
        <w:rPr>
          <w:rFonts w:ascii="Arial Narrow" w:hAnsi="Arial Narrow" w:cs="Arial Narrow"/>
          <w:sz w:val="22"/>
          <w:szCs w:val="22"/>
        </w:rPr>
      </w:pPr>
      <w:r w:rsidRPr="00C872AB">
        <w:rPr>
          <w:rFonts w:ascii="Arial Narrow" w:hAnsi="Arial Narrow" w:cs="Arial Narrow"/>
          <w:sz w:val="22"/>
          <w:szCs w:val="22"/>
        </w:rPr>
        <w:t>Pre Kanceláriu Ústavného súdu SR</w:t>
      </w:r>
      <w:r w:rsidRPr="000A1193">
        <w:rPr>
          <w:rFonts w:ascii="Arial Narrow" w:hAnsi="Arial Narrow" w:cs="Arial Narrow"/>
          <w:sz w:val="22"/>
          <w:szCs w:val="22"/>
        </w:rPr>
        <w:t xml:space="preserve"> sa na rok 2011 rozpočtujú výdavky na zabezpečenie kvalifikovaného výkonu súdnej moci vrátane zabezpečenia ochrany ústavnosti v presne vymedzených prípadoch s osobitným zreteľom na ochranu práv a slobôd a súladnosť slovenského právneho poriadku. </w:t>
      </w:r>
    </w:p>
    <w:p w:rsidR="001E5B24" w:rsidRPr="005373EF" w:rsidP="001E5B24">
      <w:pPr>
        <w:bidi w:val="0"/>
        <w:ind w:firstLine="708"/>
        <w:jc w:val="both"/>
        <w:rPr>
          <w:rFonts w:ascii="Arial Narrow" w:hAnsi="Arial Narrow" w:cs="Arial Narrow"/>
          <w:sz w:val="22"/>
          <w:szCs w:val="22"/>
        </w:rPr>
      </w:pPr>
    </w:p>
    <w:p w:rsidR="001E5B24" w:rsidRPr="00C22D2B" w:rsidP="001E5B24">
      <w:pPr>
        <w:bidi w:val="0"/>
        <w:ind w:firstLine="708"/>
        <w:jc w:val="both"/>
        <w:rPr>
          <w:rFonts w:ascii="Arial Narrow" w:hAnsi="Arial Narrow" w:cs="Arial Narrow"/>
          <w:sz w:val="22"/>
          <w:szCs w:val="22"/>
        </w:rPr>
      </w:pPr>
      <w:r w:rsidRPr="00C22D2B">
        <w:rPr>
          <w:rFonts w:ascii="Arial Narrow" w:hAnsi="Arial Narrow" w:cs="Arial Narrow"/>
          <w:bCs/>
          <w:sz w:val="22"/>
          <w:szCs w:val="22"/>
        </w:rPr>
        <w:t>Celkové výdavky na rok 2011 oproti schválenému rozpočtu roka 2010 rastú o 244 tis. eur, čo predstavuje nárast o 8,6% a sú určené na zabezpečenie činnosti Kancelárie Ústavného súdu SR. V</w:t>
      </w:r>
      <w:r w:rsidRPr="00C22D2B">
        <w:rPr>
          <w:rFonts w:ascii="Arial Narrow" w:hAnsi="Arial Narrow" w:cs="Arial Narrow"/>
          <w:sz w:val="22"/>
          <w:szCs w:val="22"/>
        </w:rPr>
        <w:t xml:space="preserve"> porovnaní s upraveným rozpočtom na rok 2010 je návrh celkových výdavkov na rok 2011 nižší o 227 tis. eur, čo predstavuje pokles o 6,8%. </w:t>
      </w:r>
    </w:p>
    <w:p w:rsidR="001E5B24" w:rsidRPr="00C22D2B"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C22D2B">
        <w:rPr>
          <w:rFonts w:ascii="Arial Narrow" w:hAnsi="Arial Narrow" w:cs="Arial Narrow"/>
          <w:sz w:val="22"/>
          <w:szCs w:val="22"/>
        </w:rPr>
        <w:t xml:space="preserve">Objem osobných výdavkov sa na rok 2011 rozpočtuje na úrovni 2,2 mil. eur, čo v porovnaní so schváleným  rozpočtom roka 2010 predstavuje nárast o 0,4% (9,1 tis. eur). Medziročný pokles osobných výdavkov je ovplyvnený viazaním osobných výdavkov na úrovni 5 % </w:t>
      </w:r>
      <w:r w:rsidR="00475F5B">
        <w:rPr>
          <w:rFonts w:ascii="Arial Narrow" w:hAnsi="Arial Narrow" w:cs="Arial Narrow"/>
          <w:sz w:val="22"/>
          <w:szCs w:val="22"/>
        </w:rPr>
        <w:t>pre</w:t>
      </w:r>
      <w:r w:rsidRPr="00C22D2B">
        <w:rPr>
          <w:rFonts w:ascii="Arial Narrow" w:hAnsi="Arial Narrow" w:cs="Arial Narrow"/>
          <w:sz w:val="22"/>
          <w:szCs w:val="22"/>
        </w:rPr>
        <w:t> štátnych zamestnancov a zamestnancov pri výkone práce vo verejnom záujme pri zohľadnení dopočtu 1% valorizácie z roku 2010 a vrátenia viazania realizovaného v roku 2010 nad úroveň 3% neplnenia limitu počtu zamestnancov (9 osôb so zodpovedajúcim objemom osobných výdavkov). Okrem toho je v návrhu rozpočtu premietnuté 10% viazanie osobných výdavkov sudcov Ústavného súdu SR z úrovne roku 2010.</w:t>
      </w:r>
      <w:r w:rsidRPr="006312DA">
        <w:rPr>
          <w:rFonts w:ascii="Arial Narrow" w:hAnsi="Arial Narrow" w:cs="Arial Narrow"/>
          <w:sz w:val="22"/>
          <w:szCs w:val="22"/>
        </w:rPr>
        <w:t xml:space="preserve">  </w:t>
      </w:r>
    </w:p>
    <w:p w:rsidR="001E5B24" w:rsidRPr="006312DA" w:rsidP="001E5B24">
      <w:pPr>
        <w:bidi w:val="0"/>
        <w:ind w:firstLine="708"/>
        <w:jc w:val="both"/>
        <w:rPr>
          <w:rFonts w:ascii="Arial Narrow" w:hAnsi="Arial Narrow" w:cs="Arial Narrow"/>
          <w:sz w:val="22"/>
          <w:szCs w:val="22"/>
        </w:rPr>
      </w:pPr>
    </w:p>
    <w:p w:rsidR="001E5B24" w:rsidP="001E5B24">
      <w:pPr>
        <w:pStyle w:val="Heading1"/>
        <w:bidi w:val="0"/>
        <w:spacing w:before="0" w:after="0"/>
        <w:ind w:firstLine="708"/>
        <w:rPr>
          <w:rFonts w:ascii="Arial Narrow" w:hAnsi="Arial Narrow" w:cs="Arial Narrow"/>
          <w:b w:val="0"/>
          <w:bCs w:val="0"/>
          <w:sz w:val="22"/>
          <w:szCs w:val="22"/>
        </w:rPr>
      </w:pPr>
      <w:r w:rsidRPr="00D5612A">
        <w:rPr>
          <w:rFonts w:ascii="Arial Narrow" w:hAnsi="Arial Narrow" w:cs="Arial Narrow"/>
          <w:b w:val="0"/>
          <w:bCs w:val="0"/>
          <w:sz w:val="22"/>
          <w:szCs w:val="22"/>
        </w:rPr>
        <w:t xml:space="preserve">Kapitálové výdavky oproti schválenému rozpočtu roka 2010 rastú o 598 eur, čo predstavuje 2,99 %. </w:t>
      </w:r>
    </w:p>
    <w:p w:rsidR="001E5B24" w:rsidRPr="000A1193" w:rsidP="001E5B24">
      <w:pPr>
        <w:bidi w:val="0"/>
        <w:rPr>
          <w:rFonts w:ascii="Arial Narrow" w:hAnsi="Arial Narrow" w:cs="Arial Narrow"/>
          <w:sz w:val="22"/>
          <w:szCs w:val="22"/>
        </w:rPr>
      </w:pPr>
    </w:p>
    <w:p w:rsidR="001E5B24" w:rsidRPr="00D5612A" w:rsidP="001E5B24">
      <w:pPr>
        <w:pStyle w:val="Heading1"/>
        <w:bidi w:val="0"/>
        <w:spacing w:before="0" w:after="0"/>
        <w:ind w:firstLine="708"/>
        <w:rPr>
          <w:rFonts w:ascii="Arial Narrow" w:hAnsi="Arial Narrow" w:cs="Arial Narrow"/>
          <w:b w:val="0"/>
          <w:bCs w:val="0"/>
          <w:sz w:val="22"/>
          <w:szCs w:val="22"/>
        </w:rPr>
      </w:pPr>
      <w:r w:rsidRPr="00D5612A">
        <w:rPr>
          <w:rFonts w:ascii="Arial Narrow" w:hAnsi="Arial Narrow" w:cs="Arial Narrow"/>
          <w:b w:val="0"/>
          <w:bCs w:val="0"/>
          <w:sz w:val="22"/>
          <w:szCs w:val="22"/>
        </w:rPr>
        <w:t xml:space="preserve">Plénum ústavného súdu samotné rozhoduje o výške paušálnych náhrad, bez obmedzenia. Na rok 2010 sú rozpočtované paušálne náhrady ústavných sudcov v sume 505 tis. eur. </w:t>
      </w:r>
    </w:p>
    <w:p w:rsidR="001E5B24" w:rsidP="001E5B24">
      <w:pPr>
        <w:bidi w:val="0"/>
        <w:rPr>
          <w:sz w:val="22"/>
          <w:szCs w:val="22"/>
        </w:rPr>
      </w:pPr>
    </w:p>
    <w:p w:rsidR="001E5B24" w:rsidRPr="001F30F9" w:rsidP="001E5B24">
      <w:pPr>
        <w:bidi w:val="0"/>
        <w:rPr>
          <w:sz w:val="22"/>
          <w:szCs w:val="22"/>
        </w:rPr>
      </w:pPr>
    </w:p>
    <w:p w:rsidR="001E5B24" w:rsidRPr="001F30F9" w:rsidP="001E5B24">
      <w:pPr>
        <w:pBdr>
          <w:bottom w:val="single" w:sz="4" w:space="1" w:color="auto"/>
        </w:pBdr>
        <w:bidi w:val="0"/>
        <w:jc w:val="both"/>
        <w:rPr>
          <w:rFonts w:ascii="Arial Narrow" w:hAnsi="Arial Narrow" w:cs="Arial Narrow"/>
          <w:b/>
          <w:bCs/>
          <w:sz w:val="22"/>
          <w:szCs w:val="22"/>
        </w:rPr>
      </w:pPr>
      <w:r w:rsidRPr="001F30F9">
        <w:rPr>
          <w:rFonts w:ascii="Arial Narrow" w:hAnsi="Arial Narrow" w:cs="Arial Narrow"/>
          <w:b/>
          <w:bCs/>
          <w:sz w:val="22"/>
          <w:szCs w:val="22"/>
        </w:rPr>
        <w:t>Najvyšší súd SR</w:t>
      </w:r>
    </w:p>
    <w:p w:rsidR="001E5B24" w:rsidRPr="001F30F9" w:rsidP="001E5B24">
      <w:pPr>
        <w:bidi w:val="0"/>
        <w:jc w:val="both"/>
        <w:rPr>
          <w:rFonts w:ascii="Arial Narrow" w:hAnsi="Arial Narrow" w:cs="Arial Narrow"/>
          <w:b/>
          <w:bCs/>
          <w:sz w:val="22"/>
          <w:szCs w:val="22"/>
        </w:rPr>
      </w:pPr>
    </w:p>
    <w:tbl>
      <w:tblPr>
        <w:tblStyle w:val="TableNormal"/>
        <w:tblW w:w="9087" w:type="dxa"/>
        <w:tblInd w:w="55" w:type="dxa"/>
        <w:tblLayout w:type="fixed"/>
        <w:tblCellMar>
          <w:left w:w="70" w:type="dxa"/>
          <w:right w:w="70" w:type="dxa"/>
        </w:tblCellMar>
        <w:tblLook w:val="00A0"/>
      </w:tblPr>
      <w:tblGrid>
        <w:gridCol w:w="3417"/>
        <w:gridCol w:w="945"/>
        <w:gridCol w:w="945"/>
        <w:gridCol w:w="945"/>
        <w:gridCol w:w="945"/>
        <w:gridCol w:w="945"/>
        <w:gridCol w:w="945"/>
      </w:tblGrid>
      <w:tr>
        <w:tblPrEx>
          <w:tblW w:w="9087" w:type="dxa"/>
          <w:tblInd w:w="55" w:type="dxa"/>
          <w:tblLayout w:type="fixed"/>
          <w:tblCellMar>
            <w:left w:w="70" w:type="dxa"/>
            <w:right w:w="70" w:type="dxa"/>
          </w:tblCellMar>
          <w:tblLook w:val="00A0"/>
        </w:tblPrEx>
        <w:trPr>
          <w:trHeight w:val="255"/>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F6F1C" w:rsidP="001E5B24">
            <w:pPr>
              <w:bidi w:val="0"/>
              <w:rPr>
                <w:rFonts w:ascii="Arial Narrow" w:hAnsi="Arial Narrow" w:cs="Arial Narrow"/>
                <w:b/>
                <w:bCs/>
                <w:sz w:val="16"/>
                <w:szCs w:val="16"/>
              </w:rPr>
            </w:pPr>
            <w:r w:rsidRPr="00FF6F1C">
              <w:rPr>
                <w:rFonts w:ascii="Arial Narrow" w:hAnsi="Arial Narrow" w:cs="Arial Narrow"/>
                <w:b/>
                <w:bCs/>
                <w:sz w:val="16"/>
                <w:szCs w:val="16"/>
              </w:rPr>
              <w:t> </w:t>
            </w:r>
            <w:r>
              <w:rPr>
                <w:rFonts w:ascii="Arial Narrow" w:hAnsi="Arial Narrow" w:cs="Arial Narrow"/>
                <w:b/>
                <w:bCs/>
                <w:sz w:val="16"/>
                <w:szCs w:val="16"/>
              </w:rPr>
              <w:t>v</w:t>
            </w:r>
            <w:r w:rsidRPr="00FF6F1C">
              <w:rPr>
                <w:rFonts w:ascii="Arial Narrow" w:hAnsi="Arial Narrow" w:cs="Arial Narrow"/>
                <w:b/>
                <w:bCs/>
                <w:sz w:val="16"/>
                <w:szCs w:val="16"/>
              </w:rPr>
              <w:t xml:space="preserve"> tis. </w:t>
            </w:r>
            <w:r>
              <w:rPr>
                <w:rFonts w:ascii="Arial Narrow" w:hAnsi="Arial Narrow" w:cs="Arial Narrow"/>
                <w:b/>
                <w:bCs/>
                <w:sz w:val="16"/>
                <w:szCs w:val="16"/>
              </w:rPr>
              <w:t>e</w:t>
            </w:r>
            <w:r w:rsidRPr="00FF6F1C">
              <w:rPr>
                <w:rFonts w:ascii="Arial Narrow" w:hAnsi="Arial Narrow" w:cs="Arial Narrow"/>
                <w:b/>
                <w:bCs/>
                <w:sz w:val="16"/>
                <w:szCs w:val="16"/>
              </w:rPr>
              <w:t>ur</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2008 S</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2009 S</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2010 R</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2011 N</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2012 N</w:t>
            </w:r>
          </w:p>
        </w:tc>
        <w:tc>
          <w:tcPr>
            <w:tcW w:w="945"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FF6F1C" w:rsidP="001E5B24">
            <w:pPr>
              <w:bidi w:val="0"/>
              <w:jc w:val="center"/>
              <w:rPr>
                <w:rFonts w:ascii="Arial Narrow" w:hAnsi="Arial Narrow" w:cs="Arial Narrow"/>
                <w:b/>
                <w:bCs/>
                <w:sz w:val="16"/>
                <w:szCs w:val="16"/>
              </w:rPr>
            </w:pPr>
            <w:r w:rsidRPr="00FF6F1C">
              <w:rPr>
                <w:rFonts w:ascii="Arial Narrow" w:hAnsi="Arial Narrow" w:cs="Arial Narrow"/>
                <w:b/>
                <w:bCs/>
                <w:sz w:val="16"/>
                <w:szCs w:val="16"/>
              </w:rPr>
              <w:t>2013 N</w:t>
            </w:r>
          </w:p>
        </w:tc>
      </w:tr>
      <w:tr>
        <w:tblPrEx>
          <w:tblW w:w="9087" w:type="dxa"/>
          <w:tblInd w:w="55" w:type="dxa"/>
          <w:tblLayout w:type="fixed"/>
          <w:tblCellMar>
            <w:left w:w="70" w:type="dxa"/>
            <w:right w:w="70" w:type="dxa"/>
          </w:tblCellMar>
          <w:tblLook w:val="00A0"/>
        </w:tblPrEx>
        <w:trPr>
          <w:trHeight w:val="255"/>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F80F1B" w:rsidP="001E5B24">
            <w:pPr>
              <w:bidi w:val="0"/>
              <w:rPr>
                <w:rFonts w:ascii="Arial Narrow" w:hAnsi="Arial Narrow" w:cs="Arial Narrow"/>
                <w:sz w:val="16"/>
                <w:szCs w:val="16"/>
              </w:rPr>
            </w:pPr>
            <w:r w:rsidRPr="00F80F1B">
              <w:rPr>
                <w:rFonts w:ascii="Arial Narrow" w:hAnsi="Arial Narrow" w:cs="Arial Narrow"/>
                <w:sz w:val="16"/>
                <w:szCs w:val="16"/>
              </w:rPr>
              <w:t>Zdroje príslušnej kapitoly</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7 508</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7 905</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8 522</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8 033</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8 027</w:t>
            </w:r>
          </w:p>
        </w:tc>
        <w:tc>
          <w:tcPr>
            <w:tcW w:w="945"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F80F1B" w:rsidP="001E5B24">
            <w:pPr>
              <w:bidi w:val="0"/>
              <w:jc w:val="right"/>
              <w:rPr>
                <w:rFonts w:ascii="Arial Narrow" w:hAnsi="Arial Narrow" w:cs="Arial"/>
                <w:color w:val="000000"/>
                <w:sz w:val="16"/>
                <w:szCs w:val="16"/>
              </w:rPr>
            </w:pPr>
            <w:r w:rsidRPr="00F80F1B">
              <w:rPr>
                <w:rFonts w:ascii="Arial Narrow" w:hAnsi="Arial Narrow" w:cs="Arial"/>
                <w:color w:val="000000"/>
                <w:sz w:val="16"/>
                <w:szCs w:val="16"/>
              </w:rPr>
              <w:t>8 027</w:t>
            </w:r>
          </w:p>
        </w:tc>
      </w:tr>
    </w:tbl>
    <w:p w:rsidR="001E5B24" w:rsidRPr="009A50DC" w:rsidP="001E5B24">
      <w:pPr>
        <w:bidi w:val="0"/>
        <w:jc w:val="both"/>
        <w:rPr>
          <w:rFonts w:ascii="Arial Narrow" w:hAnsi="Arial Narrow" w:cs="Arial Narrow"/>
          <w:b/>
          <w:bCs/>
          <w:sz w:val="20"/>
          <w:szCs w:val="20"/>
        </w:rPr>
      </w:pPr>
    </w:p>
    <w:p w:rsidR="001E5B24" w:rsidRPr="00F83D06" w:rsidP="001E5B24">
      <w:pPr>
        <w:bidi w:val="0"/>
        <w:ind w:firstLine="708"/>
        <w:jc w:val="both"/>
        <w:rPr>
          <w:rFonts w:ascii="Arial Narrow" w:hAnsi="Arial Narrow" w:cs="Arial Narrow"/>
          <w:sz w:val="22"/>
          <w:szCs w:val="22"/>
        </w:rPr>
      </w:pPr>
      <w:r w:rsidRPr="00F83D06">
        <w:rPr>
          <w:rFonts w:ascii="Arial Narrow" w:hAnsi="Arial Narrow" w:cs="Arial Narrow"/>
          <w:sz w:val="22"/>
          <w:szCs w:val="22"/>
        </w:rPr>
        <w:t xml:space="preserve">Výdavky pre </w:t>
      </w:r>
      <w:r w:rsidRPr="00FF6F1C">
        <w:rPr>
          <w:rFonts w:ascii="Arial Narrow" w:hAnsi="Arial Narrow" w:cs="Arial Narrow"/>
          <w:sz w:val="22"/>
          <w:szCs w:val="22"/>
        </w:rPr>
        <w:t>Najvyšší súd SR</w:t>
      </w:r>
      <w:r w:rsidRPr="00F83D06">
        <w:rPr>
          <w:rFonts w:ascii="Arial Narrow" w:hAnsi="Arial Narrow" w:cs="Arial Narrow"/>
          <w:sz w:val="22"/>
          <w:szCs w:val="22"/>
        </w:rPr>
        <w:t xml:space="preserve"> sú na rok 2011 rozpočtované v sume 8,</w:t>
      </w:r>
      <w:r>
        <w:rPr>
          <w:rFonts w:ascii="Arial Narrow" w:hAnsi="Arial Narrow" w:cs="Arial Narrow"/>
          <w:sz w:val="22"/>
          <w:szCs w:val="22"/>
        </w:rPr>
        <w:t>03</w:t>
      </w:r>
      <w:r w:rsidRPr="00F83D06">
        <w:rPr>
          <w:rFonts w:ascii="Arial Narrow" w:hAnsi="Arial Narrow" w:cs="Arial Narrow"/>
          <w:sz w:val="22"/>
          <w:szCs w:val="22"/>
        </w:rPr>
        <w:t xml:space="preserve"> mil. eur a sú určené</w:t>
      </w:r>
      <w:r w:rsidRPr="00F83D06">
        <w:rPr>
          <w:rFonts w:ascii="Arial Narrow" w:hAnsi="Arial Narrow" w:cs="Arial Narrow"/>
          <w:b/>
          <w:bCs/>
          <w:sz w:val="22"/>
          <w:szCs w:val="22"/>
        </w:rPr>
        <w:t xml:space="preserve"> </w:t>
      </w:r>
      <w:r w:rsidRPr="00F83D06">
        <w:rPr>
          <w:rFonts w:ascii="Arial Narrow" w:hAnsi="Arial Narrow" w:cs="Arial Narrow"/>
          <w:sz w:val="22"/>
          <w:szCs w:val="22"/>
        </w:rPr>
        <w:t xml:space="preserve">na zabezpečenie kvalifikovaného výkonu súdnej moci vrátane zabezpečenia ochrany ústavnosti v presne vymedzených prípadoch s osobitným zreteľom na ochranu práv a slobôd a súlad slovenského právneho poriadku. </w:t>
      </w:r>
    </w:p>
    <w:p w:rsidR="001E5B24" w:rsidRPr="00645FB5" w:rsidP="001E5B24">
      <w:pPr>
        <w:bidi w:val="0"/>
        <w:jc w:val="both"/>
        <w:rPr>
          <w:rFonts w:ascii="Arial Narrow" w:hAnsi="Arial Narrow" w:cs="Arial Narrow"/>
          <w:sz w:val="22"/>
          <w:szCs w:val="22"/>
        </w:rPr>
      </w:pPr>
    </w:p>
    <w:p w:rsidR="001E5B24" w:rsidRPr="00645FB5"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 roku 2011 oproti schválenému rozpočtu roka 2010 </w:t>
      </w:r>
      <w:r w:rsidRPr="00645FB5">
        <w:rPr>
          <w:rFonts w:ascii="Arial Narrow" w:hAnsi="Arial Narrow" w:cs="Arial Narrow"/>
          <w:sz w:val="22"/>
          <w:szCs w:val="22"/>
        </w:rPr>
        <w:t xml:space="preserve">dochádza k poklesu výdavkov kapitoly o 489 tis. eur, čo predstavuje 5,74 %. </w:t>
      </w:r>
    </w:p>
    <w:p w:rsidR="001E5B24" w:rsidRPr="00645FB5" w:rsidP="001E5B24">
      <w:pPr>
        <w:bidi w:val="0"/>
        <w:jc w:val="both"/>
        <w:rPr>
          <w:rFonts w:ascii="Arial Narrow" w:hAnsi="Arial Narrow" w:cs="Arial Narrow"/>
          <w:sz w:val="22"/>
          <w:szCs w:val="22"/>
        </w:rPr>
      </w:pPr>
    </w:p>
    <w:p w:rsidR="001E5B24" w:rsidRPr="000342A9" w:rsidP="001E5B24">
      <w:pPr>
        <w:bidi w:val="0"/>
        <w:ind w:firstLine="708"/>
        <w:jc w:val="both"/>
        <w:rPr>
          <w:rFonts w:ascii="Arial Narrow" w:hAnsi="Arial Narrow" w:cs="Arial Narrow"/>
          <w:sz w:val="22"/>
          <w:szCs w:val="22"/>
        </w:rPr>
      </w:pPr>
      <w:r w:rsidRPr="00DB394A">
        <w:rPr>
          <w:rFonts w:ascii="Arial Narrow" w:hAnsi="Arial Narrow" w:cs="Arial Narrow"/>
          <w:sz w:val="22"/>
          <w:szCs w:val="22"/>
        </w:rPr>
        <w:t xml:space="preserve">Objem osobných výdavkov sa </w:t>
      </w:r>
      <w:r>
        <w:rPr>
          <w:rFonts w:ascii="Arial Narrow" w:hAnsi="Arial Narrow" w:cs="Arial Narrow"/>
          <w:sz w:val="22"/>
          <w:szCs w:val="22"/>
        </w:rPr>
        <w:t>na</w:t>
      </w:r>
      <w:r w:rsidRPr="00DB394A">
        <w:rPr>
          <w:rFonts w:ascii="Arial Narrow" w:hAnsi="Arial Narrow" w:cs="Arial Narrow"/>
          <w:sz w:val="22"/>
          <w:szCs w:val="22"/>
        </w:rPr>
        <w:t xml:space="preserve"> rok 2011 rozpočtuje na úrovni 7,13 mil. eur, čo v porovnaní so schváleným </w:t>
      </w:r>
      <w:r>
        <w:rPr>
          <w:rFonts w:ascii="Arial Narrow" w:hAnsi="Arial Narrow" w:cs="Arial Narrow"/>
          <w:sz w:val="22"/>
          <w:szCs w:val="22"/>
        </w:rPr>
        <w:t xml:space="preserve">rozpočtom na rok </w:t>
      </w:r>
      <w:r w:rsidRPr="00DB394A">
        <w:rPr>
          <w:rFonts w:ascii="Arial Narrow" w:hAnsi="Arial Narrow" w:cs="Arial Narrow"/>
          <w:sz w:val="22"/>
          <w:szCs w:val="22"/>
        </w:rPr>
        <w:t xml:space="preserve">2010 predstavuje pokles o 5,50 % (415 tis. eur). Medziročný pokles osobných výdavkov je ovplyvnený viazaním osobných výdavkov na úrovni 10 % </w:t>
      </w:r>
      <w:r w:rsidR="00475F5B">
        <w:rPr>
          <w:rFonts w:ascii="Arial Narrow" w:hAnsi="Arial Narrow" w:cs="Arial Narrow"/>
          <w:sz w:val="22"/>
          <w:szCs w:val="22"/>
        </w:rPr>
        <w:t>pre</w:t>
      </w:r>
      <w:r w:rsidRPr="00DB394A">
        <w:rPr>
          <w:rFonts w:ascii="Arial Narrow" w:hAnsi="Arial Narrow" w:cs="Arial Narrow"/>
          <w:sz w:val="22"/>
          <w:szCs w:val="22"/>
        </w:rPr>
        <w:t xml:space="preserve"> štátnych zamestnancov, zamestnancov pri výkone práce vo verejnom záujme a sudcov, pri zohľadnení dopočtu 1% valorizácie z roku 2010 pre všetkých zamestnancov, s výnimkou sudcov kde nárast platov bol dopočítaný vo výške 2,95 %.</w:t>
      </w:r>
      <w:r>
        <w:rPr>
          <w:rFonts w:ascii="Arial Narrow" w:hAnsi="Arial Narrow" w:cs="Arial Narrow"/>
          <w:sz w:val="22"/>
          <w:szCs w:val="22"/>
        </w:rPr>
        <w:t xml:space="preserve"> </w:t>
      </w:r>
    </w:p>
    <w:p w:rsidR="001E5B24" w:rsidRPr="000342A9" w:rsidP="001E5B24">
      <w:pPr>
        <w:bidi w:val="0"/>
        <w:jc w:val="both"/>
        <w:rPr>
          <w:rFonts w:ascii="Arial Narrow" w:hAnsi="Arial Narrow" w:cs="Arial Narrow"/>
          <w:sz w:val="22"/>
          <w:szCs w:val="22"/>
        </w:rPr>
      </w:pPr>
    </w:p>
    <w:p w:rsidR="001E5B24" w:rsidRPr="00FF6F1C" w:rsidP="001E5B24">
      <w:pPr>
        <w:bidi w:val="0"/>
        <w:ind w:firstLine="708"/>
        <w:jc w:val="both"/>
        <w:rPr>
          <w:rFonts w:ascii="Arial Narrow" w:hAnsi="Arial Narrow" w:cs="Arial Narrow"/>
          <w:sz w:val="22"/>
          <w:szCs w:val="22"/>
        </w:rPr>
      </w:pPr>
      <w:r>
        <w:rPr>
          <w:rFonts w:ascii="Arial Narrow" w:hAnsi="Arial Narrow" w:cs="Arial Narrow"/>
          <w:sz w:val="22"/>
          <w:szCs w:val="22"/>
        </w:rPr>
        <w:t>V</w:t>
      </w:r>
      <w:r w:rsidRPr="00F83D06">
        <w:rPr>
          <w:rFonts w:ascii="Arial Narrow" w:hAnsi="Arial Narrow" w:cs="Arial Narrow"/>
          <w:sz w:val="22"/>
          <w:szCs w:val="22"/>
        </w:rPr>
        <w:t>ýdavky na tovary a</w:t>
      </w:r>
      <w:r>
        <w:rPr>
          <w:rFonts w:ascii="Arial Narrow" w:hAnsi="Arial Narrow" w:cs="Arial Narrow"/>
          <w:sz w:val="22"/>
          <w:szCs w:val="22"/>
        </w:rPr>
        <w:t> </w:t>
      </w:r>
      <w:r w:rsidRPr="00F83D06">
        <w:rPr>
          <w:rFonts w:ascii="Arial Narrow" w:hAnsi="Arial Narrow" w:cs="Arial Narrow"/>
          <w:sz w:val="22"/>
          <w:szCs w:val="22"/>
        </w:rPr>
        <w:t>služby</w:t>
      </w:r>
      <w:r>
        <w:rPr>
          <w:rFonts w:ascii="Arial Narrow" w:hAnsi="Arial Narrow" w:cs="Arial Narrow"/>
          <w:sz w:val="22"/>
          <w:szCs w:val="22"/>
        </w:rPr>
        <w:t xml:space="preserve"> oproti</w:t>
      </w:r>
      <w:r w:rsidRPr="00F83D06">
        <w:rPr>
          <w:rFonts w:ascii="Arial Narrow" w:hAnsi="Arial Narrow" w:cs="Arial Narrow"/>
          <w:sz w:val="22"/>
          <w:szCs w:val="22"/>
        </w:rPr>
        <w:t xml:space="preserve"> </w:t>
      </w:r>
      <w:r>
        <w:rPr>
          <w:rFonts w:ascii="Arial Narrow" w:hAnsi="Arial Narrow" w:cs="Arial Narrow"/>
          <w:sz w:val="22"/>
          <w:szCs w:val="22"/>
        </w:rPr>
        <w:t xml:space="preserve">schválenému rozpočtu </w:t>
      </w:r>
      <w:r w:rsidRPr="00F83D06">
        <w:rPr>
          <w:rFonts w:ascii="Arial Narrow" w:hAnsi="Arial Narrow" w:cs="Arial Narrow"/>
          <w:sz w:val="22"/>
          <w:szCs w:val="22"/>
        </w:rPr>
        <w:t>rok</w:t>
      </w:r>
      <w:r>
        <w:rPr>
          <w:rFonts w:ascii="Arial Narrow" w:hAnsi="Arial Narrow" w:cs="Arial Narrow"/>
          <w:sz w:val="22"/>
          <w:szCs w:val="22"/>
        </w:rPr>
        <w:t>a</w:t>
      </w:r>
      <w:r w:rsidRPr="00F83D06">
        <w:rPr>
          <w:rFonts w:ascii="Arial Narrow" w:hAnsi="Arial Narrow" w:cs="Arial Narrow"/>
          <w:sz w:val="22"/>
          <w:szCs w:val="22"/>
        </w:rPr>
        <w:t xml:space="preserve"> 2010 </w:t>
      </w:r>
      <w:r w:rsidRPr="00FF6F1C">
        <w:rPr>
          <w:rFonts w:ascii="Arial Narrow" w:hAnsi="Arial Narrow" w:cs="Arial Narrow"/>
          <w:sz w:val="22"/>
          <w:szCs w:val="22"/>
        </w:rPr>
        <w:t>klesajú o 10,0 %.</w:t>
      </w:r>
    </w:p>
    <w:p w:rsidR="001E5B24" w:rsidRPr="00645FB5" w:rsidP="001E5B24">
      <w:pPr>
        <w:bidi w:val="0"/>
        <w:jc w:val="both"/>
        <w:rPr>
          <w:rFonts w:ascii="Arial Narrow" w:hAnsi="Arial Narrow" w:cs="Arial Narrow"/>
          <w:sz w:val="22"/>
          <w:szCs w:val="22"/>
        </w:rPr>
      </w:pPr>
    </w:p>
    <w:p w:rsidR="001E5B24" w:rsidRPr="00645FB5" w:rsidP="001E5B24">
      <w:pPr>
        <w:bidi w:val="0"/>
        <w:ind w:firstLine="708"/>
        <w:jc w:val="both"/>
        <w:rPr>
          <w:rFonts w:ascii="Arial Narrow" w:hAnsi="Arial Narrow" w:cs="Arial Narrow"/>
          <w:sz w:val="22"/>
          <w:szCs w:val="22"/>
        </w:rPr>
      </w:pPr>
      <w:r w:rsidRPr="00645FB5">
        <w:rPr>
          <w:rFonts w:ascii="Arial Narrow" w:hAnsi="Arial Narrow" w:cs="Arial Narrow"/>
          <w:sz w:val="22"/>
          <w:szCs w:val="22"/>
        </w:rPr>
        <w:t>Kapitálové výdavky rastú o 5,97 tis. eur, čo predstavuje 5,96 % a sú určené na zabezpečenie bežnej investičnej činnosti kapitoly.</w:t>
      </w:r>
    </w:p>
    <w:p w:rsidR="001E5B24" w:rsidRPr="00645FB5" w:rsidP="001E5B24">
      <w:pPr>
        <w:bidi w:val="0"/>
        <w:rPr>
          <w:rFonts w:ascii="Arial Narrow" w:hAnsi="Arial Narrow" w:cs="Arial Narrow"/>
          <w:sz w:val="22"/>
          <w:szCs w:val="22"/>
          <w:u w:val="single"/>
        </w:rPr>
      </w:pPr>
    </w:p>
    <w:p w:rsidR="001E5B24" w:rsidRPr="00F83D06" w:rsidP="001E5B24">
      <w:pPr>
        <w:bidi w:val="0"/>
        <w:spacing w:after="120"/>
        <w:ind w:firstLine="708"/>
        <w:jc w:val="both"/>
        <w:rPr>
          <w:rFonts w:ascii="Arial Narrow" w:hAnsi="Arial Narrow" w:cs="Arial Narrow"/>
          <w:sz w:val="22"/>
          <w:szCs w:val="22"/>
        </w:rPr>
      </w:pPr>
      <w:r w:rsidRPr="00645FB5">
        <w:rPr>
          <w:rFonts w:ascii="Arial Narrow" w:hAnsi="Arial Narrow" w:cs="Arial Narrow"/>
          <w:sz w:val="22"/>
          <w:szCs w:val="22"/>
        </w:rPr>
        <w:t>V rámci kapitoly Najvyššieho súdu SR</w:t>
      </w:r>
      <w:r w:rsidRPr="00F83D06">
        <w:rPr>
          <w:rFonts w:ascii="Arial Narrow" w:hAnsi="Arial Narrow" w:cs="Arial Narrow"/>
          <w:sz w:val="22"/>
          <w:szCs w:val="22"/>
        </w:rPr>
        <w:t xml:space="preserve"> sú rozpočtované prostriedky aj na činnosť Kancelárie Súdnej rady SR, ktoré tvoria </w:t>
      </w:r>
      <w:r>
        <w:rPr>
          <w:rFonts w:ascii="Arial Narrow" w:hAnsi="Arial Narrow" w:cs="Arial Narrow"/>
          <w:sz w:val="22"/>
          <w:szCs w:val="22"/>
        </w:rPr>
        <w:t>sumu 467 tis. eur</w:t>
      </w:r>
      <w:r w:rsidRPr="00F83D06">
        <w:rPr>
          <w:rFonts w:ascii="Arial Narrow" w:hAnsi="Arial Narrow" w:cs="Arial Narrow"/>
          <w:sz w:val="22"/>
          <w:szCs w:val="22"/>
        </w:rPr>
        <w:t xml:space="preserve">. </w:t>
      </w:r>
    </w:p>
    <w:p w:rsidR="001E5B24" w:rsidRPr="001F30F9" w:rsidP="001E5B24">
      <w:pPr>
        <w:bidi w:val="0"/>
        <w:ind w:firstLine="708"/>
        <w:jc w:val="both"/>
        <w:rPr>
          <w:rFonts w:ascii="Arial Narrow" w:hAnsi="Arial Narrow" w:cs="Arial Narrow"/>
          <w:sz w:val="22"/>
          <w:szCs w:val="22"/>
        </w:rPr>
      </w:pPr>
      <w:r w:rsidRPr="00F83D06">
        <w:rPr>
          <w:rFonts w:ascii="Arial Narrow" w:hAnsi="Arial Narrow" w:cs="Arial Narrow"/>
          <w:sz w:val="22"/>
          <w:szCs w:val="22"/>
        </w:rPr>
        <w:t>Medziročn</w:t>
      </w:r>
      <w:r>
        <w:rPr>
          <w:rFonts w:ascii="Arial Narrow" w:hAnsi="Arial Narrow" w:cs="Arial Narrow"/>
          <w:sz w:val="22"/>
          <w:szCs w:val="22"/>
        </w:rPr>
        <w:t>e</w:t>
      </w:r>
      <w:r w:rsidRPr="00F83D06">
        <w:rPr>
          <w:rFonts w:ascii="Arial Narrow" w:hAnsi="Arial Narrow" w:cs="Arial Narrow"/>
          <w:sz w:val="22"/>
          <w:szCs w:val="22"/>
        </w:rPr>
        <w:t xml:space="preserve"> sa výdavky pre </w:t>
      </w:r>
      <w:r w:rsidRPr="005C43FB">
        <w:rPr>
          <w:rFonts w:ascii="Arial Narrow" w:hAnsi="Arial Narrow" w:cs="Arial Narrow"/>
          <w:sz w:val="22"/>
          <w:szCs w:val="22"/>
        </w:rPr>
        <w:t>Kanceláriu Súdnej rady SR zvýšili o 167 tis. eur, čo predstavuje </w:t>
      </w:r>
      <w:r>
        <w:rPr>
          <w:rFonts w:ascii="Arial Narrow" w:hAnsi="Arial Narrow" w:cs="Arial Narrow"/>
          <w:sz w:val="22"/>
          <w:szCs w:val="22"/>
        </w:rPr>
        <w:t xml:space="preserve">oproti </w:t>
      </w:r>
      <w:r w:rsidRPr="001F30F9">
        <w:rPr>
          <w:rFonts w:ascii="Arial Narrow" w:hAnsi="Arial Narrow" w:cs="Arial Narrow"/>
          <w:sz w:val="22"/>
          <w:szCs w:val="22"/>
        </w:rPr>
        <w:t xml:space="preserve">schválenému rozpočtu roka 2010 nárast o 59,0 %, ktorý je spôsobený presunom výdavkov v pôsobnosti kapitoly. </w:t>
      </w:r>
    </w:p>
    <w:p w:rsidR="001E5B24" w:rsidP="001E5B24">
      <w:pPr>
        <w:bidi w:val="0"/>
        <w:jc w:val="both"/>
        <w:rPr>
          <w:rFonts w:ascii="Arial Narrow" w:hAnsi="Arial Narrow" w:cs="Arial Narrow"/>
          <w:b/>
          <w:bCs/>
          <w:sz w:val="22"/>
          <w:szCs w:val="22"/>
        </w:rPr>
      </w:pPr>
    </w:p>
    <w:p w:rsidR="001E5B24" w:rsidRPr="001F30F9" w:rsidP="001E5B24">
      <w:pPr>
        <w:bidi w:val="0"/>
        <w:jc w:val="both"/>
        <w:rPr>
          <w:rFonts w:ascii="Arial Narrow" w:hAnsi="Arial Narrow" w:cs="Arial Narrow"/>
          <w:b/>
          <w:bCs/>
          <w:sz w:val="22"/>
          <w:szCs w:val="22"/>
        </w:rPr>
      </w:pPr>
    </w:p>
    <w:p w:rsidR="001E5B24" w:rsidRPr="001F30F9" w:rsidP="001E5B24">
      <w:pPr>
        <w:pBdr>
          <w:bottom w:val="single" w:sz="4" w:space="1" w:color="auto"/>
        </w:pBdr>
        <w:bidi w:val="0"/>
        <w:jc w:val="both"/>
        <w:rPr>
          <w:rFonts w:ascii="Arial Narrow" w:hAnsi="Arial Narrow" w:cs="Arial Narrow"/>
          <w:sz w:val="22"/>
          <w:szCs w:val="22"/>
        </w:rPr>
      </w:pPr>
      <w:r w:rsidRPr="001F30F9">
        <w:rPr>
          <w:rFonts w:ascii="Arial Narrow" w:hAnsi="Arial Narrow" w:cs="Arial Narrow"/>
          <w:b/>
          <w:bCs/>
          <w:sz w:val="22"/>
          <w:szCs w:val="22"/>
        </w:rPr>
        <w:t>Generálna prokuratúra SR</w:t>
      </w:r>
    </w:p>
    <w:p w:rsidR="001E5B24" w:rsidRPr="001F30F9" w:rsidP="001E5B24">
      <w:pPr>
        <w:bidi w:val="0"/>
        <w:jc w:val="both"/>
        <w:rPr>
          <w:rFonts w:ascii="Arial Narrow" w:hAnsi="Arial Narrow" w:cs="Arial Narrow"/>
          <w:sz w:val="22"/>
          <w:szCs w:val="22"/>
        </w:rPr>
      </w:pPr>
    </w:p>
    <w:tbl>
      <w:tblPr>
        <w:tblStyle w:val="TableNormal"/>
        <w:tblW w:w="9087" w:type="dxa"/>
        <w:tblInd w:w="55" w:type="dxa"/>
        <w:tblLayout w:type="fixed"/>
        <w:tblCellMar>
          <w:left w:w="70" w:type="dxa"/>
          <w:right w:w="70" w:type="dxa"/>
        </w:tblCellMar>
        <w:tblLook w:val="00A0"/>
      </w:tblPr>
      <w:tblGrid>
        <w:gridCol w:w="3417"/>
        <w:gridCol w:w="945"/>
        <w:gridCol w:w="945"/>
        <w:gridCol w:w="945"/>
        <w:gridCol w:w="945"/>
        <w:gridCol w:w="945"/>
        <w:gridCol w:w="945"/>
      </w:tblGrid>
      <w:tr>
        <w:tblPrEx>
          <w:tblW w:w="9087" w:type="dxa"/>
          <w:tblInd w:w="55" w:type="dxa"/>
          <w:tblLayout w:type="fixed"/>
          <w:tblCellMar>
            <w:left w:w="70" w:type="dxa"/>
            <w:right w:w="70" w:type="dxa"/>
          </w:tblCellMar>
          <w:tblLook w:val="00A0"/>
        </w:tblPrEx>
        <w:trPr>
          <w:trHeight w:val="230"/>
        </w:trPr>
        <w:tc>
          <w:tcPr>
            <w:tcW w:w="3417"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45"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45"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45"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45" w:type="dxa"/>
            <w:tcBorders>
              <w:top w:val="single" w:sz="4" w:space="0" w:color="auto"/>
              <w:left w:val="nil"/>
              <w:bottom w:val="single" w:sz="4" w:space="0" w:color="auto"/>
              <w:right w:val="single" w:sz="4" w:space="0" w:color="auto"/>
            </w:tcBorders>
            <w:shd w:val="clear" w:color="000000" w:fill="auto"/>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87" w:type="dxa"/>
          <w:tblInd w:w="55" w:type="dxa"/>
          <w:tblLayout w:type="fixed"/>
          <w:tblCellMar>
            <w:left w:w="70" w:type="dxa"/>
            <w:right w:w="70" w:type="dxa"/>
          </w:tblCellMar>
          <w:tblLook w:val="00A0"/>
        </w:tblPrEx>
        <w:trPr>
          <w:trHeight w:val="230"/>
        </w:trPr>
        <w:tc>
          <w:tcPr>
            <w:tcW w:w="3417"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1E5B24" w:rsidRPr="00950B03" w:rsidP="001E5B24">
            <w:pPr>
              <w:bidi w:val="0"/>
              <w:rPr>
                <w:rFonts w:ascii="Arial Narrow" w:hAnsi="Arial Narrow" w:cs="Arial Narrow"/>
                <w:sz w:val="16"/>
                <w:szCs w:val="16"/>
              </w:rPr>
            </w:pPr>
            <w:r w:rsidRPr="00950B03">
              <w:rPr>
                <w:rFonts w:ascii="Arial Narrow" w:hAnsi="Arial Narrow" w:cs="Arial Narrow"/>
                <w:sz w:val="16"/>
                <w:szCs w:val="16"/>
              </w:rPr>
              <w:t>Zdroje príslušnej kapitoly</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59 145</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63 023</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62 503</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61 138</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56 966</w:t>
            </w:r>
          </w:p>
        </w:tc>
        <w:tc>
          <w:tcPr>
            <w:tcW w:w="945" w:type="dxa"/>
            <w:tcBorders>
              <w:top w:val="single" w:sz="4" w:space="0" w:color="auto"/>
              <w:left w:val="nil"/>
              <w:bottom w:val="single" w:sz="4" w:space="0" w:color="auto"/>
              <w:right w:val="single" w:sz="4" w:space="0" w:color="auto"/>
            </w:tcBorders>
            <w:shd w:val="clear" w:color="000000" w:fill="auto"/>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56 799</w:t>
            </w:r>
          </w:p>
        </w:tc>
      </w:tr>
    </w:tbl>
    <w:p w:rsidR="001E5B24" w:rsidRPr="00AE557C" w:rsidP="001E5B24">
      <w:pPr>
        <w:bidi w:val="0"/>
        <w:jc w:val="both"/>
        <w:rPr>
          <w:rFonts w:ascii="Arial Narrow" w:hAnsi="Arial Narrow" w:cs="Arial Narrow"/>
          <w:sz w:val="20"/>
          <w:szCs w:val="20"/>
        </w:rPr>
      </w:pPr>
    </w:p>
    <w:p w:rsidR="001E5B24" w:rsidRPr="000B4E38" w:rsidP="001E5B24">
      <w:pPr>
        <w:bidi w:val="0"/>
        <w:ind w:firstLine="708"/>
        <w:jc w:val="both"/>
        <w:rPr>
          <w:rFonts w:ascii="Arial Narrow" w:hAnsi="Arial Narrow" w:cs="Arial Narrow"/>
          <w:sz w:val="22"/>
          <w:szCs w:val="22"/>
        </w:rPr>
      </w:pPr>
      <w:r w:rsidRPr="000B4E38">
        <w:rPr>
          <w:rFonts w:ascii="Arial Narrow" w:hAnsi="Arial Narrow" w:cs="Arial Narrow"/>
          <w:sz w:val="22"/>
          <w:szCs w:val="22"/>
        </w:rPr>
        <w:t>Výdavky Generálnej prokuratúry SR sú na rok 2011 rozpočtované v sume 61,</w:t>
      </w:r>
      <w:r>
        <w:rPr>
          <w:rFonts w:ascii="Arial Narrow" w:hAnsi="Arial Narrow" w:cs="Arial Narrow"/>
          <w:sz w:val="22"/>
          <w:szCs w:val="22"/>
        </w:rPr>
        <w:t>1</w:t>
      </w:r>
      <w:r w:rsidRPr="000B4E38">
        <w:rPr>
          <w:rFonts w:ascii="Arial Narrow" w:hAnsi="Arial Narrow" w:cs="Arial Narrow"/>
          <w:sz w:val="22"/>
          <w:szCs w:val="22"/>
        </w:rPr>
        <w:t xml:space="preserve"> mil. eur a sú určené na presadzovanie zákonnosti</w:t>
      </w:r>
      <w:r w:rsidRPr="000B4E38">
        <w:rPr>
          <w:rFonts w:ascii="Arial Narrow" w:hAnsi="Arial Narrow" w:cs="Arial Narrow"/>
          <w:sz w:val="22"/>
          <w:szCs w:val="22"/>
          <w:lang w:eastAsia="en-US"/>
        </w:rPr>
        <w:t xml:space="preserve"> a</w:t>
      </w:r>
      <w:r w:rsidRPr="000B4E38">
        <w:rPr>
          <w:rFonts w:ascii="Arial Narrow" w:hAnsi="Arial Narrow" w:cs="Arial Narrow"/>
          <w:sz w:val="22"/>
          <w:szCs w:val="22"/>
        </w:rPr>
        <w:t xml:space="preserve"> efektivity vo vyšetrovacích a prokurátorských praktikách na kvalitný výkon a účinnosť prokurátorského dozoru v trestnom konaní, dodržiavanie zákonov v netrestnej oblasti pre skvalitnenie postupu a rozhodovania orgánov verejnej správy a na vytvorenie priaznivých materiálnych a finančných podmienok na plnenie úloh rezortu prokuratúry. </w:t>
      </w:r>
    </w:p>
    <w:p w:rsidR="001E5B24" w:rsidRPr="000B4E38" w:rsidP="001E5B24">
      <w:pPr>
        <w:bidi w:val="0"/>
        <w:jc w:val="both"/>
        <w:rPr>
          <w:rFonts w:ascii="Arial Narrow" w:hAnsi="Arial Narrow" w:cs="Arial Narrow"/>
          <w:sz w:val="22"/>
          <w:szCs w:val="22"/>
        </w:rPr>
      </w:pPr>
    </w:p>
    <w:p w:rsidR="001E5B24" w:rsidRPr="000B4E38" w:rsidP="001E5B24">
      <w:pPr>
        <w:bidi w:val="0"/>
        <w:ind w:firstLine="708"/>
        <w:jc w:val="both"/>
        <w:rPr>
          <w:rFonts w:ascii="Arial Narrow" w:hAnsi="Arial Narrow" w:cs="Arial Narrow"/>
          <w:sz w:val="22"/>
          <w:szCs w:val="22"/>
        </w:rPr>
      </w:pPr>
      <w:r w:rsidRPr="000B4E38">
        <w:rPr>
          <w:rFonts w:ascii="Arial Narrow" w:hAnsi="Arial Narrow" w:cs="Arial Narrow"/>
          <w:sz w:val="22"/>
          <w:szCs w:val="22"/>
        </w:rPr>
        <w:t xml:space="preserve">V roku 2011 dochádza </w:t>
      </w:r>
      <w:r>
        <w:rPr>
          <w:rFonts w:ascii="Arial Narrow" w:hAnsi="Arial Narrow" w:cs="Arial Narrow"/>
          <w:sz w:val="22"/>
          <w:szCs w:val="22"/>
        </w:rPr>
        <w:t xml:space="preserve">v porovnaní so schváleným rozpočtom na rok 2010 </w:t>
      </w:r>
      <w:r w:rsidRPr="000B4E38">
        <w:rPr>
          <w:rFonts w:ascii="Arial Narrow" w:hAnsi="Arial Narrow" w:cs="Arial Narrow"/>
          <w:sz w:val="22"/>
          <w:szCs w:val="22"/>
        </w:rPr>
        <w:t>k poklesu celkových výdavkov o 1,36 mil. eur, čo predstavuje </w:t>
      </w:r>
      <w:r>
        <w:rPr>
          <w:rFonts w:ascii="Arial Narrow" w:hAnsi="Arial Narrow" w:cs="Arial Narrow"/>
          <w:sz w:val="22"/>
          <w:szCs w:val="22"/>
        </w:rPr>
        <w:t xml:space="preserve">iba </w:t>
      </w:r>
      <w:r w:rsidRPr="000B4E38">
        <w:rPr>
          <w:rFonts w:ascii="Arial Narrow" w:hAnsi="Arial Narrow" w:cs="Arial Narrow"/>
          <w:sz w:val="22"/>
          <w:szCs w:val="22"/>
        </w:rPr>
        <w:t xml:space="preserve">2,18%. V kapitole sa </w:t>
      </w:r>
      <w:r w:rsidR="00271764">
        <w:rPr>
          <w:rFonts w:ascii="Arial Narrow" w:hAnsi="Arial Narrow" w:cs="Arial Narrow"/>
          <w:sz w:val="22"/>
          <w:szCs w:val="22"/>
        </w:rPr>
        <w:t>na</w:t>
      </w:r>
      <w:r>
        <w:rPr>
          <w:rFonts w:ascii="Arial Narrow" w:hAnsi="Arial Narrow" w:cs="Arial Narrow"/>
          <w:sz w:val="22"/>
          <w:szCs w:val="22"/>
        </w:rPr>
        <w:t xml:space="preserve"> rok 2011 </w:t>
      </w:r>
      <w:r w:rsidRPr="000B4E38">
        <w:rPr>
          <w:rFonts w:ascii="Arial Narrow" w:hAnsi="Arial Narrow" w:cs="Arial Narrow"/>
          <w:sz w:val="22"/>
          <w:szCs w:val="22"/>
        </w:rPr>
        <w:t xml:space="preserve">neuvažuje so znižovaním počtov prokurátorov a civilných zamestnancov, a zároveň sú výdavky na prevádzku a bežné transfery rozpočtované oproti upravenému rozpočtu roku 2010 na rovnakej úrovni. Zároveň je však kapitola pripravená </w:t>
      </w:r>
      <w:r>
        <w:rPr>
          <w:rFonts w:ascii="Arial Narrow" w:hAnsi="Arial Narrow" w:cs="Arial Narrow"/>
          <w:sz w:val="22"/>
          <w:szCs w:val="22"/>
        </w:rPr>
        <w:t xml:space="preserve">v roku 2011 v plnej miere </w:t>
      </w:r>
      <w:r w:rsidRPr="000B4E38">
        <w:rPr>
          <w:rFonts w:ascii="Arial Narrow" w:hAnsi="Arial Narrow" w:cs="Arial Narrow"/>
          <w:sz w:val="22"/>
          <w:szCs w:val="22"/>
        </w:rPr>
        <w:t>realizovať zabezpečenie implementácie nového zákona o</w:t>
      </w:r>
      <w:r>
        <w:rPr>
          <w:rFonts w:ascii="Arial Narrow" w:hAnsi="Arial Narrow" w:cs="Arial Narrow"/>
          <w:sz w:val="22"/>
          <w:szCs w:val="22"/>
        </w:rPr>
        <w:t> preukazovaní pôvodu majetku, ktorý je účinný od 1. 1. 2011.</w:t>
      </w:r>
    </w:p>
    <w:p w:rsidR="001E5B24" w:rsidRPr="000B4E38" w:rsidP="001E5B24">
      <w:pPr>
        <w:bidi w:val="0"/>
        <w:jc w:val="both"/>
        <w:rPr>
          <w:rFonts w:ascii="Arial Narrow" w:hAnsi="Arial Narrow" w:cs="Arial Narrow"/>
          <w:sz w:val="22"/>
          <w:szCs w:val="22"/>
        </w:rPr>
      </w:pPr>
    </w:p>
    <w:p w:rsidR="001E5B24" w:rsidRPr="000B4E38" w:rsidP="001E5B24">
      <w:pPr>
        <w:bidi w:val="0"/>
        <w:ind w:firstLine="708"/>
        <w:jc w:val="both"/>
        <w:rPr>
          <w:rFonts w:ascii="Arial Narrow" w:hAnsi="Arial Narrow" w:cs="Arial Narrow"/>
          <w:sz w:val="22"/>
          <w:szCs w:val="22"/>
        </w:rPr>
      </w:pPr>
      <w:r w:rsidRPr="007168CF">
        <w:rPr>
          <w:rFonts w:ascii="Arial Narrow" w:hAnsi="Arial Narrow" w:cs="Arial Narrow"/>
          <w:sz w:val="22"/>
          <w:szCs w:val="22"/>
        </w:rPr>
        <w:t xml:space="preserve">Objem osobných výdavkov sa </w:t>
      </w:r>
      <w:r>
        <w:rPr>
          <w:rFonts w:ascii="Arial Narrow" w:hAnsi="Arial Narrow" w:cs="Arial Narrow"/>
          <w:sz w:val="22"/>
          <w:szCs w:val="22"/>
        </w:rPr>
        <w:t>na</w:t>
      </w:r>
      <w:r w:rsidRPr="007168CF">
        <w:rPr>
          <w:rFonts w:ascii="Arial Narrow" w:hAnsi="Arial Narrow" w:cs="Arial Narrow"/>
          <w:sz w:val="22"/>
          <w:szCs w:val="22"/>
        </w:rPr>
        <w:t xml:space="preserve"> rok 2011 rozpočtuje na úrovni 50,0 mil. </w:t>
      </w:r>
      <w:r>
        <w:rPr>
          <w:rFonts w:ascii="Arial Narrow" w:hAnsi="Arial Narrow" w:cs="Arial Narrow"/>
          <w:sz w:val="22"/>
          <w:szCs w:val="22"/>
        </w:rPr>
        <w:t>eur</w:t>
      </w:r>
      <w:r w:rsidRPr="007168CF">
        <w:rPr>
          <w:rFonts w:ascii="Arial Narrow" w:hAnsi="Arial Narrow" w:cs="Arial Narrow"/>
          <w:sz w:val="22"/>
          <w:szCs w:val="22"/>
        </w:rPr>
        <w:t>, čo v porovnaní so schváleným </w:t>
      </w:r>
      <w:r>
        <w:rPr>
          <w:rFonts w:ascii="Arial Narrow" w:hAnsi="Arial Narrow" w:cs="Arial Narrow"/>
          <w:sz w:val="22"/>
          <w:szCs w:val="22"/>
        </w:rPr>
        <w:t xml:space="preserve">rozpočtom na rok </w:t>
      </w:r>
      <w:r w:rsidRPr="007168CF">
        <w:rPr>
          <w:rFonts w:ascii="Arial Narrow" w:hAnsi="Arial Narrow" w:cs="Arial Narrow"/>
          <w:sz w:val="22"/>
          <w:szCs w:val="22"/>
        </w:rPr>
        <w:t xml:space="preserve">2010 predstavuje pokles o 5,02 % (2,64 mil. </w:t>
      </w:r>
      <w:r>
        <w:rPr>
          <w:rFonts w:ascii="Arial Narrow" w:hAnsi="Arial Narrow" w:cs="Arial Narrow"/>
          <w:sz w:val="22"/>
          <w:szCs w:val="22"/>
        </w:rPr>
        <w:t>eur</w:t>
      </w:r>
      <w:r w:rsidRPr="007168CF">
        <w:rPr>
          <w:rFonts w:ascii="Arial Narrow" w:hAnsi="Arial Narrow" w:cs="Arial Narrow"/>
          <w:sz w:val="22"/>
          <w:szCs w:val="22"/>
        </w:rPr>
        <w:t xml:space="preserve">). Medziročný pokles osobných výdavkov je ovplyvnený viazaním osobných výdavkov na úrovni 10 % </w:t>
      </w:r>
      <w:r w:rsidR="00271764">
        <w:rPr>
          <w:rFonts w:ascii="Arial Narrow" w:hAnsi="Arial Narrow" w:cs="Arial Narrow"/>
          <w:sz w:val="22"/>
          <w:szCs w:val="22"/>
        </w:rPr>
        <w:t>pre</w:t>
      </w:r>
      <w:r w:rsidRPr="007168CF">
        <w:rPr>
          <w:rFonts w:ascii="Arial Narrow" w:hAnsi="Arial Narrow" w:cs="Arial Narrow"/>
          <w:sz w:val="22"/>
          <w:szCs w:val="22"/>
        </w:rPr>
        <w:t xml:space="preserve"> štátnych zamestnancov, zamestnancov pri výkone práce vo verejnom záujme a prokurátorov so zmiernením viazania o 1,00 mil. </w:t>
      </w:r>
      <w:r>
        <w:rPr>
          <w:rFonts w:ascii="Arial Narrow" w:hAnsi="Arial Narrow" w:cs="Arial Narrow"/>
          <w:sz w:val="22"/>
          <w:szCs w:val="22"/>
        </w:rPr>
        <w:t>eur</w:t>
      </w:r>
      <w:r w:rsidRPr="007168CF">
        <w:rPr>
          <w:rFonts w:ascii="Arial Narrow" w:hAnsi="Arial Narrow" w:cs="Arial Narrow"/>
          <w:sz w:val="22"/>
          <w:szCs w:val="22"/>
        </w:rPr>
        <w:t>, pri zohľadnení dopočtu 1% valorizácie z roku 2010 pre všetkých zamestnancov, s výnimkou prokurátorov kde nárast platov bol dopočítaný vo výške 2,95 %.</w:t>
      </w:r>
      <w:r w:rsidRPr="000B4E38">
        <w:rPr>
          <w:rFonts w:ascii="Arial Narrow" w:hAnsi="Arial Narrow" w:cs="Arial Narrow"/>
          <w:sz w:val="22"/>
          <w:szCs w:val="22"/>
        </w:rPr>
        <w:t xml:space="preserve">  </w:t>
      </w:r>
    </w:p>
    <w:p w:rsidR="001E5B24" w:rsidRPr="000B4E38"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0B4E38">
        <w:rPr>
          <w:rFonts w:ascii="Arial Narrow" w:hAnsi="Arial Narrow" w:cs="Arial Narrow"/>
          <w:sz w:val="22"/>
          <w:szCs w:val="22"/>
        </w:rPr>
        <w:t xml:space="preserve">Kapitálové výdavky rastú </w:t>
      </w:r>
      <w:r>
        <w:rPr>
          <w:rFonts w:ascii="Arial Narrow" w:hAnsi="Arial Narrow" w:cs="Arial Narrow"/>
          <w:sz w:val="22"/>
          <w:szCs w:val="22"/>
        </w:rPr>
        <w:t xml:space="preserve">síce oproti schválenému rozpočtu roku 2010 </w:t>
      </w:r>
      <w:r w:rsidRPr="000B4E38">
        <w:rPr>
          <w:rFonts w:ascii="Arial Narrow" w:hAnsi="Arial Narrow" w:cs="Arial Narrow"/>
          <w:sz w:val="22"/>
          <w:szCs w:val="22"/>
        </w:rPr>
        <w:t xml:space="preserve">o 1,71 mil. eur, </w:t>
      </w:r>
      <w:r>
        <w:rPr>
          <w:rFonts w:ascii="Arial Narrow" w:hAnsi="Arial Narrow" w:cs="Arial Narrow"/>
          <w:sz w:val="22"/>
          <w:szCs w:val="22"/>
        </w:rPr>
        <w:t xml:space="preserve">avšak oproti upravenému rozpočtu 2010 klesajú o 493 tis. Eur, </w:t>
      </w:r>
      <w:r w:rsidRPr="000B4E38">
        <w:rPr>
          <w:rFonts w:ascii="Arial Narrow" w:hAnsi="Arial Narrow" w:cs="Arial Narrow"/>
          <w:sz w:val="22"/>
          <w:szCs w:val="22"/>
        </w:rPr>
        <w:t>čo predstavuje </w:t>
      </w:r>
      <w:r>
        <w:rPr>
          <w:rFonts w:ascii="Arial Narrow" w:hAnsi="Arial Narrow" w:cs="Arial Narrow"/>
          <w:sz w:val="22"/>
          <w:szCs w:val="22"/>
        </w:rPr>
        <w:t>pokles o 18,9%.</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Najvyšší kontrolný úrad SR</w:t>
      </w:r>
    </w:p>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color w:val="000000"/>
          <w:sz w:val="22"/>
          <w:szCs w:val="22"/>
        </w:rPr>
      </w:pPr>
      <w:r w:rsidRPr="00366554">
        <w:rPr>
          <w:rFonts w:ascii="Arial Narrow" w:hAnsi="Arial Narrow" w:cs="Arial Narrow"/>
          <w:color w:val="000000"/>
          <w:sz w:val="22"/>
          <w:szCs w:val="22"/>
        </w:rPr>
        <w:t>V rozpočte Najvyššieho kontrolného úradu SR sa zohľadňuje predovšetkým zabezpečenie plnenia kontrolných úloh zameraných na spoločensky významné tematické problémy vrátane špecifických kontrolných akcií.</w:t>
      </w:r>
    </w:p>
    <w:p w:rsidR="001E5B24" w:rsidP="001E5B24">
      <w:pPr>
        <w:bidi w:val="0"/>
        <w:ind w:firstLine="708"/>
        <w:jc w:val="both"/>
        <w:rPr>
          <w:rFonts w:ascii="Arial Narrow" w:hAnsi="Arial Narrow" w:cs="Arial Narrow"/>
          <w:b/>
          <w:bCs/>
          <w:sz w:val="22"/>
          <w:szCs w:val="22"/>
        </w:rPr>
      </w:pPr>
    </w:p>
    <w:tbl>
      <w:tblPr>
        <w:tblStyle w:val="TableNormal"/>
        <w:tblW w:w="9087" w:type="dxa"/>
        <w:tblInd w:w="55" w:type="dxa"/>
        <w:tblLayout w:type="fixed"/>
        <w:tblCellMar>
          <w:left w:w="70" w:type="dxa"/>
          <w:right w:w="70" w:type="dxa"/>
        </w:tblCellMar>
      </w:tblPr>
      <w:tblGrid>
        <w:gridCol w:w="3417"/>
        <w:gridCol w:w="945"/>
        <w:gridCol w:w="945"/>
        <w:gridCol w:w="945"/>
        <w:gridCol w:w="945"/>
        <w:gridCol w:w="945"/>
        <w:gridCol w:w="945"/>
      </w:tblGrid>
      <w:tr>
        <w:tblPrEx>
          <w:tblW w:w="9087" w:type="dxa"/>
          <w:tblInd w:w="55" w:type="dxa"/>
          <w:tblLayout w:type="fixed"/>
          <w:tblCellMar>
            <w:left w:w="70" w:type="dxa"/>
            <w:right w:w="70" w:type="dxa"/>
          </w:tblCellMar>
        </w:tblPrEx>
        <w:trPr>
          <w:trHeight w:val="255"/>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9087" w:type="dxa"/>
          <w:tblInd w:w="55" w:type="dxa"/>
          <w:tblLayout w:type="fixed"/>
          <w:tblCellMar>
            <w:left w:w="70" w:type="dxa"/>
            <w:right w:w="70" w:type="dxa"/>
          </w:tblCellMar>
        </w:tblPrEx>
        <w:trPr>
          <w:trHeight w:val="255"/>
        </w:trPr>
        <w:tc>
          <w:tcPr>
            <w:tcW w:w="3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366554" w:rsidP="001E5B24">
            <w:pPr>
              <w:bidi w:val="0"/>
              <w:rPr>
                <w:rFonts w:ascii="Arial Narrow" w:hAnsi="Arial Narrow" w:cs="Arial Narrow"/>
                <w:b/>
                <w:bCs/>
                <w:sz w:val="16"/>
                <w:szCs w:val="16"/>
              </w:rPr>
            </w:pPr>
            <w:r w:rsidRPr="00366554">
              <w:rPr>
                <w:rFonts w:ascii="Arial Narrow" w:hAnsi="Arial Narrow" w:cs="Arial Narrow"/>
                <w:b/>
                <w:bCs/>
                <w:sz w:val="16"/>
                <w:szCs w:val="16"/>
              </w:rPr>
              <w:t>Zdroje príslušnej kapitoly</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6 878</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7 834</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8 196</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7 463</w:t>
            </w:r>
          </w:p>
        </w:tc>
        <w:tc>
          <w:tcPr>
            <w:tcW w:w="94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7 465</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7 465</w:t>
            </w:r>
          </w:p>
        </w:tc>
      </w:tr>
      <w:tr>
        <w:tblPrEx>
          <w:tblW w:w="9087" w:type="dxa"/>
          <w:tblInd w:w="55" w:type="dxa"/>
          <w:tblLayout w:type="fixed"/>
          <w:tblCellMar>
            <w:left w:w="70" w:type="dxa"/>
            <w:right w:w="70" w:type="dxa"/>
          </w:tblCellMar>
        </w:tblPrEx>
        <w:trPr>
          <w:trHeight w:val="255"/>
        </w:trPr>
        <w:tc>
          <w:tcPr>
            <w:tcW w:w="3417" w:type="dxa"/>
            <w:tcBorders>
              <w:top w:val="single" w:sz="4" w:space="0" w:color="auto"/>
              <w:left w:val="single" w:sz="4" w:space="0" w:color="auto"/>
              <w:bottom w:val="single" w:sz="4" w:space="0" w:color="auto"/>
              <w:right w:val="none" w:sz="0" w:space="0" w:color="auto"/>
            </w:tcBorders>
            <w:noWrap/>
            <w:textDirection w:val="lrTb"/>
            <w:vAlign w:val="bottom"/>
          </w:tcPr>
          <w:p w:rsidR="001E5B24" w:rsidRPr="00366554" w:rsidP="001E5B24">
            <w:pPr>
              <w:bidi w:val="0"/>
              <w:rPr>
                <w:rFonts w:ascii="Arial Narrow" w:hAnsi="Arial Narrow" w:cs="Arial Narrow"/>
                <w:sz w:val="16"/>
                <w:szCs w:val="16"/>
              </w:rPr>
            </w:pPr>
            <w:r w:rsidRPr="00366554">
              <w:rPr>
                <w:rFonts w:ascii="Arial Narrow" w:hAnsi="Arial Narrow" w:cs="Arial Narrow"/>
                <w:sz w:val="16"/>
                <w:szCs w:val="16"/>
              </w:rPr>
              <w:t>z toho:</w:t>
            </w:r>
          </w:p>
        </w:tc>
        <w:tc>
          <w:tcPr>
            <w:tcW w:w="945" w:type="dxa"/>
            <w:tcBorders>
              <w:top w:val="single" w:sz="4" w:space="0" w:color="auto"/>
              <w:left w:val="none" w:sz="0" w:space="0" w:color="auto"/>
              <w:bottom w:val="single" w:sz="4" w:space="0" w:color="auto"/>
              <w:right w:val="none" w:sz="0"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 </w:t>
            </w:r>
          </w:p>
        </w:tc>
        <w:tc>
          <w:tcPr>
            <w:tcW w:w="945" w:type="dxa"/>
            <w:tcBorders>
              <w:top w:val="single" w:sz="4" w:space="0" w:color="auto"/>
              <w:left w:val="none" w:sz="0" w:space="0" w:color="auto"/>
              <w:bottom w:val="single" w:sz="4" w:space="0" w:color="auto"/>
              <w:right w:val="none" w:sz="0"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 </w:t>
            </w:r>
          </w:p>
        </w:tc>
        <w:tc>
          <w:tcPr>
            <w:tcW w:w="945" w:type="dxa"/>
            <w:tcBorders>
              <w:top w:val="single" w:sz="4" w:space="0" w:color="auto"/>
              <w:left w:val="none" w:sz="0" w:space="0" w:color="auto"/>
              <w:bottom w:val="single" w:sz="4" w:space="0" w:color="auto"/>
              <w:right w:val="none" w:sz="0"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 </w:t>
            </w:r>
          </w:p>
        </w:tc>
        <w:tc>
          <w:tcPr>
            <w:tcW w:w="945" w:type="dxa"/>
            <w:tcBorders>
              <w:top w:val="single" w:sz="4" w:space="0" w:color="auto"/>
              <w:left w:val="none" w:sz="0" w:space="0" w:color="auto"/>
              <w:bottom w:val="single" w:sz="4" w:space="0" w:color="auto"/>
              <w:right w:val="none" w:sz="0"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 </w:t>
            </w:r>
          </w:p>
        </w:tc>
        <w:tc>
          <w:tcPr>
            <w:tcW w:w="945" w:type="dxa"/>
            <w:tcBorders>
              <w:top w:val="single" w:sz="4" w:space="0" w:color="auto"/>
              <w:left w:val="none" w:sz="0" w:space="0" w:color="auto"/>
              <w:bottom w:val="single" w:sz="4" w:space="0" w:color="auto"/>
              <w:right w:val="none" w:sz="0" w:space="0" w:color="auto"/>
            </w:tcBorders>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 </w:t>
            </w:r>
          </w:p>
        </w:tc>
        <w:tc>
          <w:tcPr>
            <w:tcW w:w="945" w:type="dxa"/>
            <w:tcBorders>
              <w:top w:val="single" w:sz="4" w:space="0" w:color="auto"/>
              <w:left w:val="none" w:sz="0"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b/>
                <w:bCs/>
                <w:sz w:val="16"/>
                <w:szCs w:val="16"/>
              </w:rPr>
            </w:pPr>
            <w:r w:rsidRPr="00366554">
              <w:rPr>
                <w:rFonts w:ascii="Arial Narrow" w:hAnsi="Arial Narrow" w:cs="Arial Narrow"/>
                <w:b/>
                <w:bCs/>
                <w:sz w:val="16"/>
                <w:szCs w:val="16"/>
              </w:rPr>
              <w:t> </w:t>
            </w:r>
          </w:p>
        </w:tc>
      </w:tr>
      <w:tr>
        <w:tblPrEx>
          <w:tblW w:w="9087" w:type="dxa"/>
          <w:tblInd w:w="55" w:type="dxa"/>
          <w:tblLayout w:type="fixed"/>
          <w:tblCellMar>
            <w:left w:w="70" w:type="dxa"/>
            <w:right w:w="70" w:type="dxa"/>
          </w:tblCellMar>
        </w:tblPrEx>
        <w:trPr>
          <w:trHeight w:val="255"/>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366554" w:rsidP="001E5B24">
            <w:pPr>
              <w:bidi w:val="0"/>
              <w:rPr>
                <w:rFonts w:ascii="Arial Narrow" w:hAnsi="Arial Narrow" w:cs="Arial Narrow"/>
                <w:sz w:val="16"/>
                <w:szCs w:val="16"/>
              </w:rPr>
            </w:pPr>
            <w:r w:rsidRPr="00366554">
              <w:rPr>
                <w:rFonts w:ascii="Arial Narrow" w:hAnsi="Arial Narrow" w:cs="Arial Narrow"/>
                <w:sz w:val="16"/>
                <w:szCs w:val="16"/>
              </w:rPr>
              <w:t xml:space="preserve">rozpočtové zdroje kapitoly </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6 878</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7 825</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8 196</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7 463</w:t>
            </w:r>
          </w:p>
        </w:tc>
        <w:tc>
          <w:tcPr>
            <w:tcW w:w="945" w:type="dxa"/>
            <w:tcBorders>
              <w:top w:val="single" w:sz="4" w:space="0" w:color="auto"/>
              <w:left w:val="single" w:sz="4" w:space="0" w:color="auto"/>
              <w:bottom w:val="single" w:sz="4" w:space="0" w:color="auto"/>
              <w:right w:val="single" w:sz="4" w:space="0" w:color="auto"/>
            </w:tcBorders>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7 465</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A9263E" w:rsidP="001E5B24">
            <w:pPr>
              <w:bidi w:val="0"/>
              <w:jc w:val="right"/>
              <w:rPr>
                <w:rFonts w:ascii="Arial Narrow" w:hAnsi="Arial Narrow" w:cs="Arial Narrow"/>
                <w:sz w:val="16"/>
                <w:szCs w:val="16"/>
              </w:rPr>
            </w:pPr>
            <w:r w:rsidRPr="00A9263E">
              <w:rPr>
                <w:rFonts w:ascii="Arial Narrow" w:hAnsi="Arial Narrow" w:cs="Arial Narrow"/>
                <w:sz w:val="16"/>
                <w:szCs w:val="16"/>
              </w:rPr>
              <w:t>7 465</w:t>
            </w:r>
          </w:p>
        </w:tc>
      </w:tr>
      <w:tr>
        <w:tblPrEx>
          <w:tblW w:w="9087" w:type="dxa"/>
          <w:tblInd w:w="55" w:type="dxa"/>
          <w:tblLayout w:type="fixed"/>
          <w:tblCellMar>
            <w:left w:w="70" w:type="dxa"/>
            <w:right w:w="70" w:type="dxa"/>
          </w:tblCellMar>
        </w:tblPrEx>
        <w:trPr>
          <w:trHeight w:val="255"/>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366554" w:rsidP="001E5B24">
            <w:pPr>
              <w:bidi w:val="0"/>
              <w:rPr>
                <w:rFonts w:ascii="Arial Narrow" w:hAnsi="Arial Narrow" w:cs="Arial Narrow"/>
                <w:sz w:val="16"/>
                <w:szCs w:val="16"/>
              </w:rPr>
            </w:pPr>
            <w:r w:rsidRPr="00366554">
              <w:rPr>
                <w:rFonts w:ascii="Arial Narrow" w:hAnsi="Arial Narrow" w:cs="Arial Narrow"/>
                <w:sz w:val="16"/>
                <w:szCs w:val="16"/>
              </w:rPr>
              <w:t>iné zdroje*</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0</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9</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0</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0</w:t>
            </w:r>
          </w:p>
        </w:tc>
        <w:tc>
          <w:tcPr>
            <w:tcW w:w="945" w:type="dxa"/>
            <w:tcBorders>
              <w:top w:val="single" w:sz="4" w:space="0" w:color="auto"/>
              <w:left w:val="single" w:sz="4" w:space="0" w:color="auto"/>
              <w:bottom w:val="single" w:sz="4" w:space="0" w:color="auto"/>
              <w:right w:val="single" w:sz="4" w:space="0" w:color="auto"/>
            </w:tcBorders>
            <w:textDirection w:val="lrTb"/>
            <w:vAlign w:val="center"/>
          </w:tcPr>
          <w:p w:rsidR="001E5B24" w:rsidRPr="00366554" w:rsidP="001E5B24">
            <w:pPr>
              <w:bidi w:val="0"/>
              <w:jc w:val="right"/>
              <w:rPr>
                <w:rFonts w:ascii="Arial Narrow" w:hAnsi="Arial Narrow" w:cs="Arial Narrow"/>
                <w:sz w:val="16"/>
                <w:szCs w:val="16"/>
              </w:rPr>
            </w:pPr>
            <w:r w:rsidRPr="00366554">
              <w:rPr>
                <w:rFonts w:ascii="Arial Narrow" w:hAnsi="Arial Narrow" w:cs="Arial Narrow"/>
                <w:sz w:val="16"/>
                <w:szCs w:val="16"/>
              </w:rPr>
              <w:t>0</w:t>
            </w:r>
          </w:p>
        </w:tc>
        <w:tc>
          <w:tcPr>
            <w:tcW w:w="945" w:type="dxa"/>
            <w:tcBorders>
              <w:top w:val="single" w:sz="4" w:space="0" w:color="auto"/>
              <w:left w:val="single" w:sz="4" w:space="0" w:color="auto"/>
              <w:bottom w:val="single" w:sz="4" w:space="0" w:color="auto"/>
              <w:right w:val="single" w:sz="4" w:space="0" w:color="auto"/>
            </w:tcBorders>
            <w:noWrap/>
            <w:textDirection w:val="lrTb"/>
            <w:vAlign w:val="center"/>
          </w:tcPr>
          <w:p w:rsidR="001E5B24" w:rsidRPr="00A9263E" w:rsidP="001E5B24">
            <w:pPr>
              <w:bidi w:val="0"/>
              <w:jc w:val="right"/>
              <w:rPr>
                <w:rFonts w:ascii="Arial Narrow" w:hAnsi="Arial Narrow" w:cs="Arial Narrow"/>
                <w:sz w:val="16"/>
                <w:szCs w:val="16"/>
              </w:rPr>
            </w:pPr>
            <w:r w:rsidRPr="00A9263E">
              <w:rPr>
                <w:rFonts w:ascii="Arial Narrow" w:hAnsi="Arial Narrow" w:cs="Arial Narrow"/>
                <w:sz w:val="16"/>
                <w:szCs w:val="16"/>
              </w:rPr>
              <w:t>0</w:t>
            </w:r>
          </w:p>
        </w:tc>
      </w:tr>
    </w:tbl>
    <w:p w:rsidR="001E5B24" w:rsidRPr="00950B03" w:rsidP="001E5B24">
      <w:pPr>
        <w:bidi w:val="0"/>
        <w:jc w:val="both"/>
        <w:rPr>
          <w:rFonts w:ascii="Arial Narrow" w:hAnsi="Arial Narrow" w:cs="Arial Narrow"/>
          <w:sz w:val="16"/>
          <w:szCs w:val="16"/>
        </w:rPr>
      </w:pPr>
      <w:r w:rsidRPr="00950B03">
        <w:rPr>
          <w:rFonts w:ascii="Arial Narrow" w:hAnsi="Arial Narrow" w:cs="Arial Narrow"/>
          <w:sz w:val="16"/>
          <w:szCs w:val="16"/>
        </w:rPr>
        <w:t>* mimorozpočtové zdroje</w:t>
      </w:r>
    </w:p>
    <w:p w:rsidR="001E5B24" w:rsidRPr="00581BE6" w:rsidP="001E5B24">
      <w:pPr>
        <w:bidi w:val="0"/>
        <w:jc w:val="both"/>
        <w:rPr>
          <w:rFonts w:ascii="Arial Narrow" w:hAnsi="Arial Narrow" w:cs="Arial Narrow"/>
          <w:b/>
          <w:bCs/>
          <w:sz w:val="16"/>
          <w:szCs w:val="16"/>
        </w:rPr>
      </w:pPr>
    </w:p>
    <w:p w:rsidR="001E5B24" w:rsidP="001E5B24">
      <w:pPr>
        <w:bidi w:val="0"/>
        <w:ind w:firstLine="708"/>
        <w:jc w:val="both"/>
        <w:rPr>
          <w:rFonts w:ascii="Arial Narrow" w:hAnsi="Arial Narrow" w:cs="Arial Narrow"/>
          <w:sz w:val="22"/>
          <w:szCs w:val="22"/>
        </w:rPr>
      </w:pPr>
      <w:r w:rsidRPr="00366554">
        <w:rPr>
          <w:rFonts w:ascii="Arial Narrow" w:hAnsi="Arial Narrow" w:cs="Arial Narrow"/>
          <w:color w:val="000000"/>
          <w:sz w:val="22"/>
          <w:szCs w:val="22"/>
        </w:rPr>
        <w:t xml:space="preserve">Výdavky kapitoly v roku 2011 sa rozpočtujú v hodnote 7,46 mil. </w:t>
      </w:r>
      <w:r>
        <w:rPr>
          <w:rFonts w:ascii="Arial Narrow" w:hAnsi="Arial Narrow" w:cs="Arial Narrow"/>
          <w:color w:val="000000"/>
          <w:sz w:val="22"/>
          <w:szCs w:val="22"/>
        </w:rPr>
        <w:t>eur</w:t>
      </w:r>
      <w:r w:rsidRPr="00366554">
        <w:rPr>
          <w:rFonts w:ascii="Arial Narrow" w:hAnsi="Arial Narrow" w:cs="Arial Narrow"/>
          <w:sz w:val="22"/>
          <w:szCs w:val="22"/>
        </w:rPr>
        <w:t>, čo je v porovnaní s</w:t>
      </w:r>
      <w:r>
        <w:rPr>
          <w:rFonts w:ascii="Arial Narrow" w:hAnsi="Arial Narrow" w:cs="Arial Narrow"/>
          <w:sz w:val="22"/>
          <w:szCs w:val="22"/>
        </w:rPr>
        <w:t xml:space="preserve">o schváleným rozpočtom </w:t>
      </w:r>
      <w:r w:rsidRPr="00366554">
        <w:rPr>
          <w:rFonts w:ascii="Arial Narrow" w:hAnsi="Arial Narrow" w:cs="Arial Narrow"/>
          <w:sz w:val="22"/>
          <w:szCs w:val="22"/>
        </w:rPr>
        <w:t>rok</w:t>
      </w:r>
      <w:r>
        <w:rPr>
          <w:rFonts w:ascii="Arial Narrow" w:hAnsi="Arial Narrow" w:cs="Arial Narrow"/>
          <w:sz w:val="22"/>
          <w:szCs w:val="22"/>
        </w:rPr>
        <w:t>u 2010 menej  o 8,94%.</w:t>
      </w: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 </w:t>
      </w:r>
    </w:p>
    <w:p w:rsidR="001E5B24" w:rsidRPr="00366554" w:rsidP="001E5B24">
      <w:pPr>
        <w:bidi w:val="0"/>
        <w:ind w:firstLine="708"/>
        <w:jc w:val="both"/>
        <w:rPr>
          <w:rFonts w:ascii="Arial Narrow" w:hAnsi="Arial Narrow" w:cs="Arial Narrow"/>
          <w:sz w:val="22"/>
          <w:szCs w:val="22"/>
        </w:rPr>
      </w:pPr>
      <w:r w:rsidRPr="00366554">
        <w:rPr>
          <w:rFonts w:ascii="Arial Narrow" w:hAnsi="Arial Narrow" w:cs="Arial Narrow"/>
          <w:sz w:val="22"/>
          <w:szCs w:val="22"/>
        </w:rPr>
        <w:t xml:space="preserve">Objem osobných výdavkov sa </w:t>
      </w:r>
      <w:r>
        <w:rPr>
          <w:rFonts w:ascii="Arial Narrow" w:hAnsi="Arial Narrow" w:cs="Arial Narrow"/>
          <w:sz w:val="22"/>
          <w:szCs w:val="22"/>
        </w:rPr>
        <w:t>na</w:t>
      </w:r>
      <w:r w:rsidRPr="00366554">
        <w:rPr>
          <w:rFonts w:ascii="Arial Narrow" w:hAnsi="Arial Narrow" w:cs="Arial Narrow"/>
          <w:sz w:val="22"/>
          <w:szCs w:val="22"/>
        </w:rPr>
        <w:t xml:space="preserve"> rok 2011 rozpočtuje na úrovni 6,10 mil. </w:t>
      </w:r>
      <w:r>
        <w:rPr>
          <w:rFonts w:ascii="Arial Narrow" w:hAnsi="Arial Narrow" w:cs="Arial Narrow"/>
          <w:sz w:val="22"/>
          <w:szCs w:val="22"/>
        </w:rPr>
        <w:t>eur</w:t>
      </w:r>
      <w:r w:rsidRPr="00366554">
        <w:rPr>
          <w:rFonts w:ascii="Arial Narrow" w:hAnsi="Arial Narrow" w:cs="Arial Narrow"/>
          <w:sz w:val="22"/>
          <w:szCs w:val="22"/>
        </w:rPr>
        <w:t xml:space="preserve">, čo v porovnaní so schváleným </w:t>
      </w:r>
      <w:r>
        <w:rPr>
          <w:rFonts w:ascii="Arial Narrow" w:hAnsi="Arial Narrow" w:cs="Arial Narrow"/>
          <w:sz w:val="22"/>
          <w:szCs w:val="22"/>
        </w:rPr>
        <w:t xml:space="preserve">rozpočtom na rok </w:t>
      </w:r>
      <w:r w:rsidRPr="00366554">
        <w:rPr>
          <w:rFonts w:ascii="Arial Narrow" w:hAnsi="Arial Narrow" w:cs="Arial Narrow"/>
          <w:sz w:val="22"/>
          <w:szCs w:val="22"/>
        </w:rPr>
        <w:t xml:space="preserve">2010 predstavuje pokles 8,91 % (597 tis. </w:t>
      </w:r>
      <w:r>
        <w:rPr>
          <w:rFonts w:ascii="Arial Narrow" w:hAnsi="Arial Narrow" w:cs="Arial Narrow"/>
          <w:sz w:val="22"/>
          <w:szCs w:val="22"/>
        </w:rPr>
        <w:t>eur</w:t>
      </w:r>
      <w:r w:rsidRPr="00366554">
        <w:rPr>
          <w:rFonts w:ascii="Arial Narrow" w:hAnsi="Arial Narrow" w:cs="Arial Narrow"/>
          <w:sz w:val="22"/>
          <w:szCs w:val="22"/>
        </w:rPr>
        <w:t xml:space="preserve">). Medziročný pokles osobných výdavkov je ovplyvnený viazaním osobných výdavkov na úrovni 10 % </w:t>
      </w:r>
      <w:r w:rsidR="00271764">
        <w:rPr>
          <w:rFonts w:ascii="Arial Narrow" w:hAnsi="Arial Narrow" w:cs="Arial Narrow"/>
          <w:sz w:val="22"/>
          <w:szCs w:val="22"/>
        </w:rPr>
        <w:t>pre</w:t>
      </w:r>
      <w:r w:rsidRPr="00366554">
        <w:rPr>
          <w:rFonts w:ascii="Arial Narrow" w:hAnsi="Arial Narrow" w:cs="Arial Narrow"/>
          <w:sz w:val="22"/>
          <w:szCs w:val="22"/>
        </w:rPr>
        <w:t xml:space="preserve"> štátnych zamestnancov a zamestnancov pri výkone práce vo verejnom záujme pri zohľadnení dopočtu 1% valorizácie z roku 2010 a 10% viazaním osobných výdavkov </w:t>
      </w:r>
      <w:r w:rsidR="00271764">
        <w:rPr>
          <w:rFonts w:ascii="Arial Narrow" w:hAnsi="Arial Narrow" w:cs="Arial Narrow"/>
          <w:sz w:val="22"/>
          <w:szCs w:val="22"/>
        </w:rPr>
        <w:t>pre</w:t>
      </w:r>
      <w:r w:rsidRPr="00366554">
        <w:rPr>
          <w:rFonts w:ascii="Arial Narrow" w:hAnsi="Arial Narrow" w:cs="Arial Narrow"/>
          <w:sz w:val="22"/>
          <w:szCs w:val="22"/>
        </w:rPr>
        <w:t> predsedu a podpredsedov NKÚ SR z úrovne roku 2010.</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Vo výdavkoch na</w:t>
      </w:r>
      <w:r w:rsidRPr="00366554">
        <w:rPr>
          <w:rFonts w:ascii="Arial Narrow" w:hAnsi="Arial Narrow" w:cs="Arial Narrow"/>
          <w:sz w:val="22"/>
          <w:szCs w:val="22"/>
        </w:rPr>
        <w:t> tovar</w:t>
      </w:r>
      <w:r>
        <w:rPr>
          <w:rFonts w:ascii="Arial Narrow" w:hAnsi="Arial Narrow" w:cs="Arial Narrow"/>
          <w:sz w:val="22"/>
          <w:szCs w:val="22"/>
        </w:rPr>
        <w:t>y</w:t>
      </w:r>
      <w:r w:rsidRPr="00366554">
        <w:rPr>
          <w:rFonts w:ascii="Arial Narrow" w:hAnsi="Arial Narrow" w:cs="Arial Narrow"/>
          <w:sz w:val="22"/>
          <w:szCs w:val="22"/>
        </w:rPr>
        <w:t xml:space="preserve"> a služb</w:t>
      </w:r>
      <w:r>
        <w:rPr>
          <w:rFonts w:ascii="Arial Narrow" w:hAnsi="Arial Narrow" w:cs="Arial Narrow"/>
          <w:sz w:val="22"/>
          <w:szCs w:val="22"/>
        </w:rPr>
        <w:t>y</w:t>
      </w:r>
      <w:r w:rsidRPr="00366554">
        <w:rPr>
          <w:rFonts w:ascii="Arial Narrow" w:hAnsi="Arial Narrow" w:cs="Arial Narrow"/>
          <w:sz w:val="22"/>
          <w:szCs w:val="22"/>
        </w:rPr>
        <w:t xml:space="preserve"> je </w:t>
      </w:r>
      <w:r>
        <w:rPr>
          <w:rFonts w:ascii="Arial Narrow" w:hAnsi="Arial Narrow" w:cs="Arial Narrow"/>
          <w:sz w:val="22"/>
          <w:szCs w:val="22"/>
        </w:rPr>
        <w:t xml:space="preserve">v roku 2011 </w:t>
      </w:r>
      <w:r w:rsidRPr="00366554">
        <w:rPr>
          <w:rFonts w:ascii="Arial Narrow" w:hAnsi="Arial Narrow" w:cs="Arial Narrow"/>
          <w:sz w:val="22"/>
          <w:szCs w:val="22"/>
        </w:rPr>
        <w:t>pokles o 10,5 %</w:t>
      </w:r>
      <w:r>
        <w:rPr>
          <w:rFonts w:ascii="Arial Narrow" w:hAnsi="Arial Narrow" w:cs="Arial Narrow"/>
          <w:sz w:val="22"/>
          <w:szCs w:val="22"/>
        </w:rPr>
        <w:t xml:space="preserve"> oproti schválenému rozpočtu 2010</w:t>
      </w:r>
      <w:r w:rsidRPr="00366554">
        <w:rPr>
          <w:rFonts w:ascii="Arial Narrow" w:hAnsi="Arial Narrow" w:cs="Arial Narrow"/>
          <w:sz w:val="22"/>
          <w:szCs w:val="22"/>
        </w:rPr>
        <w:t xml:space="preserve">, </w:t>
      </w:r>
      <w:r>
        <w:rPr>
          <w:rFonts w:ascii="Arial Narrow" w:hAnsi="Arial Narrow" w:cs="Arial Narrow"/>
          <w:sz w:val="22"/>
          <w:szCs w:val="22"/>
        </w:rPr>
        <w:t xml:space="preserve">a to </w:t>
      </w:r>
      <w:r w:rsidRPr="00366554">
        <w:rPr>
          <w:rFonts w:ascii="Arial Narrow" w:hAnsi="Arial Narrow" w:cs="Arial Narrow"/>
          <w:sz w:val="22"/>
          <w:szCs w:val="22"/>
        </w:rPr>
        <w:t xml:space="preserve">najmä vo výdavkoch na cestovné náhrady a materiál. </w:t>
      </w:r>
    </w:p>
    <w:p w:rsidR="001E5B24" w:rsidP="001E5B24">
      <w:pPr>
        <w:bidi w:val="0"/>
        <w:ind w:firstLine="708"/>
        <w:jc w:val="both"/>
        <w:rPr>
          <w:rFonts w:ascii="Arial Narrow" w:hAnsi="Arial Narrow" w:cs="Arial Narrow"/>
          <w:sz w:val="22"/>
          <w:szCs w:val="22"/>
        </w:rPr>
      </w:pPr>
    </w:p>
    <w:p w:rsidR="001E5B24" w:rsidRPr="00366554" w:rsidP="001E5B24">
      <w:pPr>
        <w:bidi w:val="0"/>
        <w:ind w:firstLine="708"/>
        <w:jc w:val="both"/>
        <w:rPr>
          <w:rFonts w:ascii="Arial Narrow" w:hAnsi="Arial Narrow" w:cs="Arial Narrow"/>
          <w:sz w:val="22"/>
          <w:szCs w:val="22"/>
        </w:rPr>
      </w:pPr>
      <w:r w:rsidRPr="00366554">
        <w:rPr>
          <w:rFonts w:ascii="Arial Narrow" w:hAnsi="Arial Narrow" w:cs="Arial Narrow"/>
          <w:sz w:val="22"/>
          <w:szCs w:val="22"/>
        </w:rPr>
        <w:t>Naopak k nárastu v rámci bežných výdavkov došlo v bežných transferoch a to o 50,2 %, najmä na nemocenské dávky. V rámci bežných transferov sú rozpísané príspevky 2 medzinárodným organizáciám, v ktorých má NKÚ SR členstvo.</w:t>
      </w:r>
    </w:p>
    <w:p w:rsidR="001E5B24" w:rsidRPr="00366554" w:rsidP="001E5B24">
      <w:pPr>
        <w:bidi w:val="0"/>
        <w:rPr>
          <w:rFonts w:ascii="Arial Narrow" w:hAnsi="Arial Narrow" w:cs="Arial Narrow"/>
        </w:rPr>
      </w:pPr>
    </w:p>
    <w:p w:rsidR="001E5B24" w:rsidRPr="00366554" w:rsidP="001E5B24">
      <w:pPr>
        <w:bidi w:val="0"/>
        <w:ind w:firstLine="708"/>
        <w:jc w:val="both"/>
        <w:rPr>
          <w:rFonts w:ascii="Arial Narrow" w:hAnsi="Arial Narrow" w:cs="Arial Narrow"/>
          <w:sz w:val="22"/>
          <w:szCs w:val="22"/>
        </w:rPr>
      </w:pPr>
      <w:r>
        <w:rPr>
          <w:rFonts w:ascii="Arial Narrow" w:hAnsi="Arial Narrow" w:cs="Arial Narrow"/>
          <w:color w:val="000000"/>
          <w:sz w:val="22"/>
          <w:szCs w:val="22"/>
        </w:rPr>
        <w:t xml:space="preserve">Kapitálové výdavky v roku 2011 v porovnaní so schváleným rozpočtom 2010 klesajú o 4,41 %. </w:t>
      </w:r>
      <w:r w:rsidRPr="00366554">
        <w:rPr>
          <w:rFonts w:ascii="Arial Narrow" w:hAnsi="Arial Narrow" w:cs="Arial Narrow"/>
          <w:color w:val="000000"/>
          <w:sz w:val="22"/>
          <w:szCs w:val="22"/>
        </w:rPr>
        <w:t xml:space="preserve">Z kapitálových výdavkov sa zabezpečuje predovšetkým obnova vozového parku a obstaranie výpočtovej techniky.  </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p>
    <w:p w:rsidR="001E5B24" w:rsidRPr="002042D4" w:rsidP="001E5B24">
      <w:pPr>
        <w:pBdr>
          <w:bottom w:val="single" w:sz="4" w:space="1" w:color="auto"/>
        </w:pBdr>
        <w:bidi w:val="0"/>
        <w:rPr>
          <w:rFonts w:ascii="Arial Narrow" w:hAnsi="Arial Narrow" w:cs="Arial Narrow"/>
          <w:b/>
          <w:bCs/>
          <w:sz w:val="22"/>
          <w:szCs w:val="22"/>
        </w:rPr>
      </w:pPr>
      <w:r w:rsidRPr="002042D4">
        <w:rPr>
          <w:rFonts w:ascii="Arial Narrow" w:hAnsi="Arial Narrow" w:cs="Arial Narrow"/>
          <w:b/>
          <w:bCs/>
          <w:sz w:val="22"/>
          <w:szCs w:val="22"/>
        </w:rPr>
        <w:t>Slovenská informačná služba</w:t>
      </w:r>
    </w:p>
    <w:p w:rsidR="001E5B24"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316"/>
        <w:gridCol w:w="971"/>
        <w:gridCol w:w="971"/>
        <w:gridCol w:w="971"/>
        <w:gridCol w:w="971"/>
        <w:gridCol w:w="971"/>
        <w:gridCol w:w="971"/>
      </w:tblGrid>
      <w:tr>
        <w:tblPrEx>
          <w:tblW w:w="4962" w:type="pct"/>
          <w:tblInd w:w="70" w:type="dxa"/>
          <w:tblCellMar>
            <w:left w:w="70" w:type="dxa"/>
            <w:right w:w="70" w:type="dxa"/>
          </w:tblCellMar>
        </w:tblPrEx>
        <w:trPr>
          <w:trHeight w:val="25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101099" w:rsidP="001E5B24">
            <w:pPr>
              <w:bidi w:val="0"/>
              <w:rPr>
                <w:rFonts w:ascii="Arial Narrow" w:hAnsi="Arial Narrow" w:cs="Arial Narrow"/>
                <w:b/>
                <w:bCs/>
                <w:sz w:val="16"/>
                <w:szCs w:val="16"/>
              </w:rPr>
            </w:pPr>
            <w:r w:rsidRPr="00101099">
              <w:rPr>
                <w:rFonts w:ascii="Arial Narrow" w:hAnsi="Arial Narrow" w:cs="Arial Narrow"/>
                <w:b/>
                <w:bCs/>
                <w:sz w:val="16"/>
                <w:szCs w:val="16"/>
              </w:rPr>
              <w:t> v</w:t>
            </w:r>
            <w:r>
              <w:rPr>
                <w:rFonts w:ascii="Arial Narrow" w:hAnsi="Arial Narrow" w:cs="Arial Narrow"/>
                <w:b/>
                <w:bCs/>
                <w:sz w:val="16"/>
                <w:szCs w:val="16"/>
              </w:rPr>
              <w:t> tis. eur</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2008 S</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2009 S</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2010 R</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2011 N</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2012 N</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101099" w:rsidP="001E5B24">
            <w:pPr>
              <w:bidi w:val="0"/>
              <w:jc w:val="center"/>
              <w:rPr>
                <w:rFonts w:ascii="Arial Narrow" w:hAnsi="Arial Narrow" w:cs="Arial Narrow"/>
                <w:b/>
                <w:bCs/>
                <w:sz w:val="16"/>
                <w:szCs w:val="16"/>
              </w:rPr>
            </w:pPr>
            <w:r w:rsidRPr="00101099">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55"/>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950B03" w:rsidP="001E5B24">
            <w:pPr>
              <w:bidi w:val="0"/>
              <w:rPr>
                <w:rFonts w:ascii="Arial Narrow" w:hAnsi="Arial Narrow" w:cs="Arial Narrow"/>
                <w:sz w:val="16"/>
                <w:szCs w:val="16"/>
              </w:rPr>
            </w:pPr>
            <w:r w:rsidRPr="00950B03">
              <w:rPr>
                <w:rFonts w:ascii="Arial Narrow" w:hAnsi="Arial Narrow" w:cs="Arial Narrow"/>
                <w:sz w:val="16"/>
                <w:szCs w:val="16"/>
              </w:rPr>
              <w:t>Zdroje príslušnej kapitoly</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44 064</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48 102</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43 300</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38 946</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38 946</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950B03" w:rsidP="001E5B24">
            <w:pPr>
              <w:bidi w:val="0"/>
              <w:jc w:val="right"/>
              <w:rPr>
                <w:rFonts w:ascii="Arial Narrow" w:hAnsi="Arial Narrow" w:cs="Arial Narrow"/>
                <w:sz w:val="16"/>
                <w:szCs w:val="16"/>
              </w:rPr>
            </w:pPr>
            <w:r w:rsidRPr="00950B03">
              <w:rPr>
                <w:rFonts w:ascii="Arial Narrow" w:hAnsi="Arial Narrow" w:cs="Arial Narrow"/>
                <w:sz w:val="16"/>
                <w:szCs w:val="16"/>
              </w:rPr>
              <w:t>38 946</w:t>
            </w:r>
          </w:p>
        </w:tc>
      </w:tr>
    </w:tbl>
    <w:p w:rsidR="001E5B24" w:rsidRPr="002042D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b/>
          <w:bCs/>
          <w:sz w:val="22"/>
          <w:szCs w:val="22"/>
        </w:rPr>
      </w:pPr>
      <w:r w:rsidRPr="0074269B">
        <w:rPr>
          <w:rFonts w:ascii="Arial Narrow" w:hAnsi="Arial Narrow" w:cs="Arial Narrow"/>
          <w:sz w:val="22"/>
          <w:szCs w:val="22"/>
        </w:rPr>
        <w:t xml:space="preserve">Celkové výdavky kapitoly v roku 2011 sú oproti </w:t>
      </w:r>
      <w:r>
        <w:rPr>
          <w:rFonts w:ascii="Arial Narrow" w:hAnsi="Arial Narrow" w:cs="Arial Narrow"/>
          <w:sz w:val="22"/>
          <w:szCs w:val="22"/>
        </w:rPr>
        <w:t xml:space="preserve">schválenému rozpočtu roka </w:t>
      </w:r>
      <w:r w:rsidRPr="0074269B">
        <w:rPr>
          <w:rFonts w:ascii="Arial Narrow" w:hAnsi="Arial Narrow" w:cs="Arial Narrow"/>
          <w:sz w:val="22"/>
          <w:szCs w:val="22"/>
        </w:rPr>
        <w:t>2010 nižšie o</w:t>
      </w:r>
      <w:r>
        <w:rPr>
          <w:rFonts w:ascii="Arial Narrow" w:hAnsi="Arial Narrow" w:cs="Arial Narrow"/>
          <w:sz w:val="22"/>
          <w:szCs w:val="22"/>
        </w:rPr>
        <w:t xml:space="preserve"> sumu 4,35 mil. eur, čo predstavuje </w:t>
      </w:r>
      <w:r w:rsidRPr="0074269B">
        <w:rPr>
          <w:rFonts w:ascii="Arial Narrow" w:hAnsi="Arial Narrow" w:cs="Arial Narrow"/>
          <w:sz w:val="22"/>
          <w:szCs w:val="22"/>
        </w:rPr>
        <w:t xml:space="preserve">10,1 %. Celý pokles sa prejavuje v rámci bežných výdavkov. V rámci tovarov a služieb sa zabezpečuje chod informačnej služby, </w:t>
      </w:r>
      <w:r w:rsidR="007C7DA8">
        <w:rPr>
          <w:rFonts w:ascii="Arial Narrow" w:hAnsi="Arial Narrow" w:cs="Arial Narrow"/>
          <w:sz w:val="22"/>
          <w:szCs w:val="22"/>
        </w:rPr>
        <w:t>t. j.</w:t>
      </w:r>
      <w:r w:rsidRPr="0074269B">
        <w:rPr>
          <w:rFonts w:ascii="Arial Narrow" w:hAnsi="Arial Narrow" w:cs="Arial Narrow"/>
          <w:sz w:val="22"/>
          <w:szCs w:val="22"/>
        </w:rPr>
        <w:t xml:space="preserve"> činnosť rozviedky, kontrarozviedky, podporné a administratívne činnosti.</w:t>
      </w:r>
      <w:r w:rsidRPr="00A53BC5">
        <w:rPr>
          <w:rFonts w:ascii="Arial Narrow" w:hAnsi="Arial Narrow" w:cs="Arial Narrow"/>
          <w:b/>
          <w:bCs/>
          <w:sz w:val="22"/>
          <w:szCs w:val="22"/>
        </w:rPr>
        <w:t xml:space="preserve"> </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Úrad geodézie, kartografie a katastra SR</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Pr>
          <w:rFonts w:ascii="Arial Narrow" w:hAnsi="Arial Narrow" w:cs="Arial Narrow"/>
          <w:sz w:val="22"/>
          <w:szCs w:val="22"/>
        </w:rPr>
        <w:tab/>
      </w:r>
      <w:r w:rsidRPr="000B4E38">
        <w:rPr>
          <w:rFonts w:ascii="Arial Narrow" w:hAnsi="Arial Narrow" w:cs="Arial Narrow"/>
          <w:sz w:val="22"/>
          <w:szCs w:val="22"/>
        </w:rPr>
        <w:t>Výdavky</w:t>
      </w:r>
      <w:r>
        <w:rPr>
          <w:rFonts w:ascii="Arial Narrow" w:hAnsi="Arial Narrow" w:cs="Arial Narrow"/>
          <w:sz w:val="22"/>
          <w:szCs w:val="22"/>
        </w:rPr>
        <w:t xml:space="preserve"> Úradu geodézie, kartografie a katastra SR sú rozpočtované vo výške 35,6 mil. eur a sú určené na </w:t>
      </w:r>
      <w:r w:rsidRPr="00B069AA">
        <w:rPr>
          <w:rFonts w:ascii="Arial Narrow" w:hAnsi="Arial Narrow" w:cs="Arial Narrow"/>
          <w:sz w:val="22"/>
          <w:szCs w:val="22"/>
        </w:rPr>
        <w:t>spravovanie, aktualizáciu a obnovu katastrálneho operátu,</w:t>
      </w:r>
      <w:r>
        <w:rPr>
          <w:rFonts w:ascii="Arial Narrow" w:hAnsi="Arial Narrow" w:cs="Arial Narrow"/>
          <w:sz w:val="22"/>
          <w:szCs w:val="22"/>
        </w:rPr>
        <w:t xml:space="preserve"> poskytovanie informácií z katastra nehnuteľností,</w:t>
      </w:r>
      <w:r w:rsidRPr="00B069AA">
        <w:rPr>
          <w:rFonts w:ascii="Arial Narrow" w:hAnsi="Arial Narrow" w:cs="Arial Narrow"/>
          <w:sz w:val="22"/>
          <w:szCs w:val="22"/>
        </w:rPr>
        <w:t xml:space="preserve"> prácu na projekte „Usporiadanie registrov obnovenej evidencie pozemkov“ (ROEP), údržbu, modernizáciu a rozvoj geodetických základov, tvorbu základnej bázy údajov pre geografické informačné systémy, tvorbu a obnovu štátnych mapových diel a Edičného plánu Úradu geodézie, kartografie a katastra SR, budovanie Automatizovaného informačného systému geodézie, kartografie a katastra, medzinárodnú spoluprácu a európsku integráciu a výskumné úlohy. </w:t>
      </w:r>
    </w:p>
    <w:p w:rsidR="001E5B24" w:rsidRPr="00F14C19"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07"/>
        <w:gridCol w:w="957"/>
        <w:gridCol w:w="956"/>
        <w:gridCol w:w="956"/>
        <w:gridCol w:w="956"/>
        <w:gridCol w:w="956"/>
        <w:gridCol w:w="954"/>
      </w:tblGrid>
      <w:tr>
        <w:tblPrEx>
          <w:tblW w:w="4962" w:type="pct"/>
          <w:tblInd w:w="70" w:type="dxa"/>
          <w:tblCellMar>
            <w:left w:w="70" w:type="dxa"/>
            <w:right w:w="70" w:type="dxa"/>
          </w:tblCellMar>
          <w:tblLook w:val="00A0"/>
        </w:tblPrEx>
        <w:trPr>
          <w:trHeight w:val="255"/>
        </w:trPr>
        <w:tc>
          <w:tcPr>
            <w:tcW w:w="1863"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FC3D07" w:rsidP="001E5B24">
            <w:pPr>
              <w:bidi w:val="0"/>
              <w:rPr>
                <w:rFonts w:ascii="Arial Narrow" w:hAnsi="Arial Narrow" w:cs="Arial Narrow"/>
                <w:sz w:val="16"/>
                <w:szCs w:val="16"/>
                <w:lang w:eastAsia="sk-SK"/>
              </w:rPr>
            </w:pPr>
            <w:r w:rsidRPr="00FC3D07">
              <w:rPr>
                <w:rFonts w:ascii="Arial Narrow" w:hAnsi="Arial Narrow" w:cs="Arial Narrow"/>
                <w:sz w:val="16"/>
                <w:szCs w:val="16"/>
                <w:lang w:eastAsia="sk-SK"/>
              </w:rPr>
              <w:t> </w:t>
            </w:r>
            <w:r w:rsidRPr="00FC3D07">
              <w:rPr>
                <w:rFonts w:ascii="Arial Narrow" w:hAnsi="Arial Narrow" w:cs="Arial Narrow"/>
                <w:b/>
                <w:bCs/>
                <w:sz w:val="16"/>
                <w:szCs w:val="16"/>
                <w:lang w:eastAsia="sk-SK"/>
              </w:rPr>
              <w:t>v tis. eur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2008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2009 S</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2010 R</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2011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2012 N</w:t>
            </w:r>
          </w:p>
        </w:tc>
        <w:tc>
          <w:tcPr>
            <w:tcW w:w="523" w:type="pct"/>
            <w:tcBorders>
              <w:top w:val="single" w:sz="4" w:space="0" w:color="auto"/>
              <w:left w:val="nil"/>
              <w:bottom w:val="single" w:sz="4" w:space="0" w:color="auto"/>
              <w:right w:val="single" w:sz="4" w:space="0" w:color="auto"/>
            </w:tcBorders>
            <w:noWrap/>
            <w:textDirection w:val="lrTb"/>
            <w:vAlign w:val="bottom"/>
          </w:tcPr>
          <w:p w:rsidR="001E5B24" w:rsidRPr="00FC3D07" w:rsidP="001E5B24">
            <w:pPr>
              <w:bidi w:val="0"/>
              <w:jc w:val="center"/>
              <w:rPr>
                <w:rFonts w:ascii="Arial Narrow" w:hAnsi="Arial Narrow" w:cs="Arial Narrow"/>
                <w:b/>
                <w:bCs/>
                <w:sz w:val="16"/>
                <w:szCs w:val="16"/>
                <w:lang w:eastAsia="sk-SK"/>
              </w:rPr>
            </w:pPr>
            <w:r w:rsidRPr="00FC3D07">
              <w:rPr>
                <w:rFonts w:ascii="Arial Narrow" w:hAnsi="Arial Narrow" w:cs="Arial Narrow"/>
                <w:b/>
                <w:bCs/>
                <w:sz w:val="16"/>
                <w:szCs w:val="16"/>
                <w:lang w:eastAsia="sk-SK"/>
              </w:rPr>
              <w:t>2013 N</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shd w:val="clear" w:color="000000" w:fill="BFBFBF"/>
            <w:noWrap/>
            <w:textDirection w:val="lrTb"/>
            <w:vAlign w:val="bottom"/>
          </w:tcPr>
          <w:p w:rsidR="001E5B24" w:rsidRPr="009A37EC" w:rsidP="001E5B24">
            <w:pPr>
              <w:bidi w:val="0"/>
              <w:rPr>
                <w:rFonts w:ascii="Arial Narrow" w:hAnsi="Arial Narrow" w:cs="Arial Narrow"/>
                <w:b/>
                <w:bCs/>
                <w:sz w:val="16"/>
                <w:szCs w:val="16"/>
              </w:rPr>
            </w:pPr>
            <w:r w:rsidRPr="009A37EC">
              <w:rPr>
                <w:rFonts w:ascii="Arial Narrow" w:hAnsi="Arial Narrow" w:cs="Arial Narrow"/>
                <w:b/>
                <w:bCs/>
                <w:sz w:val="16"/>
                <w:szCs w:val="16"/>
              </w:rPr>
              <w:t>Zdroje príslušnej kapitoly</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49 871</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61 285</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39 604</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35 600</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34 657</w:t>
            </w:r>
          </w:p>
        </w:tc>
        <w:tc>
          <w:tcPr>
            <w:tcW w:w="523" w:type="pct"/>
            <w:tcBorders>
              <w:top w:val="nil"/>
              <w:left w:val="nil"/>
              <w:bottom w:val="single" w:sz="4" w:space="0" w:color="auto"/>
              <w:right w:val="single" w:sz="4" w:space="0" w:color="auto"/>
            </w:tcBorders>
            <w:shd w:val="clear" w:color="000000" w:fill="C0C0C0"/>
            <w:textDirection w:val="lrTb"/>
            <w:vAlign w:val="bottom"/>
          </w:tcPr>
          <w:p w:rsidR="001E5B24" w:rsidRPr="009A37EC" w:rsidP="001E5B24">
            <w:pPr>
              <w:bidi w:val="0"/>
              <w:jc w:val="right"/>
              <w:rPr>
                <w:rFonts w:ascii="Arial Narrow" w:hAnsi="Arial Narrow" w:cs="Arial Narrow"/>
                <w:b/>
                <w:bCs/>
                <w:sz w:val="16"/>
                <w:szCs w:val="16"/>
              </w:rPr>
            </w:pPr>
            <w:r w:rsidRPr="009A37EC">
              <w:rPr>
                <w:rFonts w:ascii="Arial Narrow" w:hAnsi="Arial Narrow" w:cs="Arial Narrow"/>
                <w:b/>
                <w:bCs/>
                <w:sz w:val="16"/>
                <w:szCs w:val="16"/>
              </w:rPr>
              <w:t>34 657</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9A37EC" w:rsidP="001E5B24">
            <w:pPr>
              <w:bidi w:val="0"/>
              <w:rPr>
                <w:rFonts w:ascii="Arial Narrow" w:hAnsi="Arial Narrow" w:cs="Arial Narrow"/>
                <w:sz w:val="16"/>
                <w:szCs w:val="16"/>
              </w:rPr>
            </w:pPr>
            <w:r w:rsidRPr="009A37EC">
              <w:rPr>
                <w:rFonts w:ascii="Arial Narrow" w:hAnsi="Arial Narrow" w:cs="Arial Narrow"/>
                <w:sz w:val="16"/>
                <w:szCs w:val="16"/>
              </w:rPr>
              <w:t>z toho:</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c>
          <w:tcPr>
            <w:tcW w:w="523" w:type="pct"/>
            <w:tcBorders>
              <w:top w:val="nil"/>
              <w:left w:val="nil"/>
              <w:bottom w:val="single" w:sz="4" w:space="0" w:color="auto"/>
              <w:right w:val="single" w:sz="4" w:space="0" w:color="auto"/>
            </w:tcBorders>
            <w:noWrap/>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 </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9A37EC" w:rsidP="001E5B24">
            <w:pPr>
              <w:bidi w:val="0"/>
              <w:rPr>
                <w:rFonts w:ascii="Arial Narrow" w:hAnsi="Arial Narrow" w:cs="Arial Narrow"/>
                <w:sz w:val="16"/>
                <w:szCs w:val="16"/>
              </w:rPr>
            </w:pPr>
            <w:r w:rsidRPr="009A37EC">
              <w:rPr>
                <w:rFonts w:ascii="Arial Narrow" w:hAnsi="Arial Narrow" w:cs="Arial Narrow"/>
                <w:sz w:val="16"/>
                <w:szCs w:val="16"/>
              </w:rPr>
              <w:t>rozpočtové zdroje kapitoly</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47 325</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52 877</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39 604</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35 600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34 657</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34 657</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9A37EC" w:rsidP="001E5B24">
            <w:pPr>
              <w:bidi w:val="0"/>
              <w:rPr>
                <w:rFonts w:ascii="Arial Narrow" w:hAnsi="Arial Narrow" w:cs="Arial Narrow"/>
                <w:sz w:val="16"/>
                <w:szCs w:val="16"/>
              </w:rPr>
            </w:pPr>
            <w:r w:rsidRPr="009A37EC">
              <w:rPr>
                <w:rFonts w:ascii="Arial Narrow" w:hAnsi="Arial Narrow" w:cs="Arial Narrow"/>
                <w:sz w:val="16"/>
                <w:szCs w:val="16"/>
              </w:rPr>
              <w:t xml:space="preserve">zdroje EÚ </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149</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2 736</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9A37EC" w:rsidP="001E5B24">
            <w:pPr>
              <w:bidi w:val="0"/>
              <w:rPr>
                <w:rFonts w:ascii="Arial Narrow" w:hAnsi="Arial Narrow" w:cs="Arial Narrow"/>
                <w:sz w:val="16"/>
                <w:szCs w:val="16"/>
              </w:rPr>
            </w:pPr>
            <w:r w:rsidRPr="009A37EC">
              <w:rPr>
                <w:rFonts w:ascii="Arial Narrow" w:hAnsi="Arial Narrow" w:cs="Arial Narrow"/>
                <w:sz w:val="16"/>
                <w:szCs w:val="16"/>
              </w:rPr>
              <w:t>spolufinancovanie zo ŠR</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50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897</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r>
      <w:tr>
        <w:tblPrEx>
          <w:tblW w:w="4962" w:type="pct"/>
          <w:tblInd w:w="70" w:type="dxa"/>
          <w:tblCellMar>
            <w:left w:w="70" w:type="dxa"/>
            <w:right w:w="70" w:type="dxa"/>
          </w:tblCellMar>
          <w:tblLook w:val="00A0"/>
        </w:tblPrEx>
        <w:trPr>
          <w:trHeight w:val="255"/>
        </w:trPr>
        <w:tc>
          <w:tcPr>
            <w:tcW w:w="1863" w:type="pct"/>
            <w:tcBorders>
              <w:top w:val="nil"/>
              <w:left w:val="single" w:sz="4" w:space="0" w:color="auto"/>
              <w:bottom w:val="single" w:sz="4" w:space="0" w:color="auto"/>
              <w:right w:val="single" w:sz="4" w:space="0" w:color="auto"/>
            </w:tcBorders>
            <w:noWrap/>
            <w:textDirection w:val="lrTb"/>
            <w:vAlign w:val="bottom"/>
          </w:tcPr>
          <w:p w:rsidR="001E5B24" w:rsidRPr="009A37EC" w:rsidP="001E5B24">
            <w:pPr>
              <w:bidi w:val="0"/>
              <w:rPr>
                <w:rFonts w:ascii="Arial Narrow" w:hAnsi="Arial Narrow" w:cs="Arial Narrow"/>
                <w:sz w:val="16"/>
                <w:szCs w:val="16"/>
              </w:rPr>
            </w:pPr>
            <w:r>
              <w:rPr>
                <w:rFonts w:ascii="Arial Narrow" w:hAnsi="Arial Narrow" w:cs="Arial Narrow"/>
                <w:sz w:val="16"/>
                <w:szCs w:val="16"/>
              </w:rPr>
              <w:t>iné zdroje*</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2 347</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4 775</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c>
          <w:tcPr>
            <w:tcW w:w="523" w:type="pct"/>
            <w:tcBorders>
              <w:top w:val="nil"/>
              <w:left w:val="nil"/>
              <w:bottom w:val="single" w:sz="4" w:space="0" w:color="auto"/>
              <w:right w:val="single" w:sz="4" w:space="0" w:color="auto"/>
            </w:tcBorders>
            <w:textDirection w:val="lrTb"/>
            <w:vAlign w:val="bottom"/>
          </w:tcPr>
          <w:p w:rsidR="001E5B24" w:rsidRPr="009A37EC" w:rsidP="001E5B24">
            <w:pPr>
              <w:bidi w:val="0"/>
              <w:jc w:val="right"/>
              <w:rPr>
                <w:rFonts w:ascii="Arial Narrow" w:hAnsi="Arial Narrow" w:cs="Arial Narrow"/>
                <w:sz w:val="16"/>
                <w:szCs w:val="16"/>
              </w:rPr>
            </w:pPr>
            <w:r w:rsidRPr="009A37EC">
              <w:rPr>
                <w:rFonts w:ascii="Arial Narrow" w:hAnsi="Arial Narrow" w:cs="Arial Narrow"/>
                <w:sz w:val="16"/>
                <w:szCs w:val="16"/>
              </w:rPr>
              <w:t>0</w:t>
            </w:r>
          </w:p>
        </w:tc>
      </w:tr>
    </w:tbl>
    <w:p w:rsidR="001E5B24" w:rsidRPr="00950B03" w:rsidP="001E5B24">
      <w:pPr>
        <w:bidi w:val="0"/>
        <w:jc w:val="both"/>
        <w:rPr>
          <w:rFonts w:ascii="Arial Narrow" w:hAnsi="Arial Narrow" w:cs="Arial Narrow"/>
          <w:sz w:val="16"/>
          <w:szCs w:val="16"/>
        </w:rPr>
      </w:pPr>
      <w:r w:rsidRPr="00950B03">
        <w:rPr>
          <w:rFonts w:ascii="Arial Narrow" w:hAnsi="Arial Narrow" w:cs="Arial Narrow"/>
          <w:sz w:val="16"/>
          <w:szCs w:val="16"/>
        </w:rPr>
        <w:t>* mimorozpočtové zdroje</w:t>
      </w:r>
    </w:p>
    <w:p w:rsidR="001E5B24" w:rsidRPr="00754351" w:rsidP="001E5B24">
      <w:pPr>
        <w:bidi w:val="0"/>
        <w:jc w:val="both"/>
        <w:rPr>
          <w:rFonts w:ascii="Arial Narrow" w:hAnsi="Arial Narrow" w:cs="Arial Narrow"/>
          <w:sz w:val="22"/>
          <w:szCs w:val="22"/>
        </w:rPr>
      </w:pPr>
    </w:p>
    <w:p w:rsidR="001E5B24" w:rsidRPr="00AF4B52" w:rsidP="001E5B24">
      <w:pPr>
        <w:bidi w:val="0"/>
        <w:jc w:val="both"/>
        <w:rPr>
          <w:rFonts w:ascii="Arial Narrow" w:hAnsi="Arial Narrow" w:cs="Arial Narrow"/>
          <w:sz w:val="22"/>
          <w:szCs w:val="22"/>
        </w:rPr>
      </w:pPr>
      <w:r>
        <w:rPr>
          <w:rFonts w:ascii="Arial Narrow" w:hAnsi="Arial Narrow" w:cs="Arial Narrow"/>
          <w:b/>
          <w:bCs/>
          <w:sz w:val="22"/>
          <w:szCs w:val="22"/>
        </w:rPr>
        <w:tab/>
      </w:r>
      <w:r>
        <w:rPr>
          <w:rFonts w:ascii="Arial Narrow" w:hAnsi="Arial Narrow" w:cs="Arial Narrow"/>
          <w:sz w:val="22"/>
          <w:szCs w:val="22"/>
        </w:rPr>
        <w:t xml:space="preserve">V roku 2011 dochádza v porovnaní so schváleným rozpočtom roku 2010 k poklesu </w:t>
      </w:r>
      <w:r w:rsidRPr="000B4E38">
        <w:rPr>
          <w:rFonts w:ascii="Arial Narrow" w:hAnsi="Arial Narrow" w:cs="Arial Narrow"/>
          <w:sz w:val="22"/>
          <w:szCs w:val="22"/>
        </w:rPr>
        <w:t>celkových výdavkov</w:t>
      </w:r>
      <w:r>
        <w:rPr>
          <w:rFonts w:ascii="Arial Narrow" w:hAnsi="Arial Narrow" w:cs="Arial Narrow"/>
          <w:sz w:val="22"/>
          <w:szCs w:val="22"/>
        </w:rPr>
        <w:t xml:space="preserve"> o 4,00 mil. eur, čo predstavuje 10,1 %.</w:t>
      </w:r>
    </w:p>
    <w:p w:rsidR="001E5B24" w:rsidP="001E5B24">
      <w:pPr>
        <w:bidi w:val="0"/>
        <w:jc w:val="both"/>
        <w:rPr>
          <w:rFonts w:ascii="Arial Narrow" w:hAnsi="Arial Narrow" w:cs="Arial Narrow"/>
          <w:b/>
          <w:bCs/>
          <w:sz w:val="22"/>
          <w:szCs w:val="22"/>
        </w:rPr>
      </w:pPr>
    </w:p>
    <w:p w:rsidR="001E5B24" w:rsidRPr="00B069AA" w:rsidP="001E5B24">
      <w:pPr>
        <w:tabs>
          <w:tab w:val="left" w:pos="0"/>
        </w:tabs>
        <w:bidi w:val="0"/>
        <w:jc w:val="both"/>
        <w:rPr>
          <w:rFonts w:ascii="Arial Narrow" w:hAnsi="Arial Narrow" w:cs="Arial Narrow"/>
          <w:sz w:val="22"/>
          <w:szCs w:val="22"/>
        </w:rPr>
      </w:pPr>
      <w:r>
        <w:rPr>
          <w:rFonts w:ascii="Arial Narrow" w:hAnsi="Arial Narrow" w:cs="Arial Narrow"/>
          <w:b/>
          <w:bCs/>
          <w:sz w:val="22"/>
          <w:szCs w:val="22"/>
        </w:rPr>
        <w:tab/>
      </w:r>
      <w:r w:rsidRPr="00041F24">
        <w:rPr>
          <w:rFonts w:ascii="Arial Narrow" w:hAnsi="Arial Narrow" w:cs="Arial Narrow"/>
          <w:sz w:val="22"/>
          <w:szCs w:val="22"/>
        </w:rPr>
        <w:t xml:space="preserve">Objem osobných výdavkov sa </w:t>
      </w:r>
      <w:r>
        <w:rPr>
          <w:rFonts w:ascii="Arial Narrow" w:hAnsi="Arial Narrow" w:cs="Arial Narrow"/>
          <w:sz w:val="22"/>
          <w:szCs w:val="22"/>
        </w:rPr>
        <w:t>na</w:t>
      </w:r>
      <w:r w:rsidRPr="00041F24">
        <w:rPr>
          <w:rFonts w:ascii="Arial Narrow" w:hAnsi="Arial Narrow" w:cs="Arial Narrow"/>
          <w:sz w:val="22"/>
          <w:szCs w:val="22"/>
        </w:rPr>
        <w:t xml:space="preserve"> rok 2011 rozpočtuje na úrovni 25,8 mil. eur, čo v porovnaní </w:t>
      </w:r>
      <w:r>
        <w:rPr>
          <w:rFonts w:ascii="Arial Narrow" w:hAnsi="Arial Narrow" w:cs="Arial Narrow"/>
          <w:sz w:val="22"/>
          <w:szCs w:val="22"/>
        </w:rPr>
        <w:br/>
      </w:r>
      <w:r w:rsidRPr="00041F24">
        <w:rPr>
          <w:rFonts w:ascii="Arial Narrow" w:hAnsi="Arial Narrow" w:cs="Arial Narrow"/>
          <w:sz w:val="22"/>
          <w:szCs w:val="22"/>
        </w:rPr>
        <w:t xml:space="preserve">so schváleným </w:t>
      </w:r>
      <w:r>
        <w:rPr>
          <w:rFonts w:ascii="Arial Narrow" w:hAnsi="Arial Narrow" w:cs="Arial Narrow"/>
          <w:sz w:val="22"/>
          <w:szCs w:val="22"/>
        </w:rPr>
        <w:t xml:space="preserve">rozpočtom </w:t>
      </w:r>
      <w:r w:rsidRPr="00041F24">
        <w:rPr>
          <w:rFonts w:ascii="Arial Narrow" w:hAnsi="Arial Narrow" w:cs="Arial Narrow"/>
          <w:sz w:val="22"/>
          <w:szCs w:val="22"/>
        </w:rPr>
        <w:t>rok</w:t>
      </w:r>
      <w:r>
        <w:rPr>
          <w:rFonts w:ascii="Arial Narrow" w:hAnsi="Arial Narrow" w:cs="Arial Narrow"/>
          <w:sz w:val="22"/>
          <w:szCs w:val="22"/>
        </w:rPr>
        <w:t>a</w:t>
      </w:r>
      <w:r w:rsidRPr="00041F24">
        <w:rPr>
          <w:rFonts w:ascii="Arial Narrow" w:hAnsi="Arial Narrow" w:cs="Arial Narrow"/>
          <w:sz w:val="22"/>
          <w:szCs w:val="22"/>
        </w:rPr>
        <w:t xml:space="preserve"> 2010 predstavuje pokles o 9,10% (2,58 mil. eur). Medziročný pokles osobných výdavkov je ovplyvnený viazaním osobných výdavkov na úrovni 10% </w:t>
      </w:r>
      <w:r w:rsidR="00271764">
        <w:rPr>
          <w:rFonts w:ascii="Arial Narrow" w:hAnsi="Arial Narrow" w:cs="Arial Narrow"/>
          <w:sz w:val="22"/>
          <w:szCs w:val="22"/>
        </w:rPr>
        <w:t>pre</w:t>
      </w:r>
      <w:r w:rsidRPr="00041F24">
        <w:rPr>
          <w:rFonts w:ascii="Arial Narrow" w:hAnsi="Arial Narrow" w:cs="Arial Narrow"/>
          <w:sz w:val="22"/>
          <w:szCs w:val="22"/>
        </w:rPr>
        <w:t xml:space="preserve"> štátnych zamestnancov a zamestnancov pri výkone práce vo verejnom </w:t>
      </w:r>
      <w:r>
        <w:rPr>
          <w:rFonts w:ascii="Arial Narrow" w:hAnsi="Arial Narrow" w:cs="Arial Narrow"/>
          <w:sz w:val="22"/>
          <w:szCs w:val="22"/>
        </w:rPr>
        <w:t>záujme pri zohľadnení dopočtu 1</w:t>
      </w:r>
      <w:r w:rsidRPr="00041F24">
        <w:rPr>
          <w:rFonts w:ascii="Arial Narrow" w:hAnsi="Arial Narrow" w:cs="Arial Narrow"/>
          <w:sz w:val="22"/>
          <w:szCs w:val="22"/>
        </w:rPr>
        <w:t>% valorizácie z roku 2010.</w:t>
      </w:r>
    </w:p>
    <w:p w:rsidR="001E5B24" w:rsidP="001E5B24">
      <w:pPr>
        <w:bidi w:val="0"/>
        <w:jc w:val="both"/>
        <w:rPr>
          <w:rFonts w:ascii="Arial Narrow" w:hAnsi="Arial Narrow" w:cs="Arial Narrow"/>
          <w:b/>
          <w:bCs/>
          <w:sz w:val="22"/>
          <w:szCs w:val="22"/>
        </w:rPr>
      </w:pPr>
    </w:p>
    <w:p w:rsidR="001E5B24" w:rsidRPr="00B069AA" w:rsidP="001E5B24">
      <w:pPr>
        <w:bidi w:val="0"/>
        <w:jc w:val="both"/>
        <w:rPr>
          <w:rFonts w:ascii="Arial Narrow" w:hAnsi="Arial Narrow" w:cs="Arial Narrow"/>
          <w:sz w:val="22"/>
          <w:szCs w:val="22"/>
        </w:rPr>
      </w:pPr>
      <w:r>
        <w:rPr>
          <w:rFonts w:ascii="Arial Narrow" w:hAnsi="Arial Narrow" w:cs="Arial Narrow"/>
          <w:b/>
          <w:bCs/>
          <w:sz w:val="22"/>
          <w:szCs w:val="22"/>
        </w:rPr>
        <w:tab/>
      </w:r>
      <w:r w:rsidRPr="00B069AA">
        <w:rPr>
          <w:rFonts w:ascii="Arial Narrow" w:hAnsi="Arial Narrow" w:cs="Arial Narrow"/>
          <w:sz w:val="22"/>
          <w:szCs w:val="22"/>
        </w:rPr>
        <w:t xml:space="preserve">Výdavky </w:t>
      </w:r>
      <w:r w:rsidRPr="00236F5D">
        <w:rPr>
          <w:rFonts w:ascii="Arial Narrow" w:hAnsi="Arial Narrow" w:cs="Arial Narrow"/>
          <w:sz w:val="22"/>
          <w:szCs w:val="22"/>
        </w:rPr>
        <w:t xml:space="preserve">na tovary a služby </w:t>
      </w:r>
      <w:r>
        <w:rPr>
          <w:rFonts w:ascii="Arial Narrow" w:hAnsi="Arial Narrow" w:cs="Arial Narrow"/>
          <w:sz w:val="22"/>
          <w:szCs w:val="22"/>
        </w:rPr>
        <w:t xml:space="preserve">oproti schválenému rozpočtu roku 2010 </w:t>
      </w:r>
      <w:r w:rsidRPr="00236F5D">
        <w:rPr>
          <w:rFonts w:ascii="Arial Narrow" w:hAnsi="Arial Narrow" w:cs="Arial Narrow"/>
          <w:sz w:val="22"/>
          <w:szCs w:val="22"/>
        </w:rPr>
        <w:t>klesajú</w:t>
      </w:r>
      <w:r w:rsidRPr="00B069AA">
        <w:rPr>
          <w:rFonts w:ascii="Arial Narrow" w:hAnsi="Arial Narrow" w:cs="Arial Narrow"/>
          <w:sz w:val="22"/>
          <w:szCs w:val="22"/>
        </w:rPr>
        <w:t xml:space="preserve"> o 9,09 % a</w:t>
      </w:r>
      <w:r>
        <w:rPr>
          <w:rFonts w:ascii="Arial Narrow" w:hAnsi="Arial Narrow" w:cs="Arial Narrow"/>
          <w:sz w:val="22"/>
          <w:szCs w:val="22"/>
        </w:rPr>
        <w:t> bežné transfery klesajú</w:t>
      </w:r>
      <w:r w:rsidRPr="00B069AA">
        <w:rPr>
          <w:rFonts w:ascii="Arial Narrow" w:hAnsi="Arial Narrow" w:cs="Arial Narrow"/>
          <w:sz w:val="22"/>
          <w:szCs w:val="22"/>
        </w:rPr>
        <w:t xml:space="preserve"> </w:t>
      </w:r>
      <w:r>
        <w:rPr>
          <w:rFonts w:ascii="Arial Narrow" w:hAnsi="Arial Narrow" w:cs="Arial Narrow"/>
          <w:sz w:val="22"/>
          <w:szCs w:val="22"/>
        </w:rPr>
        <w:t xml:space="preserve">o 10%. </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sz w:val="22"/>
          <w:szCs w:val="22"/>
        </w:rPr>
      </w:pPr>
      <w:r>
        <w:rPr>
          <w:rFonts w:ascii="Arial Narrow" w:hAnsi="Arial Narrow" w:cs="Arial Narrow"/>
          <w:b/>
          <w:bCs/>
          <w:sz w:val="22"/>
          <w:szCs w:val="22"/>
        </w:rPr>
        <w:tab/>
      </w:r>
      <w:r w:rsidRPr="00FD1658">
        <w:rPr>
          <w:rFonts w:ascii="Arial Narrow" w:hAnsi="Arial Narrow" w:cs="Arial Narrow"/>
          <w:sz w:val="22"/>
          <w:szCs w:val="22"/>
        </w:rPr>
        <w:t xml:space="preserve">Kapitálové výdavky </w:t>
      </w:r>
      <w:r>
        <w:rPr>
          <w:rFonts w:ascii="Arial Narrow" w:hAnsi="Arial Narrow" w:cs="Arial Narrow"/>
          <w:sz w:val="22"/>
          <w:szCs w:val="22"/>
        </w:rPr>
        <w:t xml:space="preserve">oproti schválenému rozpočtu roku 2010 klesajú o 42,1 % z dôvodu rozpočtovania jednorazových výdavkov v roku 2010 na </w:t>
      </w:r>
      <w:r w:rsidRPr="00C2344D">
        <w:rPr>
          <w:rFonts w:ascii="Arial Narrow" w:hAnsi="Arial Narrow" w:cs="Arial Narrow"/>
          <w:sz w:val="22"/>
          <w:szCs w:val="22"/>
        </w:rPr>
        <w:t>dobudovanie katastrálneho úradu v budove správy katastra na Peknej ceste</w:t>
      </w:r>
      <w:r>
        <w:rPr>
          <w:rFonts w:ascii="Arial Narrow" w:hAnsi="Arial Narrow" w:cs="Arial Narrow"/>
          <w:sz w:val="22"/>
          <w:szCs w:val="22"/>
        </w:rPr>
        <w:t>.</w:t>
      </w:r>
    </w:p>
    <w:p w:rsidR="001E5B24" w:rsidP="001E5B24">
      <w:pPr>
        <w:bidi w:val="0"/>
        <w:jc w:val="both"/>
        <w:rPr>
          <w:rFonts w:ascii="Arial Narrow" w:hAnsi="Arial Narrow" w:cs="Arial Narrow"/>
          <w:sz w:val="22"/>
          <w:szCs w:val="22"/>
        </w:rPr>
      </w:pPr>
    </w:p>
    <w:p w:rsidR="001E5B24" w:rsidP="001E5B24">
      <w:pPr>
        <w:bidi w:val="0"/>
        <w:jc w:val="both"/>
        <w:rPr>
          <w:rFonts w:ascii="Arial Narrow" w:hAnsi="Arial Narrow" w:cs="Arial Narrow"/>
          <w:sz w:val="22"/>
          <w:szCs w:val="22"/>
        </w:rPr>
      </w:pPr>
      <w:r w:rsidR="00DB4442">
        <w:rPr>
          <w:rFonts w:ascii="Arial Narrow" w:hAnsi="Arial Narrow" w:cs="Arial Narrow"/>
          <w:sz w:val="22"/>
          <w:szCs w:val="22"/>
        </w:rPr>
        <w:br w:type="page"/>
      </w:r>
    </w:p>
    <w:p w:rsidR="001E5B24" w:rsidRPr="008B6B7C" w:rsidP="001E5B24">
      <w:pPr>
        <w:pBdr>
          <w:bottom w:val="single" w:sz="4" w:space="1" w:color="auto"/>
        </w:pBdr>
        <w:bidi w:val="0"/>
        <w:jc w:val="both"/>
        <w:rPr>
          <w:rFonts w:ascii="Arial Narrow" w:hAnsi="Arial Narrow" w:cs="Arial Narrow"/>
          <w:b/>
          <w:bCs/>
          <w:sz w:val="22"/>
          <w:szCs w:val="22"/>
        </w:rPr>
      </w:pPr>
      <w:r w:rsidRPr="008B6B7C">
        <w:rPr>
          <w:rFonts w:ascii="Arial Narrow" w:hAnsi="Arial Narrow" w:cs="Arial Narrow"/>
          <w:b/>
          <w:bCs/>
          <w:sz w:val="22"/>
          <w:szCs w:val="22"/>
        </w:rPr>
        <w:t>Štatistický úrad SR</w:t>
      </w:r>
    </w:p>
    <w:p w:rsidR="001E5B24" w:rsidP="001E5B24">
      <w:pPr>
        <w:autoSpaceDE w:val="0"/>
        <w:autoSpaceDN w:val="0"/>
        <w:bidi w:val="0"/>
        <w:adjustRightInd w:val="0"/>
        <w:jc w:val="both"/>
      </w:pPr>
    </w:p>
    <w:tbl>
      <w:tblPr>
        <w:tblStyle w:val="TableNormal"/>
        <w:tblW w:w="9159" w:type="dxa"/>
        <w:tblInd w:w="70" w:type="dxa"/>
        <w:tblLayout w:type="fixed"/>
        <w:tblCellMar>
          <w:left w:w="70" w:type="dxa"/>
          <w:right w:w="70" w:type="dxa"/>
        </w:tblCellMar>
      </w:tblPr>
      <w:tblGrid>
        <w:gridCol w:w="3402"/>
        <w:gridCol w:w="959"/>
        <w:gridCol w:w="960"/>
        <w:gridCol w:w="959"/>
        <w:gridCol w:w="960"/>
        <w:gridCol w:w="959"/>
        <w:gridCol w:w="960"/>
      </w:tblGrid>
      <w:tr>
        <w:tblPrEx>
          <w:tblW w:w="9159" w:type="dxa"/>
          <w:tblInd w:w="70" w:type="dxa"/>
          <w:tblLayout w:type="fixed"/>
          <w:tblCellMar>
            <w:left w:w="70" w:type="dxa"/>
            <w:right w:w="70" w:type="dxa"/>
          </w:tblCellMar>
        </w:tblPrEx>
        <w:trPr>
          <w:trHeight w:val="253"/>
        </w:trPr>
        <w:tc>
          <w:tcPr>
            <w:tcW w:w="34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A660A7" w:rsidP="001E5B24">
            <w:pPr>
              <w:bidi w:val="0"/>
              <w:rPr>
                <w:rFonts w:ascii="Arial Narrow" w:hAnsi="Arial Narrow" w:cs="Arial Narrow"/>
                <w:b/>
                <w:bCs/>
                <w:color w:val="000000"/>
                <w:sz w:val="16"/>
                <w:szCs w:val="16"/>
              </w:rPr>
            </w:pPr>
            <w:r w:rsidRPr="00A660A7">
              <w:rPr>
                <w:rFonts w:ascii="Arial Narrow" w:hAnsi="Arial Narrow" w:cs="Arial Narrow"/>
                <w:b/>
                <w:bCs/>
                <w:color w:val="000000"/>
                <w:sz w:val="16"/>
                <w:szCs w:val="16"/>
              </w:rPr>
              <w:t> v</w:t>
            </w:r>
            <w:r>
              <w:rPr>
                <w:rFonts w:ascii="Arial Narrow" w:hAnsi="Arial Narrow" w:cs="Arial Narrow"/>
                <w:b/>
                <w:bCs/>
                <w:color w:val="000000"/>
                <w:sz w:val="16"/>
                <w:szCs w:val="16"/>
              </w:rPr>
              <w:t xml:space="preserve"> tis. </w:t>
            </w:r>
            <w:r w:rsidRPr="00A660A7">
              <w:rPr>
                <w:rFonts w:ascii="Arial Narrow" w:hAnsi="Arial Narrow" w:cs="Arial Narrow"/>
                <w:b/>
                <w:bCs/>
                <w:color w:val="000000"/>
                <w:sz w:val="16"/>
                <w:szCs w:val="16"/>
              </w:rPr>
              <w:t>eur</w:t>
            </w:r>
          </w:p>
        </w:tc>
        <w:tc>
          <w:tcPr>
            <w:tcW w:w="959"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2008 S</w:t>
            </w:r>
          </w:p>
        </w:tc>
        <w:tc>
          <w:tcPr>
            <w:tcW w:w="960"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2009 S</w:t>
            </w:r>
          </w:p>
        </w:tc>
        <w:tc>
          <w:tcPr>
            <w:tcW w:w="959"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2010 R</w:t>
            </w:r>
          </w:p>
        </w:tc>
        <w:tc>
          <w:tcPr>
            <w:tcW w:w="960"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2011 N</w:t>
            </w:r>
          </w:p>
        </w:tc>
        <w:tc>
          <w:tcPr>
            <w:tcW w:w="959"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2012 N</w:t>
            </w:r>
          </w:p>
        </w:tc>
        <w:tc>
          <w:tcPr>
            <w:tcW w:w="960"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A660A7" w:rsidP="001E5B24">
            <w:pPr>
              <w:bidi w:val="0"/>
              <w:jc w:val="center"/>
              <w:rPr>
                <w:rFonts w:ascii="Arial Narrow" w:hAnsi="Arial Narrow" w:cs="Arial Narrow"/>
                <w:b/>
                <w:bCs/>
                <w:color w:val="000000"/>
                <w:sz w:val="16"/>
                <w:szCs w:val="16"/>
              </w:rPr>
            </w:pPr>
            <w:r w:rsidRPr="00A660A7">
              <w:rPr>
                <w:rFonts w:ascii="Arial Narrow" w:hAnsi="Arial Narrow" w:cs="Arial Narrow"/>
                <w:b/>
                <w:bCs/>
                <w:color w:val="000000"/>
                <w:sz w:val="16"/>
                <w:szCs w:val="16"/>
              </w:rPr>
              <w:t>2013 N</w:t>
            </w:r>
          </w:p>
        </w:tc>
      </w:tr>
      <w:tr>
        <w:tblPrEx>
          <w:tblW w:w="9159" w:type="dxa"/>
          <w:tblInd w:w="70" w:type="dxa"/>
          <w:tblLayout w:type="fixed"/>
          <w:tblCellMar>
            <w:left w:w="70" w:type="dxa"/>
            <w:right w:w="70" w:type="dxa"/>
          </w:tblCellMar>
        </w:tblPrEx>
        <w:trPr>
          <w:trHeight w:val="253"/>
        </w:trPr>
        <w:tc>
          <w:tcPr>
            <w:tcW w:w="340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1E5B24" w:rsidRPr="00950B03" w:rsidP="001E5B24">
            <w:pPr>
              <w:bidi w:val="0"/>
              <w:rPr>
                <w:rFonts w:ascii="Arial Narrow" w:hAnsi="Arial Narrow" w:cs="Arial Narrow"/>
                <w:b/>
                <w:bCs/>
                <w:sz w:val="16"/>
                <w:szCs w:val="16"/>
              </w:rPr>
            </w:pPr>
            <w:r w:rsidRPr="00950B03">
              <w:rPr>
                <w:rFonts w:ascii="Arial Narrow" w:hAnsi="Arial Narrow" w:cs="Arial Narrow"/>
                <w:b/>
                <w:bCs/>
                <w:sz w:val="16"/>
                <w:szCs w:val="16"/>
              </w:rPr>
              <w:t>Zdroje príslušnej kapitoly</w:t>
            </w:r>
          </w:p>
        </w:tc>
        <w:tc>
          <w:tcPr>
            <w:tcW w:w="959"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19 493</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33 653</w:t>
            </w:r>
          </w:p>
        </w:tc>
        <w:tc>
          <w:tcPr>
            <w:tcW w:w="959"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29 547</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22 835</w:t>
            </w:r>
          </w:p>
        </w:tc>
        <w:tc>
          <w:tcPr>
            <w:tcW w:w="959"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18 690</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19 675</w:t>
            </w:r>
          </w:p>
        </w:tc>
      </w:tr>
      <w:tr>
        <w:tblPrEx>
          <w:tblW w:w="9159" w:type="dxa"/>
          <w:tblInd w:w="70" w:type="dxa"/>
          <w:tblLayout w:type="fixed"/>
          <w:tblCellMar>
            <w:left w:w="70" w:type="dxa"/>
            <w:right w:w="70" w:type="dxa"/>
          </w:tblCellMar>
        </w:tblPrEx>
        <w:trPr>
          <w:trHeight w:val="253"/>
        </w:trPr>
        <w:tc>
          <w:tcPr>
            <w:tcW w:w="3402" w:type="dxa"/>
            <w:tcBorders>
              <w:top w:val="nil"/>
              <w:left w:val="single" w:sz="4" w:space="0" w:color="auto"/>
              <w:bottom w:val="single" w:sz="4" w:space="0" w:color="auto"/>
              <w:right w:val="single" w:sz="4" w:space="0" w:color="auto"/>
            </w:tcBorders>
            <w:noWrap/>
            <w:textDirection w:val="lrTb"/>
            <w:vAlign w:val="bottom"/>
          </w:tcPr>
          <w:p w:rsidR="001E5B24" w:rsidRPr="005C2AB4" w:rsidP="001E5B24">
            <w:pPr>
              <w:bidi w:val="0"/>
              <w:rPr>
                <w:rFonts w:ascii="Arial Narrow" w:hAnsi="Arial Narrow" w:cs="Arial Narrow"/>
                <w:sz w:val="16"/>
                <w:szCs w:val="16"/>
              </w:rPr>
            </w:pPr>
            <w:r>
              <w:rPr>
                <w:rFonts w:ascii="Arial Narrow" w:hAnsi="Arial Narrow" w:cs="Arial Narrow"/>
                <w:sz w:val="16"/>
                <w:szCs w:val="16"/>
              </w:rPr>
              <w:t>z toho:</w:t>
            </w:r>
          </w:p>
        </w:tc>
        <w:tc>
          <w:tcPr>
            <w:tcW w:w="959"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p>
        </w:tc>
        <w:tc>
          <w:tcPr>
            <w:tcW w:w="960" w:type="dxa"/>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p>
        </w:tc>
        <w:tc>
          <w:tcPr>
            <w:tcW w:w="959" w:type="dxa"/>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p>
        </w:tc>
        <w:tc>
          <w:tcPr>
            <w:tcW w:w="960"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p>
        </w:tc>
        <w:tc>
          <w:tcPr>
            <w:tcW w:w="959"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p>
        </w:tc>
        <w:tc>
          <w:tcPr>
            <w:tcW w:w="960" w:type="dxa"/>
            <w:tcBorders>
              <w:top w:val="nil"/>
              <w:left w:val="nil"/>
              <w:bottom w:val="single" w:sz="4" w:space="0" w:color="auto"/>
              <w:right w:val="single" w:sz="4" w:space="0" w:color="auto"/>
            </w:tcBorders>
            <w:textDirection w:val="lrTb"/>
            <w:vAlign w:val="bottom"/>
          </w:tcPr>
          <w:p w:rsidR="001E5B24" w:rsidP="001E5B24">
            <w:pPr>
              <w:bidi w:val="0"/>
              <w:jc w:val="right"/>
              <w:rPr>
                <w:rFonts w:ascii="Arial Narrow" w:hAnsi="Arial Narrow" w:cs="Arial Narrow"/>
                <w:sz w:val="16"/>
                <w:szCs w:val="16"/>
              </w:rPr>
            </w:pPr>
          </w:p>
        </w:tc>
      </w:tr>
      <w:tr>
        <w:tblPrEx>
          <w:tblW w:w="9159" w:type="dxa"/>
          <w:tblInd w:w="70" w:type="dxa"/>
          <w:tblLayout w:type="fixed"/>
          <w:tblCellMar>
            <w:left w:w="70" w:type="dxa"/>
            <w:right w:w="70" w:type="dxa"/>
          </w:tblCellMar>
        </w:tblPrEx>
        <w:trPr>
          <w:trHeight w:val="253"/>
        </w:trPr>
        <w:tc>
          <w:tcPr>
            <w:tcW w:w="3402" w:type="dxa"/>
            <w:tcBorders>
              <w:top w:val="nil"/>
              <w:left w:val="single" w:sz="4" w:space="0" w:color="auto"/>
              <w:bottom w:val="single" w:sz="4" w:space="0" w:color="auto"/>
              <w:right w:val="single" w:sz="4" w:space="0" w:color="auto"/>
            </w:tcBorders>
            <w:noWrap/>
            <w:textDirection w:val="lrTb"/>
            <w:vAlign w:val="bottom"/>
          </w:tcPr>
          <w:p w:rsidR="001E5B24" w:rsidRPr="005C2AB4" w:rsidP="001E5B24">
            <w:pPr>
              <w:bidi w:val="0"/>
              <w:rPr>
                <w:rFonts w:ascii="Arial Narrow" w:hAnsi="Arial Narrow" w:cs="Arial Narrow"/>
                <w:sz w:val="16"/>
                <w:szCs w:val="16"/>
              </w:rPr>
            </w:pPr>
            <w:r w:rsidRPr="005C2AB4">
              <w:rPr>
                <w:rFonts w:ascii="Arial Narrow" w:hAnsi="Arial Narrow" w:cs="Arial Narrow"/>
                <w:sz w:val="16"/>
                <w:szCs w:val="16"/>
              </w:rPr>
              <w:t xml:space="preserve">rozpočtové zdroje kapitoly </w:t>
            </w:r>
          </w:p>
        </w:tc>
        <w:tc>
          <w:tcPr>
            <w:tcW w:w="959"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19 </w:t>
            </w:r>
            <w:r>
              <w:rPr>
                <w:rFonts w:ascii="Arial Narrow" w:hAnsi="Arial Narrow" w:cs="Arial Narrow"/>
                <w:sz w:val="16"/>
                <w:szCs w:val="16"/>
              </w:rPr>
              <w:t>218</w:t>
            </w:r>
          </w:p>
        </w:tc>
        <w:tc>
          <w:tcPr>
            <w:tcW w:w="960"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Pr>
                <w:rFonts w:ascii="Arial Narrow" w:hAnsi="Arial Narrow" w:cs="Arial Narrow"/>
                <w:sz w:val="16"/>
                <w:szCs w:val="16"/>
              </w:rPr>
              <w:t>32 632</w:t>
            </w:r>
          </w:p>
        </w:tc>
        <w:tc>
          <w:tcPr>
            <w:tcW w:w="959"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Pr>
                <w:rFonts w:ascii="Arial Narrow" w:hAnsi="Arial Narrow" w:cs="Arial Narrow"/>
                <w:sz w:val="16"/>
                <w:szCs w:val="16"/>
              </w:rPr>
              <w:t>29 547</w:t>
            </w:r>
          </w:p>
        </w:tc>
        <w:tc>
          <w:tcPr>
            <w:tcW w:w="960"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22 835</w:t>
            </w:r>
          </w:p>
        </w:tc>
        <w:tc>
          <w:tcPr>
            <w:tcW w:w="959"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18 6</w:t>
            </w:r>
            <w:r>
              <w:rPr>
                <w:rFonts w:ascii="Arial Narrow" w:hAnsi="Arial Narrow" w:cs="Arial Narrow"/>
                <w:sz w:val="16"/>
                <w:szCs w:val="16"/>
              </w:rPr>
              <w:t>90</w:t>
            </w:r>
          </w:p>
        </w:tc>
        <w:tc>
          <w:tcPr>
            <w:tcW w:w="960" w:type="dxa"/>
            <w:tcBorders>
              <w:top w:val="nil"/>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Pr>
                <w:rFonts w:ascii="Arial Narrow" w:hAnsi="Arial Narrow" w:cs="Arial Narrow"/>
                <w:sz w:val="16"/>
                <w:szCs w:val="16"/>
              </w:rPr>
              <w:t>19 675</w:t>
            </w:r>
          </w:p>
        </w:tc>
      </w:tr>
      <w:tr>
        <w:tblPrEx>
          <w:tblW w:w="9159" w:type="dxa"/>
          <w:tblInd w:w="70" w:type="dxa"/>
          <w:tblLayout w:type="fixed"/>
          <w:tblCellMar>
            <w:left w:w="70" w:type="dxa"/>
            <w:right w:w="70" w:type="dxa"/>
          </w:tblCellMar>
        </w:tblPrEx>
        <w:trPr>
          <w:trHeight w:val="253"/>
        </w:trPr>
        <w:tc>
          <w:tcPr>
            <w:tcW w:w="3402"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5C2AB4" w:rsidP="001E5B24">
            <w:pPr>
              <w:bidi w:val="0"/>
              <w:rPr>
                <w:rFonts w:ascii="Arial Narrow" w:hAnsi="Arial Narrow" w:cs="Arial Narrow"/>
                <w:sz w:val="16"/>
                <w:szCs w:val="16"/>
              </w:rPr>
            </w:pPr>
            <w:r w:rsidRPr="005C2AB4">
              <w:rPr>
                <w:rFonts w:ascii="Arial Narrow" w:hAnsi="Arial Narrow" w:cs="Arial Narrow"/>
                <w:sz w:val="16"/>
                <w:szCs w:val="16"/>
              </w:rPr>
              <w:t>iné zdroje*</w:t>
            </w:r>
          </w:p>
        </w:tc>
        <w:tc>
          <w:tcPr>
            <w:tcW w:w="959"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Pr>
                <w:rFonts w:ascii="Arial Narrow" w:hAnsi="Arial Narrow" w:cs="Arial Narrow"/>
                <w:sz w:val="16"/>
                <w:szCs w:val="16"/>
              </w:rPr>
              <w:t>275</w:t>
            </w:r>
          </w:p>
        </w:tc>
        <w:tc>
          <w:tcPr>
            <w:tcW w:w="960"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Pr>
                <w:rFonts w:ascii="Arial Narrow" w:hAnsi="Arial Narrow" w:cs="Arial Narrow"/>
                <w:sz w:val="16"/>
                <w:szCs w:val="16"/>
              </w:rPr>
              <w:t>1 02</w:t>
            </w:r>
            <w:r w:rsidRPr="005C2AB4">
              <w:rPr>
                <w:rFonts w:ascii="Arial Narrow" w:hAnsi="Arial Narrow" w:cs="Arial Narrow"/>
                <w:sz w:val="16"/>
                <w:szCs w:val="16"/>
              </w:rPr>
              <w:t>2</w:t>
            </w:r>
          </w:p>
        </w:tc>
        <w:tc>
          <w:tcPr>
            <w:tcW w:w="959"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0</w:t>
            </w:r>
          </w:p>
        </w:tc>
        <w:tc>
          <w:tcPr>
            <w:tcW w:w="960"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0</w:t>
            </w:r>
          </w:p>
        </w:tc>
        <w:tc>
          <w:tcPr>
            <w:tcW w:w="959"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0</w:t>
            </w:r>
          </w:p>
        </w:tc>
        <w:tc>
          <w:tcPr>
            <w:tcW w:w="960" w:type="dxa"/>
            <w:tcBorders>
              <w:top w:val="single" w:sz="4" w:space="0" w:color="auto"/>
              <w:left w:val="nil"/>
              <w:bottom w:val="single" w:sz="4" w:space="0" w:color="auto"/>
              <w:right w:val="single" w:sz="4" w:space="0" w:color="auto"/>
            </w:tcBorders>
            <w:textDirection w:val="lrTb"/>
            <w:vAlign w:val="bottom"/>
          </w:tcPr>
          <w:p w:rsidR="001E5B24" w:rsidRPr="005C2AB4" w:rsidP="001E5B24">
            <w:pPr>
              <w:bidi w:val="0"/>
              <w:jc w:val="right"/>
              <w:rPr>
                <w:rFonts w:ascii="Arial Narrow" w:hAnsi="Arial Narrow" w:cs="Arial Narrow"/>
                <w:sz w:val="16"/>
                <w:szCs w:val="16"/>
              </w:rPr>
            </w:pPr>
            <w:r w:rsidRPr="005C2AB4">
              <w:rPr>
                <w:rFonts w:ascii="Arial Narrow" w:hAnsi="Arial Narrow" w:cs="Arial Narrow"/>
                <w:sz w:val="16"/>
                <w:szCs w:val="16"/>
              </w:rPr>
              <w:t>0</w:t>
            </w:r>
          </w:p>
        </w:tc>
      </w:tr>
    </w:tbl>
    <w:p w:rsidR="001E5B24" w:rsidRPr="00950B03" w:rsidP="001E5B24">
      <w:pPr>
        <w:bidi w:val="0"/>
        <w:jc w:val="both"/>
        <w:rPr>
          <w:rFonts w:ascii="Arial Narrow" w:hAnsi="Arial Narrow" w:cs="Arial Narrow"/>
          <w:sz w:val="16"/>
          <w:szCs w:val="16"/>
        </w:rPr>
      </w:pPr>
      <w:r w:rsidRPr="00950B03">
        <w:rPr>
          <w:rFonts w:ascii="Arial Narrow" w:hAnsi="Arial Narrow" w:cs="Arial Narrow"/>
          <w:sz w:val="16"/>
          <w:szCs w:val="16"/>
        </w:rPr>
        <w:t>* mimorozpočtové zdroje</w:t>
      </w:r>
    </w:p>
    <w:p w:rsidR="001E5B24" w:rsidP="001E5B24">
      <w:pPr>
        <w:autoSpaceDE w:val="0"/>
        <w:autoSpaceDN w:val="0"/>
        <w:bidi w:val="0"/>
        <w:adjustRightInd w:val="0"/>
        <w:jc w:val="both"/>
      </w:pPr>
    </w:p>
    <w:p w:rsidR="001E5B24" w:rsidRPr="00A660A7" w:rsidP="001E5B24">
      <w:pPr>
        <w:autoSpaceDE w:val="0"/>
        <w:autoSpaceDN w:val="0"/>
        <w:bidi w:val="0"/>
        <w:adjustRightInd w:val="0"/>
        <w:ind w:firstLine="708"/>
        <w:jc w:val="both"/>
        <w:rPr>
          <w:rFonts w:ascii="Arial Narrow" w:hAnsi="Arial Narrow" w:cs="Arial Narrow"/>
          <w:sz w:val="22"/>
          <w:szCs w:val="22"/>
        </w:rPr>
      </w:pPr>
      <w:r w:rsidRPr="00491C66">
        <w:rPr>
          <w:rFonts w:ascii="Arial Narrow" w:hAnsi="Arial Narrow" w:cs="Arial Narrow"/>
          <w:sz w:val="22"/>
          <w:szCs w:val="22"/>
        </w:rPr>
        <w:t>Na rok 2011 sa pre kapitolu navrhuje limit výdavkov</w:t>
      </w:r>
      <w:r>
        <w:rPr>
          <w:rFonts w:ascii="Arial Narrow" w:hAnsi="Arial Narrow" w:cs="Arial Narrow"/>
          <w:sz w:val="22"/>
          <w:szCs w:val="22"/>
        </w:rPr>
        <w:t xml:space="preserve"> v sume 22,8 mil. eur, čo predstavuje pokles</w:t>
      </w:r>
      <w:r w:rsidRPr="00491C66">
        <w:rPr>
          <w:rFonts w:ascii="Arial Narrow" w:hAnsi="Arial Narrow" w:cs="Arial Narrow"/>
          <w:sz w:val="22"/>
          <w:szCs w:val="22"/>
        </w:rPr>
        <w:t xml:space="preserve"> o </w:t>
      </w:r>
      <w:r>
        <w:rPr>
          <w:rFonts w:ascii="Arial Narrow" w:hAnsi="Arial Narrow" w:cs="Arial Narrow"/>
          <w:sz w:val="22"/>
          <w:szCs w:val="22"/>
        </w:rPr>
        <w:t>22</w:t>
      </w:r>
      <w:r w:rsidRPr="00491C66">
        <w:rPr>
          <w:rFonts w:ascii="Arial Narrow" w:hAnsi="Arial Narrow" w:cs="Arial Narrow"/>
          <w:sz w:val="22"/>
          <w:szCs w:val="22"/>
        </w:rPr>
        <w:t>,</w:t>
      </w:r>
      <w:r>
        <w:rPr>
          <w:rFonts w:ascii="Arial Narrow" w:hAnsi="Arial Narrow" w:cs="Arial Narrow"/>
          <w:sz w:val="22"/>
          <w:szCs w:val="22"/>
        </w:rPr>
        <w:t>7</w:t>
      </w:r>
      <w:r w:rsidRPr="00491C66">
        <w:rPr>
          <w:rFonts w:ascii="Arial Narrow" w:hAnsi="Arial Narrow" w:cs="Arial Narrow"/>
          <w:sz w:val="22"/>
          <w:szCs w:val="22"/>
        </w:rPr>
        <w:t xml:space="preserve"> % v porovnaní s</w:t>
      </w:r>
      <w:r>
        <w:rPr>
          <w:rFonts w:ascii="Arial Narrow" w:hAnsi="Arial Narrow" w:cs="Arial Narrow"/>
          <w:sz w:val="22"/>
          <w:szCs w:val="22"/>
        </w:rPr>
        <w:t>o schváleným rozpočtom</w:t>
      </w:r>
      <w:r w:rsidRPr="00491C66">
        <w:rPr>
          <w:rFonts w:ascii="Arial Narrow" w:hAnsi="Arial Narrow" w:cs="Arial Narrow"/>
          <w:sz w:val="22"/>
          <w:szCs w:val="22"/>
        </w:rPr>
        <w:t> rok</w:t>
      </w:r>
      <w:r>
        <w:rPr>
          <w:rFonts w:ascii="Arial Narrow" w:hAnsi="Arial Narrow" w:cs="Arial Narrow"/>
          <w:sz w:val="22"/>
          <w:szCs w:val="22"/>
        </w:rPr>
        <w:t>u</w:t>
      </w:r>
      <w:r w:rsidRPr="00491C66">
        <w:rPr>
          <w:rFonts w:ascii="Arial Narrow" w:hAnsi="Arial Narrow" w:cs="Arial Narrow"/>
          <w:sz w:val="22"/>
          <w:szCs w:val="22"/>
        </w:rPr>
        <w:t xml:space="preserve"> 2010</w:t>
      </w:r>
      <w:r>
        <w:rPr>
          <w:rFonts w:ascii="Arial Narrow" w:hAnsi="Arial Narrow" w:cs="Arial Narrow"/>
          <w:sz w:val="22"/>
          <w:szCs w:val="22"/>
        </w:rPr>
        <w:t xml:space="preserve">. </w:t>
      </w:r>
      <w:r w:rsidRPr="00A660A7">
        <w:rPr>
          <w:rFonts w:ascii="Arial Narrow" w:hAnsi="Arial Narrow" w:cs="Arial Narrow"/>
          <w:sz w:val="22"/>
          <w:szCs w:val="22"/>
        </w:rPr>
        <w:t>Kapitola mala v roku 2010 výdavk</w:t>
      </w:r>
      <w:r>
        <w:rPr>
          <w:rFonts w:ascii="Arial Narrow" w:hAnsi="Arial Narrow" w:cs="Arial Narrow"/>
          <w:sz w:val="22"/>
          <w:szCs w:val="22"/>
        </w:rPr>
        <w:t>y na voľby v sume 2,89 mil. eur a na sčítanie obyvateľov, domov a bytov (ďalej len „SODB“) v sume 9,85 mil. eur.</w:t>
      </w:r>
      <w:r w:rsidRPr="00A660A7">
        <w:rPr>
          <w:rFonts w:ascii="Arial Narrow" w:hAnsi="Arial Narrow" w:cs="Arial Narrow"/>
          <w:sz w:val="22"/>
          <w:szCs w:val="22"/>
        </w:rPr>
        <w:t xml:space="preserve"> </w:t>
      </w:r>
      <w:r>
        <w:rPr>
          <w:rFonts w:ascii="Arial Narrow" w:hAnsi="Arial Narrow" w:cs="Arial Narrow"/>
          <w:sz w:val="22"/>
          <w:szCs w:val="22"/>
        </w:rPr>
        <w:t xml:space="preserve">V roku 2011 predstavujú výdavky na </w:t>
      </w:r>
      <w:r w:rsidRPr="001F6E9C">
        <w:rPr>
          <w:rFonts w:ascii="Arial Narrow" w:hAnsi="Arial Narrow" w:cs="Arial Narrow"/>
          <w:sz w:val="22"/>
          <w:szCs w:val="22"/>
        </w:rPr>
        <w:t xml:space="preserve">SODB </w:t>
      </w:r>
      <w:r>
        <w:rPr>
          <w:rFonts w:ascii="Arial Narrow" w:hAnsi="Arial Narrow" w:cs="Arial Narrow"/>
          <w:sz w:val="22"/>
          <w:szCs w:val="22"/>
        </w:rPr>
        <w:t xml:space="preserve">sumu </w:t>
      </w:r>
      <w:r w:rsidRPr="001F6E9C">
        <w:rPr>
          <w:rFonts w:ascii="Arial Narrow" w:hAnsi="Arial Narrow" w:cs="Arial Narrow"/>
          <w:sz w:val="22"/>
          <w:szCs w:val="22"/>
          <w:lang w:eastAsia="sk-SK"/>
        </w:rPr>
        <w:t>7</w:t>
      </w:r>
      <w:r>
        <w:rPr>
          <w:rFonts w:ascii="Arial Narrow" w:hAnsi="Arial Narrow" w:cs="Arial Narrow"/>
          <w:sz w:val="22"/>
          <w:szCs w:val="22"/>
          <w:lang w:eastAsia="sk-SK"/>
        </w:rPr>
        <w:t>,</w:t>
      </w:r>
      <w:r w:rsidRPr="001F6E9C">
        <w:rPr>
          <w:rFonts w:ascii="Arial Narrow" w:hAnsi="Arial Narrow" w:cs="Arial Narrow"/>
          <w:sz w:val="22"/>
          <w:szCs w:val="22"/>
          <w:lang w:eastAsia="sk-SK"/>
        </w:rPr>
        <w:t>91</w:t>
      </w:r>
      <w:r>
        <w:rPr>
          <w:rFonts w:ascii="Arial Narrow" w:hAnsi="Arial Narrow" w:cs="Arial Narrow"/>
          <w:sz w:val="22"/>
          <w:szCs w:val="22"/>
          <w:lang w:eastAsia="sk-SK"/>
        </w:rPr>
        <w:t xml:space="preserve"> mil. eur. </w:t>
      </w:r>
      <w:r w:rsidRPr="00A660A7">
        <w:rPr>
          <w:rFonts w:ascii="Arial Narrow" w:hAnsi="Arial Narrow" w:cs="Arial Narrow"/>
          <w:sz w:val="22"/>
          <w:szCs w:val="22"/>
        </w:rPr>
        <w:t>Ak sa rozpoč</w:t>
      </w:r>
      <w:r>
        <w:rPr>
          <w:rFonts w:ascii="Arial Narrow" w:hAnsi="Arial Narrow" w:cs="Arial Narrow"/>
          <w:sz w:val="22"/>
          <w:szCs w:val="22"/>
        </w:rPr>
        <w:t>ty</w:t>
      </w:r>
      <w:r w:rsidRPr="00A660A7">
        <w:rPr>
          <w:rFonts w:ascii="Arial Narrow" w:hAnsi="Arial Narrow" w:cs="Arial Narrow"/>
          <w:sz w:val="22"/>
          <w:szCs w:val="22"/>
        </w:rPr>
        <w:t xml:space="preserve"> rok</w:t>
      </w:r>
      <w:r>
        <w:rPr>
          <w:rFonts w:ascii="Arial Narrow" w:hAnsi="Arial Narrow" w:cs="Arial Narrow"/>
          <w:sz w:val="22"/>
          <w:szCs w:val="22"/>
        </w:rPr>
        <w:t>ov</w:t>
      </w:r>
      <w:r w:rsidRPr="00A660A7">
        <w:rPr>
          <w:rFonts w:ascii="Arial Narrow" w:hAnsi="Arial Narrow" w:cs="Arial Narrow"/>
          <w:sz w:val="22"/>
          <w:szCs w:val="22"/>
        </w:rPr>
        <w:t xml:space="preserve"> 2010</w:t>
      </w:r>
      <w:r>
        <w:rPr>
          <w:rFonts w:ascii="Arial Narrow" w:hAnsi="Arial Narrow" w:cs="Arial Narrow"/>
          <w:sz w:val="22"/>
          <w:szCs w:val="22"/>
        </w:rPr>
        <w:t xml:space="preserve"> a 2011</w:t>
      </w:r>
      <w:r w:rsidRPr="00A660A7">
        <w:rPr>
          <w:rFonts w:ascii="Arial Narrow" w:hAnsi="Arial Narrow" w:cs="Arial Narrow"/>
          <w:sz w:val="22"/>
          <w:szCs w:val="22"/>
        </w:rPr>
        <w:t xml:space="preserve"> očist</w:t>
      </w:r>
      <w:r>
        <w:rPr>
          <w:rFonts w:ascii="Arial Narrow" w:hAnsi="Arial Narrow" w:cs="Arial Narrow"/>
          <w:sz w:val="22"/>
          <w:szCs w:val="22"/>
        </w:rPr>
        <w:t>ia</w:t>
      </w:r>
      <w:r w:rsidRPr="00A660A7">
        <w:rPr>
          <w:rFonts w:ascii="Arial Narrow" w:hAnsi="Arial Narrow" w:cs="Arial Narrow"/>
          <w:sz w:val="22"/>
          <w:szCs w:val="22"/>
        </w:rPr>
        <w:t xml:space="preserve"> o výdavky na voľby</w:t>
      </w:r>
      <w:r>
        <w:rPr>
          <w:rFonts w:ascii="Arial Narrow" w:hAnsi="Arial Narrow" w:cs="Arial Narrow"/>
          <w:sz w:val="22"/>
          <w:szCs w:val="22"/>
        </w:rPr>
        <w:t xml:space="preserve"> a SODB</w:t>
      </w:r>
      <w:r w:rsidRPr="00A660A7">
        <w:rPr>
          <w:rFonts w:ascii="Arial Narrow" w:hAnsi="Arial Narrow" w:cs="Arial Narrow"/>
          <w:sz w:val="22"/>
          <w:szCs w:val="22"/>
        </w:rPr>
        <w:t>, pokles na</w:t>
      </w:r>
      <w:r>
        <w:rPr>
          <w:rFonts w:ascii="Arial Narrow" w:hAnsi="Arial Narrow" w:cs="Arial Narrow"/>
          <w:sz w:val="22"/>
          <w:szCs w:val="22"/>
        </w:rPr>
        <w:t xml:space="preserve"> bežných</w:t>
      </w:r>
      <w:r w:rsidRPr="00A660A7">
        <w:rPr>
          <w:rFonts w:ascii="Arial Narrow" w:hAnsi="Arial Narrow" w:cs="Arial Narrow"/>
          <w:sz w:val="22"/>
          <w:szCs w:val="22"/>
        </w:rPr>
        <w:t xml:space="preserve"> výdavkoch</w:t>
      </w:r>
      <w:r>
        <w:rPr>
          <w:rFonts w:ascii="Arial Narrow" w:hAnsi="Arial Narrow" w:cs="Arial Narrow"/>
          <w:sz w:val="22"/>
          <w:szCs w:val="22"/>
        </w:rPr>
        <w:t xml:space="preserve"> predstavuje zníženie</w:t>
      </w:r>
      <w:r w:rsidRPr="00A660A7">
        <w:rPr>
          <w:rFonts w:ascii="Arial Narrow" w:hAnsi="Arial Narrow" w:cs="Arial Narrow"/>
          <w:sz w:val="22"/>
          <w:szCs w:val="22"/>
        </w:rPr>
        <w:t xml:space="preserve"> </w:t>
      </w:r>
      <w:r>
        <w:rPr>
          <w:rFonts w:ascii="Arial Narrow" w:hAnsi="Arial Narrow" w:cs="Arial Narrow"/>
          <w:sz w:val="22"/>
          <w:szCs w:val="22"/>
        </w:rPr>
        <w:t xml:space="preserve">o </w:t>
      </w:r>
      <w:r w:rsidRPr="00A660A7">
        <w:rPr>
          <w:rFonts w:ascii="Arial Narrow" w:hAnsi="Arial Narrow" w:cs="Arial Narrow"/>
          <w:sz w:val="22"/>
          <w:szCs w:val="22"/>
        </w:rPr>
        <w:t>1</w:t>
      </w:r>
      <w:r>
        <w:rPr>
          <w:rFonts w:ascii="Arial Narrow" w:hAnsi="Arial Narrow" w:cs="Arial Narrow"/>
          <w:sz w:val="22"/>
          <w:szCs w:val="22"/>
        </w:rPr>
        <w:t>0</w:t>
      </w:r>
      <w:r w:rsidRPr="00A660A7">
        <w:rPr>
          <w:rFonts w:ascii="Arial Narrow" w:hAnsi="Arial Narrow" w:cs="Arial Narrow"/>
          <w:sz w:val="22"/>
          <w:szCs w:val="22"/>
        </w:rPr>
        <w:t>,</w:t>
      </w:r>
      <w:r>
        <w:rPr>
          <w:rFonts w:ascii="Arial Narrow" w:hAnsi="Arial Narrow" w:cs="Arial Narrow"/>
          <w:sz w:val="22"/>
          <w:szCs w:val="22"/>
        </w:rPr>
        <w:t>0</w:t>
      </w:r>
      <w:r w:rsidRPr="00A660A7">
        <w:rPr>
          <w:rFonts w:ascii="Arial Narrow" w:hAnsi="Arial Narrow" w:cs="Arial Narrow"/>
          <w:sz w:val="22"/>
          <w:szCs w:val="22"/>
        </w:rPr>
        <w:t xml:space="preserve"> %. </w:t>
      </w:r>
    </w:p>
    <w:p w:rsidR="001E5B24" w:rsidRPr="00491C66" w:rsidP="001E5B24">
      <w:pPr>
        <w:autoSpaceDE w:val="0"/>
        <w:autoSpaceDN w:val="0"/>
        <w:bidi w:val="0"/>
        <w:adjustRightInd w:val="0"/>
        <w:ind w:firstLine="709"/>
        <w:jc w:val="both"/>
        <w:rPr>
          <w:rFonts w:ascii="Arial Narrow" w:hAnsi="Arial Narrow" w:cs="Arial Narrow"/>
          <w:sz w:val="22"/>
          <w:szCs w:val="22"/>
        </w:rPr>
      </w:pPr>
    </w:p>
    <w:p w:rsidR="001E5B24" w:rsidRPr="005C2AB4" w:rsidP="001E5B24">
      <w:pPr>
        <w:bidi w:val="0"/>
        <w:ind w:firstLine="708"/>
        <w:jc w:val="both"/>
        <w:rPr>
          <w:rFonts w:ascii="Arial Narrow" w:hAnsi="Arial Narrow" w:cs="Arial Narrow"/>
          <w:sz w:val="22"/>
          <w:szCs w:val="22"/>
        </w:rPr>
      </w:pPr>
      <w:r>
        <w:rPr>
          <w:rFonts w:ascii="Arial Narrow" w:hAnsi="Arial Narrow" w:cs="Arial Narrow"/>
          <w:sz w:val="22"/>
          <w:szCs w:val="22"/>
        </w:rPr>
        <w:t>Objem osobných výdavkov sa na rok 2011 rozpočtuje na úrovni 12,3 mil. eur, čo predstavuje v porovnaní so schváleným rozpočtom roku 2010 pokles o 16,0 % (2,34 mil. eur). Medziročný pokles osobných výdavkov je ovplyvnený 10% viazaním osobných výdavkov štátnych zamestnancov a zamestnancov pri výkone práce vo verejnom záujme pri zohľadnení dopočtu 1% valorizácie z roku 2010, 10% viazaním osobných výdavkov zamestnanca vo verejnej funkcii z úrovne roka 2010, zvýšením osobných výdavkov na zabezpečenie SODB, znížením osobných výdavkov o výdavky určené na voľby konané v roku 2010 a znížením poistného. V limite počtu zamestnancov je premietnuté zvýšenie o 40 osôb v súlade s uznesením vlády SR, ktorým bolo schválené zabezpečenie sčítania obyvateľov, domov a bytov.</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A660A7">
        <w:rPr>
          <w:rFonts w:ascii="Arial Narrow" w:hAnsi="Arial Narrow" w:cs="Arial Narrow"/>
          <w:sz w:val="22"/>
          <w:szCs w:val="22"/>
        </w:rPr>
        <w:t>Kapitola na tovary a</w:t>
      </w:r>
      <w:r>
        <w:rPr>
          <w:rFonts w:ascii="Arial Narrow" w:hAnsi="Arial Narrow" w:cs="Arial Narrow"/>
          <w:sz w:val="22"/>
          <w:szCs w:val="22"/>
        </w:rPr>
        <w:t> </w:t>
      </w:r>
      <w:r w:rsidRPr="00A660A7">
        <w:rPr>
          <w:rFonts w:ascii="Arial Narrow" w:hAnsi="Arial Narrow" w:cs="Arial Narrow"/>
          <w:sz w:val="22"/>
          <w:szCs w:val="22"/>
        </w:rPr>
        <w:t>služby</w:t>
      </w:r>
      <w:r>
        <w:rPr>
          <w:rFonts w:ascii="Arial Narrow" w:hAnsi="Arial Narrow" w:cs="Arial Narrow"/>
          <w:sz w:val="22"/>
          <w:szCs w:val="22"/>
        </w:rPr>
        <w:t xml:space="preserve"> rozpisuje</w:t>
      </w:r>
      <w:r w:rsidRPr="00A660A7">
        <w:rPr>
          <w:rFonts w:ascii="Arial Narrow" w:hAnsi="Arial Narrow" w:cs="Arial Narrow"/>
          <w:sz w:val="22"/>
          <w:szCs w:val="22"/>
        </w:rPr>
        <w:t xml:space="preserve"> sumu 9,2</w:t>
      </w:r>
      <w:r>
        <w:rPr>
          <w:rFonts w:ascii="Arial Narrow" w:hAnsi="Arial Narrow" w:cs="Arial Narrow"/>
          <w:sz w:val="22"/>
          <w:szCs w:val="22"/>
        </w:rPr>
        <w:t xml:space="preserve">0 mil. eur, čo je viac o 0,98 % oproti schválenému rozpočtu roku 2010. Rozpočet bol zvýšený o sumu 2,02 mil. eur, ktorá bola rozpísaná na kategórii tovary a služby. V tejto sume sú obsiahnuté výdavky aj na poistné, ktoré je podhodnotené. </w:t>
      </w:r>
    </w:p>
    <w:p w:rsidR="001E5B24" w:rsidP="001E5B24">
      <w:pPr>
        <w:bidi w:val="0"/>
        <w:jc w:val="both"/>
        <w:rPr>
          <w:rFonts w:ascii="Arial Narrow" w:hAnsi="Arial Narrow" w:cs="Arial Narrow"/>
          <w:sz w:val="22"/>
          <w:szCs w:val="22"/>
        </w:rPr>
      </w:pPr>
    </w:p>
    <w:p w:rsidR="001E5B24" w:rsidRPr="00DE44FD" w:rsidP="001E5B24">
      <w:pPr>
        <w:bidi w:val="0"/>
        <w:ind w:firstLine="708"/>
        <w:jc w:val="both"/>
        <w:rPr>
          <w:rFonts w:ascii="Arial Narrow" w:hAnsi="Arial Narrow" w:cs="Arial Narrow"/>
          <w:sz w:val="22"/>
          <w:szCs w:val="22"/>
        </w:rPr>
      </w:pPr>
      <w:r w:rsidRPr="00DE44FD">
        <w:rPr>
          <w:rFonts w:ascii="Arial Narrow" w:hAnsi="Arial Narrow" w:cs="Arial Narrow"/>
          <w:sz w:val="22"/>
          <w:szCs w:val="22"/>
        </w:rPr>
        <w:t>Výdavky na bežné transfery sa rozpisujú v sume 880 tis. eur, čo je v porovnaní so schváleným rozpočtom roku 2010 menej o 11,5 %</w:t>
      </w:r>
      <w:r>
        <w:rPr>
          <w:rFonts w:ascii="Arial Narrow" w:hAnsi="Arial Narrow" w:cs="Arial Narrow"/>
          <w:sz w:val="22"/>
          <w:szCs w:val="22"/>
        </w:rPr>
        <w:t xml:space="preserve">. Je to </w:t>
      </w:r>
      <w:r w:rsidRPr="00DE44FD">
        <w:rPr>
          <w:rFonts w:ascii="Arial Narrow" w:hAnsi="Arial Narrow" w:cs="Arial Narrow"/>
          <w:sz w:val="22"/>
          <w:szCs w:val="22"/>
        </w:rPr>
        <w:t xml:space="preserve">spôsobené znížením transferu pre príspevkovú organizáciu. </w:t>
      </w:r>
    </w:p>
    <w:p w:rsidR="001E5B24" w:rsidRPr="00A660A7" w:rsidP="001E5B24">
      <w:pPr>
        <w:bidi w:val="0"/>
        <w:jc w:val="both"/>
        <w:rPr>
          <w:rFonts w:ascii="Arial Narrow" w:hAnsi="Arial Narrow" w:cs="Arial Narrow"/>
          <w:sz w:val="22"/>
          <w:szCs w:val="22"/>
        </w:rPr>
      </w:pPr>
    </w:p>
    <w:p w:rsidR="001E5B24" w:rsidRPr="00A660A7" w:rsidP="001E5B24">
      <w:pPr>
        <w:autoSpaceDE w:val="0"/>
        <w:autoSpaceDN w:val="0"/>
        <w:bidi w:val="0"/>
        <w:adjustRightInd w:val="0"/>
        <w:ind w:firstLine="708"/>
        <w:jc w:val="both"/>
        <w:rPr>
          <w:rFonts w:ascii="Arial Narrow" w:hAnsi="Arial Narrow" w:cs="Arial Narrow"/>
          <w:color w:val="000000"/>
          <w:sz w:val="22"/>
          <w:szCs w:val="22"/>
        </w:rPr>
      </w:pPr>
      <w:r w:rsidRPr="00A660A7">
        <w:rPr>
          <w:rFonts w:ascii="Arial Narrow" w:hAnsi="Arial Narrow" w:cs="Arial Narrow"/>
          <w:sz w:val="22"/>
          <w:szCs w:val="22"/>
        </w:rPr>
        <w:t>Kapitálové výdavky sú navrhované vo výške 464 tis. eur, čo je menej o 90,3 %</w:t>
      </w:r>
      <w:r w:rsidRPr="00466373">
        <w:rPr>
          <w:rFonts w:ascii="Arial Narrow" w:hAnsi="Arial Narrow" w:cs="Arial Narrow"/>
          <w:sz w:val="22"/>
          <w:szCs w:val="22"/>
        </w:rPr>
        <w:t xml:space="preserve"> </w:t>
      </w:r>
      <w:r>
        <w:rPr>
          <w:rFonts w:ascii="Arial Narrow" w:hAnsi="Arial Narrow" w:cs="Arial Narrow"/>
          <w:sz w:val="22"/>
          <w:szCs w:val="22"/>
        </w:rPr>
        <w:t>oproti schválenému rozpočtu roku 2010. Pokles je spôsobený tým, že v roku 2010 kapitola kvôli prípravám na voľby a SODB nakupovala softvér a výpočtovú techniku.</w:t>
      </w:r>
    </w:p>
    <w:p w:rsidR="001E5B24" w:rsidP="001E5B24">
      <w:pPr>
        <w:pBdr>
          <w:bottom w:val="single" w:sz="4" w:space="1" w:color="auto"/>
        </w:pBd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p>
    <w:p w:rsidR="001E5B24" w:rsidRPr="001F30F9" w:rsidP="001E5B24">
      <w:pPr>
        <w:pBdr>
          <w:bottom w:val="single" w:sz="4" w:space="1" w:color="auto"/>
        </w:pBdr>
        <w:bidi w:val="0"/>
        <w:jc w:val="both"/>
        <w:rPr>
          <w:rFonts w:ascii="Arial Narrow" w:hAnsi="Arial Narrow" w:cs="Arial Narrow"/>
          <w:b/>
          <w:bCs/>
          <w:sz w:val="22"/>
          <w:szCs w:val="22"/>
        </w:rPr>
      </w:pPr>
      <w:r w:rsidRPr="001F30F9">
        <w:rPr>
          <w:rFonts w:ascii="Arial Narrow" w:hAnsi="Arial Narrow" w:cs="Arial Narrow"/>
          <w:b/>
          <w:bCs/>
          <w:sz w:val="22"/>
          <w:szCs w:val="22"/>
        </w:rPr>
        <w:t>Úrad pre verejné obstarávanie</w:t>
      </w:r>
    </w:p>
    <w:p w:rsidR="001E5B24" w:rsidP="001E5B24">
      <w:pPr>
        <w:autoSpaceDE w:val="0"/>
        <w:autoSpaceDN w:val="0"/>
        <w:bidi w:val="0"/>
        <w:adjustRightInd w:val="0"/>
        <w:jc w:val="both"/>
        <w:rPr>
          <w:rFonts w:ascii="Arial Narrow" w:hAnsi="Arial Narrow" w:cs="Arial Narrow"/>
          <w:color w:val="000000"/>
          <w:sz w:val="22"/>
          <w:szCs w:val="22"/>
        </w:rPr>
      </w:pPr>
    </w:p>
    <w:tbl>
      <w:tblPr>
        <w:tblStyle w:val="TableNormal"/>
        <w:tblpPr w:leftFromText="141" w:rightFromText="141" w:vertAnchor="text" w:tblpX="70" w:tblpY="1"/>
        <w:tblOverlap w:val="never"/>
        <w:tblW w:w="9072" w:type="dxa"/>
        <w:tblLayout w:type="fixed"/>
        <w:tblCellMar>
          <w:left w:w="70" w:type="dxa"/>
          <w:right w:w="70" w:type="dxa"/>
        </w:tblCellMar>
      </w:tblPr>
      <w:tblGrid>
        <w:gridCol w:w="3402"/>
        <w:gridCol w:w="945"/>
        <w:gridCol w:w="945"/>
        <w:gridCol w:w="945"/>
        <w:gridCol w:w="945"/>
        <w:gridCol w:w="945"/>
        <w:gridCol w:w="945"/>
      </w:tblGrid>
      <w:tr>
        <w:tblPrEx>
          <w:tblW w:w="9072" w:type="dxa"/>
          <w:tblLayout w:type="fixed"/>
          <w:tblCellMar>
            <w:left w:w="70" w:type="dxa"/>
            <w:right w:w="70" w:type="dxa"/>
          </w:tblCellMar>
        </w:tblPrEx>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813904" w:rsidP="001E5B24">
            <w:pPr>
              <w:bidi w:val="0"/>
              <w:suppressOverlap/>
              <w:rPr>
                <w:rFonts w:ascii="Arial Narrow" w:hAnsi="Arial Narrow" w:cs="Arial Narrow"/>
                <w:b/>
                <w:bCs/>
                <w:sz w:val="16"/>
                <w:szCs w:val="16"/>
              </w:rPr>
            </w:pPr>
            <w:r w:rsidRPr="00813904">
              <w:rPr>
                <w:rFonts w:ascii="Arial Narrow" w:hAnsi="Arial Narrow" w:cs="Arial Narrow"/>
                <w:b/>
                <w:bCs/>
                <w:sz w:val="16"/>
                <w:szCs w:val="16"/>
              </w:rPr>
              <w:t>v</w:t>
            </w:r>
            <w:r>
              <w:rPr>
                <w:rFonts w:ascii="Arial Narrow" w:hAnsi="Arial Narrow" w:cs="Arial Narrow"/>
                <w:b/>
                <w:bCs/>
                <w:sz w:val="16"/>
                <w:szCs w:val="16"/>
              </w:rPr>
              <w:t xml:space="preserve"> tis. </w:t>
            </w:r>
            <w:r w:rsidRPr="00813904">
              <w:rPr>
                <w:rFonts w:ascii="Arial Narrow" w:hAnsi="Arial Narrow" w:cs="Arial Narrow"/>
                <w:b/>
                <w:bCs/>
                <w:sz w:val="16"/>
                <w:szCs w:val="16"/>
              </w:rPr>
              <w:t>eur</w:t>
            </w:r>
          </w:p>
        </w:tc>
        <w:tc>
          <w:tcPr>
            <w:tcW w:w="945"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2008 S</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2009 S</w:t>
            </w:r>
          </w:p>
        </w:tc>
        <w:tc>
          <w:tcPr>
            <w:tcW w:w="945"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2010 R</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2011 N</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2012 N</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center"/>
              <w:rPr>
                <w:rFonts w:ascii="Arial Narrow" w:hAnsi="Arial Narrow" w:cs="Arial Narrow"/>
                <w:b/>
                <w:bCs/>
                <w:sz w:val="16"/>
                <w:szCs w:val="16"/>
              </w:rPr>
            </w:pPr>
            <w:r w:rsidRPr="00813904">
              <w:rPr>
                <w:rFonts w:ascii="Arial Narrow" w:hAnsi="Arial Narrow" w:cs="Arial Narrow"/>
                <w:b/>
                <w:bCs/>
                <w:sz w:val="16"/>
                <w:szCs w:val="16"/>
              </w:rPr>
              <w:t>2013 N</w:t>
            </w:r>
          </w:p>
        </w:tc>
      </w:tr>
      <w:tr>
        <w:tblPrEx>
          <w:tblW w:w="9072" w:type="dxa"/>
          <w:tblLayout w:type="fixed"/>
          <w:tblCellMar>
            <w:left w:w="70" w:type="dxa"/>
            <w:right w:w="70" w:type="dxa"/>
          </w:tblCellMar>
        </w:tblPrEx>
        <w:trPr>
          <w:trHeight w:val="261"/>
        </w:trPr>
        <w:tc>
          <w:tcPr>
            <w:tcW w:w="34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E5B24" w:rsidRPr="00813904" w:rsidP="001E5B24">
            <w:pPr>
              <w:bidi w:val="0"/>
              <w:suppressOverlap/>
              <w:rPr>
                <w:rFonts w:ascii="Arial Narrow" w:hAnsi="Arial Narrow" w:cs="Arial Narrow"/>
                <w:sz w:val="16"/>
                <w:szCs w:val="16"/>
              </w:rPr>
            </w:pPr>
            <w:r w:rsidRPr="00813904">
              <w:rPr>
                <w:rFonts w:ascii="Arial Narrow" w:hAnsi="Arial Narrow" w:cs="Arial Narrow"/>
                <w:sz w:val="16"/>
                <w:szCs w:val="16"/>
              </w:rPr>
              <w:t>Zdroje príslušnej kapitoly</w:t>
            </w:r>
          </w:p>
        </w:tc>
        <w:tc>
          <w:tcPr>
            <w:tcW w:w="945"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3 829</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3 601</w:t>
            </w:r>
          </w:p>
        </w:tc>
        <w:tc>
          <w:tcPr>
            <w:tcW w:w="945" w:type="dxa"/>
            <w:tcBorders>
              <w:top w:val="single" w:sz="4" w:space="0" w:color="auto"/>
              <w:left w:val="nil"/>
              <w:bottom w:val="single" w:sz="4" w:space="0" w:color="auto"/>
              <w:right w:val="single" w:sz="4" w:space="0" w:color="auto"/>
            </w:tcBorders>
            <w:shd w:val="clear" w:color="auto" w:fill="FFFFFF"/>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2 948</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2 676</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2 670</w:t>
            </w:r>
          </w:p>
        </w:tc>
        <w:tc>
          <w:tcPr>
            <w:tcW w:w="945" w:type="dxa"/>
            <w:tcBorders>
              <w:top w:val="single" w:sz="4" w:space="0" w:color="auto"/>
              <w:left w:val="nil"/>
              <w:bottom w:val="single" w:sz="4" w:space="0" w:color="auto"/>
              <w:right w:val="single" w:sz="4" w:space="0" w:color="auto"/>
            </w:tcBorders>
            <w:shd w:val="clear" w:color="auto" w:fill="FFFFFF"/>
            <w:noWrap/>
            <w:textDirection w:val="lrTb"/>
            <w:vAlign w:val="bottom"/>
          </w:tcPr>
          <w:p w:rsidR="001E5B24" w:rsidRPr="00813904" w:rsidP="001E5B24">
            <w:pPr>
              <w:bidi w:val="0"/>
              <w:suppressOverlap/>
              <w:jc w:val="right"/>
              <w:rPr>
                <w:rFonts w:ascii="Arial Narrow" w:hAnsi="Arial Narrow" w:cs="Arial Narrow"/>
                <w:sz w:val="16"/>
                <w:szCs w:val="16"/>
              </w:rPr>
            </w:pPr>
            <w:r w:rsidRPr="00813904">
              <w:rPr>
                <w:rFonts w:ascii="Arial Narrow" w:hAnsi="Arial Narrow" w:cs="Arial Narrow"/>
                <w:sz w:val="16"/>
                <w:szCs w:val="16"/>
              </w:rPr>
              <w:t>2 670</w:t>
            </w:r>
          </w:p>
        </w:tc>
      </w:tr>
    </w:tbl>
    <w:p w:rsidR="001E5B24" w:rsidP="001E5B24">
      <w:pPr>
        <w:bidi w:val="0"/>
        <w:jc w:val="both"/>
        <w:rPr>
          <w:rFonts w:ascii="Arial Narrow" w:hAnsi="Arial Narrow" w:cs="Arial Narrow"/>
          <w:b/>
          <w:bCs/>
          <w:color w:val="000000"/>
          <w:sz w:val="22"/>
          <w:szCs w:val="22"/>
        </w:rPr>
      </w:pPr>
    </w:p>
    <w:p w:rsidR="001E5B24" w:rsidP="001E5B24">
      <w:pPr>
        <w:bidi w:val="0"/>
        <w:ind w:firstLine="708"/>
        <w:jc w:val="both"/>
        <w:rPr>
          <w:rFonts w:ascii="Arial Narrow" w:hAnsi="Arial Narrow" w:cs="Arial Narrow"/>
          <w:sz w:val="22"/>
          <w:szCs w:val="22"/>
        </w:rPr>
      </w:pPr>
      <w:r w:rsidRPr="00813904">
        <w:rPr>
          <w:rFonts w:ascii="Arial Narrow" w:hAnsi="Arial Narrow" w:cs="Arial Narrow"/>
          <w:sz w:val="22"/>
          <w:szCs w:val="22"/>
        </w:rPr>
        <w:t xml:space="preserve">Na rok 2011 sa pre </w:t>
      </w:r>
      <w:r>
        <w:rPr>
          <w:rFonts w:ascii="Arial Narrow" w:hAnsi="Arial Narrow" w:cs="Arial Narrow"/>
          <w:sz w:val="22"/>
          <w:szCs w:val="22"/>
        </w:rPr>
        <w:t>kapitolu</w:t>
      </w:r>
      <w:r w:rsidRPr="00813904">
        <w:rPr>
          <w:rFonts w:ascii="Arial Narrow" w:hAnsi="Arial Narrow" w:cs="Arial Narrow"/>
          <w:sz w:val="22"/>
          <w:szCs w:val="22"/>
        </w:rPr>
        <w:t xml:space="preserve"> navrhujú výdavky</w:t>
      </w:r>
      <w:r>
        <w:rPr>
          <w:rFonts w:ascii="Arial Narrow" w:hAnsi="Arial Narrow" w:cs="Arial Narrow"/>
          <w:sz w:val="22"/>
          <w:szCs w:val="22"/>
        </w:rPr>
        <w:t xml:space="preserve"> v sume 2,67 mil. eur, čo predstavuje v porovnaní so schváleným rozpočtom roku 2010 pokles</w:t>
      </w:r>
      <w:r w:rsidRPr="00813904">
        <w:rPr>
          <w:rFonts w:ascii="Arial Narrow" w:hAnsi="Arial Narrow" w:cs="Arial Narrow"/>
          <w:sz w:val="22"/>
          <w:szCs w:val="22"/>
        </w:rPr>
        <w:t xml:space="preserve"> o 9,2 %</w:t>
      </w:r>
      <w:r w:rsidRPr="00491C66">
        <w:rPr>
          <w:rFonts w:ascii="Arial Narrow" w:hAnsi="Arial Narrow" w:cs="Arial Narrow"/>
          <w:sz w:val="22"/>
          <w:szCs w:val="22"/>
        </w:rPr>
        <w:t>.</w:t>
      </w:r>
    </w:p>
    <w:p w:rsidR="001E5B24" w:rsidP="001E5B24">
      <w:pPr>
        <w:bidi w:val="0"/>
        <w:ind w:firstLine="708"/>
        <w:jc w:val="both"/>
        <w:rPr>
          <w:rFonts w:ascii="Arial Narrow" w:hAnsi="Arial Narrow" w:cs="Arial Narrow"/>
          <w:sz w:val="22"/>
          <w:szCs w:val="22"/>
        </w:rPr>
      </w:pPr>
      <w:r w:rsidRPr="00491C66">
        <w:rPr>
          <w:rFonts w:ascii="Arial Narrow" w:hAnsi="Arial Narrow" w:cs="Arial Narrow"/>
          <w:sz w:val="22"/>
          <w:szCs w:val="22"/>
        </w:rPr>
        <w:t xml:space="preserve"> </w:t>
      </w:r>
    </w:p>
    <w:p w:rsidR="001E5B24" w:rsidRPr="00D269FC" w:rsidP="001E5B24">
      <w:pPr>
        <w:bidi w:val="0"/>
        <w:ind w:firstLine="708"/>
        <w:jc w:val="both"/>
        <w:rPr>
          <w:rFonts w:ascii="Arial Narrow" w:hAnsi="Arial Narrow" w:cs="Arial Narrow"/>
          <w:sz w:val="22"/>
          <w:szCs w:val="22"/>
        </w:rPr>
      </w:pPr>
      <w:r w:rsidRPr="00D269FC">
        <w:rPr>
          <w:rFonts w:ascii="Arial Narrow" w:hAnsi="Arial Narrow" w:cs="Arial Narrow"/>
          <w:sz w:val="22"/>
          <w:szCs w:val="22"/>
        </w:rPr>
        <w:t xml:space="preserve">Objem osobných výdavkov sa </w:t>
      </w:r>
      <w:r>
        <w:rPr>
          <w:rFonts w:ascii="Arial Narrow" w:hAnsi="Arial Narrow" w:cs="Arial Narrow"/>
          <w:sz w:val="22"/>
          <w:szCs w:val="22"/>
        </w:rPr>
        <w:t>na</w:t>
      </w:r>
      <w:r w:rsidRPr="00D269FC">
        <w:rPr>
          <w:rFonts w:ascii="Arial Narrow" w:hAnsi="Arial Narrow" w:cs="Arial Narrow"/>
          <w:sz w:val="22"/>
          <w:szCs w:val="22"/>
        </w:rPr>
        <w:t xml:space="preserve"> rok 2011 rozpočtuje na úrovni 1,63 mil. </w:t>
      </w:r>
      <w:r>
        <w:rPr>
          <w:rFonts w:ascii="Arial Narrow" w:hAnsi="Arial Narrow" w:cs="Arial Narrow"/>
          <w:sz w:val="22"/>
          <w:szCs w:val="22"/>
        </w:rPr>
        <w:t>eur</w:t>
      </w:r>
      <w:r w:rsidRPr="00D269FC">
        <w:rPr>
          <w:rFonts w:ascii="Arial Narrow" w:hAnsi="Arial Narrow" w:cs="Arial Narrow"/>
          <w:sz w:val="22"/>
          <w:szCs w:val="22"/>
        </w:rPr>
        <w:t xml:space="preserve">, čo v porovnaní so schváleným </w:t>
      </w:r>
      <w:r>
        <w:rPr>
          <w:rFonts w:ascii="Arial Narrow" w:hAnsi="Arial Narrow" w:cs="Arial Narrow"/>
          <w:sz w:val="22"/>
          <w:szCs w:val="22"/>
        </w:rPr>
        <w:t>rozpočtom na rok</w:t>
      </w:r>
      <w:r w:rsidRPr="00D269FC">
        <w:rPr>
          <w:rFonts w:ascii="Arial Narrow" w:hAnsi="Arial Narrow" w:cs="Arial Narrow"/>
          <w:sz w:val="22"/>
          <w:szCs w:val="22"/>
        </w:rPr>
        <w:t xml:space="preserve"> 2010 predstavuje pokles o 9,07% (163 tis. </w:t>
      </w:r>
      <w:r>
        <w:rPr>
          <w:rFonts w:ascii="Arial Narrow" w:hAnsi="Arial Narrow" w:cs="Arial Narrow"/>
          <w:sz w:val="22"/>
          <w:szCs w:val="22"/>
        </w:rPr>
        <w:t>eur</w:t>
      </w:r>
      <w:r w:rsidRPr="00D269FC">
        <w:rPr>
          <w:rFonts w:ascii="Arial Narrow" w:hAnsi="Arial Narrow" w:cs="Arial Narrow"/>
          <w:sz w:val="22"/>
          <w:szCs w:val="22"/>
        </w:rPr>
        <w:t xml:space="preserve">). Medziročný pokles osobných výdavkov je ovplyvnený viazaním osobných výdavkov na úrovni 10 % </w:t>
      </w:r>
      <w:r w:rsidR="00271764">
        <w:rPr>
          <w:rFonts w:ascii="Arial Narrow" w:hAnsi="Arial Narrow" w:cs="Arial Narrow"/>
          <w:sz w:val="22"/>
          <w:szCs w:val="22"/>
        </w:rPr>
        <w:t>pre</w:t>
      </w:r>
      <w:r w:rsidRPr="00D269FC">
        <w:rPr>
          <w:rFonts w:ascii="Arial Narrow" w:hAnsi="Arial Narrow" w:cs="Arial Narrow"/>
          <w:sz w:val="22"/>
          <w:szCs w:val="22"/>
        </w:rPr>
        <w:t xml:space="preserve"> štátnych zamestnancov a zamestnancov pri výkone práce vo verejnom záujme pri zohľadnení dopočtu 1% valorizácie z roku 2010.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Na tovary a služby sa v roku 2011 rozpisuje suma 995 tis. eur, čo je v porovnaní so schváleným rozpočtom roku 2010 pokles o 10,0 %.</w:t>
      </w:r>
    </w:p>
    <w:p w:rsidR="001E5B24" w:rsidP="001E5B24">
      <w:pPr>
        <w:bidi w:val="0"/>
        <w:ind w:firstLine="708"/>
        <w:jc w:val="both"/>
        <w:rPr>
          <w:rFonts w:ascii="Arial Narrow" w:hAnsi="Arial Narrow" w:cs="Arial Narrow"/>
          <w:sz w:val="22"/>
          <w:szCs w:val="22"/>
        </w:rPr>
      </w:pPr>
    </w:p>
    <w:p w:rsidR="001E5B24" w:rsidRPr="00813904" w:rsidP="001E5B24">
      <w:pPr>
        <w:bidi w:val="0"/>
        <w:ind w:firstLine="708"/>
        <w:jc w:val="both"/>
        <w:rPr>
          <w:rFonts w:ascii="Arial Narrow" w:hAnsi="Arial Narrow" w:cs="Arial Narrow"/>
          <w:sz w:val="22"/>
          <w:szCs w:val="22"/>
        </w:rPr>
      </w:pPr>
      <w:r w:rsidRPr="005E2B1C">
        <w:rPr>
          <w:rFonts w:ascii="Arial Narrow" w:hAnsi="Arial Narrow" w:cs="Arial Narrow"/>
          <w:sz w:val="22"/>
          <w:szCs w:val="22"/>
        </w:rPr>
        <w:t>Výdavky na bežné transfery</w:t>
      </w:r>
      <w:r>
        <w:rPr>
          <w:rFonts w:ascii="Arial Narrow" w:hAnsi="Arial Narrow" w:cs="Arial Narrow"/>
          <w:sz w:val="22"/>
          <w:szCs w:val="22"/>
        </w:rPr>
        <w:t xml:space="preserve"> sa rozpisujú v sume 20 tis. eur, čo je v porovnaní so schváleným rozpočtom roku 2010 viac o 3,1 %. Zvýšenie výdavkov je spôsobené navýšením nemocenských dávok a odchodného.</w:t>
      </w:r>
    </w:p>
    <w:p w:rsidR="001E5B24" w:rsidRPr="00CE5676" w:rsidP="001E5B24">
      <w:pPr>
        <w:bidi w:val="0"/>
        <w:ind w:firstLine="708"/>
        <w:jc w:val="both"/>
        <w:rPr>
          <w:rFonts w:ascii="Arial Narrow" w:hAnsi="Arial Narrow" w:cs="Arial Narrow"/>
          <w:sz w:val="22"/>
          <w:szCs w:val="22"/>
        </w:rPr>
      </w:pPr>
    </w:p>
    <w:p w:rsidR="001E5B24" w:rsidRPr="00813904" w:rsidP="001E5B24">
      <w:pPr>
        <w:bidi w:val="0"/>
        <w:ind w:firstLine="708"/>
        <w:jc w:val="both"/>
        <w:rPr>
          <w:rFonts w:ascii="Arial Narrow" w:hAnsi="Arial Narrow" w:cs="Arial Narrow"/>
          <w:sz w:val="22"/>
          <w:szCs w:val="22"/>
        </w:rPr>
      </w:pPr>
      <w:r w:rsidRPr="00813904">
        <w:rPr>
          <w:rFonts w:ascii="Arial Narrow" w:hAnsi="Arial Narrow" w:cs="Arial Narrow"/>
          <w:sz w:val="22"/>
          <w:szCs w:val="22"/>
        </w:rPr>
        <w:t xml:space="preserve">Kapitálové výdavky sú na rok 2011 rozpočtované v sume 31 tis. eur, </w:t>
      </w:r>
      <w:r>
        <w:rPr>
          <w:rFonts w:ascii="Arial Narrow" w:hAnsi="Arial Narrow" w:cs="Arial Narrow"/>
          <w:sz w:val="22"/>
          <w:szCs w:val="22"/>
        </w:rPr>
        <w:t>čo je o 1,1 % viac v porovnaní so schváleným rozpočtom roku 2010</w:t>
      </w:r>
      <w:r w:rsidRPr="00813904">
        <w:rPr>
          <w:rFonts w:ascii="Arial Narrow" w:hAnsi="Arial Narrow" w:cs="Arial Narrow"/>
          <w:sz w:val="22"/>
          <w:szCs w:val="22"/>
        </w:rPr>
        <w:t xml:space="preserve">. </w:t>
      </w:r>
      <w:r>
        <w:rPr>
          <w:rFonts w:ascii="Arial Narrow" w:hAnsi="Arial Narrow" w:cs="Arial Narrow"/>
          <w:sz w:val="22"/>
          <w:szCs w:val="22"/>
        </w:rPr>
        <w:t>Dôvodom  vyšších výdavkov v</w:t>
      </w:r>
      <w:r w:rsidRPr="00813904">
        <w:rPr>
          <w:rFonts w:ascii="Arial Narrow" w:hAnsi="Arial Narrow" w:cs="Arial Narrow"/>
          <w:sz w:val="22"/>
          <w:szCs w:val="22"/>
        </w:rPr>
        <w:t> roku 2010</w:t>
      </w:r>
      <w:r>
        <w:rPr>
          <w:rFonts w:ascii="Arial Narrow" w:hAnsi="Arial Narrow" w:cs="Arial Narrow"/>
          <w:sz w:val="22"/>
          <w:szCs w:val="22"/>
        </w:rPr>
        <w:t xml:space="preserve"> bol</w:t>
      </w:r>
      <w:r w:rsidRPr="00813904">
        <w:rPr>
          <w:rFonts w:ascii="Arial Narrow" w:hAnsi="Arial Narrow" w:cs="Arial Narrow"/>
          <w:sz w:val="22"/>
          <w:szCs w:val="22"/>
        </w:rPr>
        <w:t xml:space="preserve"> n</w:t>
      </w:r>
      <w:r>
        <w:rPr>
          <w:rFonts w:ascii="Arial Narrow" w:hAnsi="Arial Narrow" w:cs="Arial Narrow"/>
          <w:sz w:val="22"/>
          <w:szCs w:val="22"/>
        </w:rPr>
        <w:t>á</w:t>
      </w:r>
      <w:r w:rsidRPr="00813904">
        <w:rPr>
          <w:rFonts w:ascii="Arial Narrow" w:hAnsi="Arial Narrow" w:cs="Arial Narrow"/>
          <w:sz w:val="22"/>
          <w:szCs w:val="22"/>
        </w:rPr>
        <w:t>kup softvér</w:t>
      </w:r>
      <w:r>
        <w:rPr>
          <w:rFonts w:ascii="Arial Narrow" w:hAnsi="Arial Narrow" w:cs="Arial Narrow"/>
          <w:sz w:val="22"/>
          <w:szCs w:val="22"/>
        </w:rPr>
        <w:t>u</w:t>
      </w:r>
      <w:r w:rsidRPr="00813904">
        <w:rPr>
          <w:rFonts w:ascii="Arial Narrow" w:hAnsi="Arial Narrow" w:cs="Arial Narrow"/>
          <w:sz w:val="22"/>
          <w:szCs w:val="22"/>
        </w:rPr>
        <w:t xml:space="preserve"> a prevádzkov</w:t>
      </w:r>
      <w:r>
        <w:rPr>
          <w:rFonts w:ascii="Arial Narrow" w:hAnsi="Arial Narrow" w:cs="Arial Narrow"/>
          <w:sz w:val="22"/>
          <w:szCs w:val="22"/>
        </w:rPr>
        <w:t>ých</w:t>
      </w:r>
      <w:r w:rsidRPr="00813904">
        <w:rPr>
          <w:rFonts w:ascii="Arial Narrow" w:hAnsi="Arial Narrow" w:cs="Arial Narrow"/>
          <w:sz w:val="22"/>
          <w:szCs w:val="22"/>
        </w:rPr>
        <w:t xml:space="preserve"> </w:t>
      </w:r>
      <w:r>
        <w:rPr>
          <w:rFonts w:ascii="Arial Narrow" w:hAnsi="Arial Narrow" w:cs="Arial Narrow"/>
          <w:sz w:val="22"/>
          <w:szCs w:val="22"/>
        </w:rPr>
        <w:t>strojov</w:t>
      </w:r>
      <w:r w:rsidRPr="00813904">
        <w:rPr>
          <w:rFonts w:ascii="Arial Narrow" w:hAnsi="Arial Narrow" w:cs="Arial Narrow"/>
          <w:sz w:val="22"/>
          <w:szCs w:val="22"/>
        </w:rPr>
        <w:t>.</w:t>
      </w:r>
    </w:p>
    <w:p w:rsidR="001E5B24" w:rsidP="001E5B24">
      <w:pPr>
        <w:bidi w:val="0"/>
        <w:jc w:val="both"/>
        <w:rPr>
          <w:rFonts w:ascii="Arial Narrow" w:hAnsi="Arial Narrow" w:cs="Arial Narrow"/>
          <w:b/>
          <w:bCs/>
          <w:sz w:val="22"/>
          <w:szCs w:val="22"/>
        </w:rPr>
      </w:pPr>
    </w:p>
    <w:p w:rsidR="001E5B24" w:rsidRPr="00D617CA" w:rsidP="001E5B24">
      <w:pP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r w:rsidRPr="00D617CA">
        <w:rPr>
          <w:rFonts w:ascii="Arial Narrow" w:hAnsi="Arial Narrow" w:cs="Arial Narrow"/>
          <w:b/>
          <w:bCs/>
          <w:sz w:val="22"/>
          <w:szCs w:val="22"/>
        </w:rPr>
        <w:t xml:space="preserve">Úrad jadrového dozoru SR </w:t>
      </w:r>
    </w:p>
    <w:p w:rsidR="001E5B24" w:rsidP="001E5B24">
      <w:pPr>
        <w:bidi w:val="0"/>
        <w:jc w:val="both"/>
        <w:rPr>
          <w:rFonts w:ascii="Arial Narrow" w:hAnsi="Arial Narrow" w:cs="Arial Narrow"/>
          <w:b/>
          <w:bCs/>
          <w:sz w:val="22"/>
          <w:szCs w:val="22"/>
        </w:rPr>
      </w:pPr>
    </w:p>
    <w:tbl>
      <w:tblPr>
        <w:tblStyle w:val="TableNormal"/>
        <w:tblW w:w="8920" w:type="dxa"/>
        <w:tblInd w:w="55" w:type="dxa"/>
        <w:tblLayout w:type="fixed"/>
        <w:tblCellMar>
          <w:left w:w="70" w:type="dxa"/>
          <w:right w:w="70" w:type="dxa"/>
        </w:tblCellMar>
        <w:tblLook w:val="00A0"/>
      </w:tblPr>
      <w:tblGrid>
        <w:gridCol w:w="3417"/>
        <w:gridCol w:w="917"/>
        <w:gridCol w:w="917"/>
        <w:gridCol w:w="917"/>
        <w:gridCol w:w="917"/>
        <w:gridCol w:w="917"/>
        <w:gridCol w:w="918"/>
      </w:tblGrid>
      <w:tr>
        <w:tblPrEx>
          <w:tblW w:w="8920" w:type="dxa"/>
          <w:tblInd w:w="55" w:type="dxa"/>
          <w:tblLayout w:type="fixed"/>
          <w:tblCellMar>
            <w:left w:w="70" w:type="dxa"/>
            <w:right w:w="70" w:type="dxa"/>
          </w:tblCellMar>
          <w:tblLook w:val="00A0"/>
        </w:tblPrEx>
        <w:trPr>
          <w:trHeight w:val="226"/>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51255B" w:rsidP="001E5B24">
            <w:pPr>
              <w:bidi w:val="0"/>
              <w:rPr>
                <w:rFonts w:ascii="Arial Narrow" w:hAnsi="Arial Narrow" w:cs="Arial Narrow"/>
                <w:b/>
                <w:bCs/>
                <w:sz w:val="16"/>
                <w:szCs w:val="16"/>
              </w:rPr>
            </w:pPr>
            <w:r w:rsidRPr="0051255B">
              <w:rPr>
                <w:rFonts w:ascii="Arial Narrow" w:hAnsi="Arial Narrow" w:cs="Arial Narrow"/>
                <w:b/>
                <w:bCs/>
                <w:sz w:val="16"/>
                <w:szCs w:val="16"/>
              </w:rPr>
              <w:t>v tis.</w:t>
            </w:r>
            <w:r>
              <w:rPr>
                <w:rFonts w:ascii="Arial Narrow" w:hAnsi="Arial Narrow" w:cs="Arial Narrow"/>
                <w:b/>
                <w:bCs/>
                <w:sz w:val="16"/>
                <w:szCs w:val="16"/>
              </w:rPr>
              <w:t xml:space="preserve"> </w:t>
            </w:r>
            <w:r w:rsidRPr="0051255B">
              <w:rPr>
                <w:rFonts w:ascii="Arial Narrow" w:hAnsi="Arial Narrow" w:cs="Arial Narrow"/>
                <w:b/>
                <w:bCs/>
                <w:sz w:val="16"/>
                <w:szCs w:val="16"/>
              </w:rPr>
              <w:t>eur</w:t>
            </w:r>
          </w:p>
        </w:tc>
        <w:tc>
          <w:tcPr>
            <w:tcW w:w="917"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2008 S</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2009 S</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2010 R</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2011 N</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2012 N</w:t>
            </w:r>
          </w:p>
        </w:tc>
        <w:tc>
          <w:tcPr>
            <w:tcW w:w="91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center"/>
              <w:rPr>
                <w:rFonts w:ascii="Arial Narrow" w:hAnsi="Arial Narrow" w:cs="Arial Narrow"/>
                <w:b/>
                <w:bCs/>
                <w:sz w:val="16"/>
                <w:szCs w:val="16"/>
              </w:rPr>
            </w:pPr>
            <w:r w:rsidRPr="0051255B">
              <w:rPr>
                <w:rFonts w:ascii="Arial Narrow" w:hAnsi="Arial Narrow" w:cs="Arial Narrow"/>
                <w:b/>
                <w:bCs/>
                <w:sz w:val="16"/>
                <w:szCs w:val="16"/>
              </w:rPr>
              <w:t>2013 N</w:t>
            </w:r>
          </w:p>
        </w:tc>
      </w:tr>
      <w:tr>
        <w:tblPrEx>
          <w:tblW w:w="8920" w:type="dxa"/>
          <w:tblInd w:w="55" w:type="dxa"/>
          <w:tblLayout w:type="fixed"/>
          <w:tblCellMar>
            <w:left w:w="70" w:type="dxa"/>
            <w:right w:w="70" w:type="dxa"/>
          </w:tblCellMar>
          <w:tblLook w:val="00A0"/>
        </w:tblPrEx>
        <w:trPr>
          <w:trHeight w:val="226"/>
        </w:trPr>
        <w:tc>
          <w:tcPr>
            <w:tcW w:w="3417" w:type="dxa"/>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51255B" w:rsidP="001E5B24">
            <w:pPr>
              <w:bidi w:val="0"/>
              <w:rPr>
                <w:rFonts w:ascii="Arial Narrow" w:hAnsi="Arial Narrow" w:cs="Arial Narrow"/>
                <w:b/>
                <w:bCs/>
                <w:sz w:val="16"/>
                <w:szCs w:val="16"/>
              </w:rPr>
            </w:pPr>
            <w:r w:rsidRPr="0051255B">
              <w:rPr>
                <w:rFonts w:ascii="Arial Narrow" w:hAnsi="Arial Narrow" w:cs="Arial Narrow"/>
                <w:b/>
                <w:bCs/>
                <w:sz w:val="16"/>
                <w:szCs w:val="16"/>
              </w:rPr>
              <w:t>Zdroje príslušnej kapitoly</w:t>
            </w:r>
          </w:p>
        </w:tc>
        <w:tc>
          <w:tcPr>
            <w:tcW w:w="917"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5 144</w:t>
            </w:r>
          </w:p>
        </w:tc>
        <w:tc>
          <w:tcPr>
            <w:tcW w:w="917"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4 717</w:t>
            </w:r>
          </w:p>
        </w:tc>
        <w:tc>
          <w:tcPr>
            <w:tcW w:w="917"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4 466</w:t>
            </w:r>
          </w:p>
        </w:tc>
        <w:tc>
          <w:tcPr>
            <w:tcW w:w="917"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4 848</w:t>
            </w:r>
          </w:p>
        </w:tc>
        <w:tc>
          <w:tcPr>
            <w:tcW w:w="917"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4 598</w:t>
            </w:r>
          </w:p>
        </w:tc>
        <w:tc>
          <w:tcPr>
            <w:tcW w:w="918" w:type="dxa"/>
            <w:tcBorders>
              <w:top w:val="single" w:sz="4" w:space="0" w:color="auto"/>
              <w:left w:val="nil"/>
              <w:bottom w:val="single" w:sz="4" w:space="0" w:color="auto"/>
              <w:right w:val="single" w:sz="4" w:space="0" w:color="auto"/>
            </w:tcBorders>
            <w:shd w:val="clear" w:color="000000" w:fill="C0C0C0"/>
            <w:textDirection w:val="lrTb"/>
            <w:vAlign w:val="bottom"/>
          </w:tcPr>
          <w:p w:rsidR="001E5B24" w:rsidRPr="0051255B" w:rsidP="001E5B24">
            <w:pPr>
              <w:bidi w:val="0"/>
              <w:jc w:val="right"/>
              <w:rPr>
                <w:rFonts w:ascii="Arial Narrow" w:hAnsi="Arial Narrow" w:cs="Arial Narrow"/>
                <w:b/>
                <w:bCs/>
                <w:sz w:val="16"/>
                <w:szCs w:val="16"/>
              </w:rPr>
            </w:pPr>
            <w:r w:rsidRPr="0051255B">
              <w:rPr>
                <w:rFonts w:ascii="Arial Narrow" w:hAnsi="Arial Narrow" w:cs="Arial Narrow"/>
                <w:b/>
                <w:bCs/>
                <w:sz w:val="16"/>
                <w:szCs w:val="16"/>
              </w:rPr>
              <w:t>4 598</w:t>
            </w:r>
          </w:p>
        </w:tc>
      </w:tr>
      <w:tr>
        <w:tblPrEx>
          <w:tblW w:w="8920" w:type="dxa"/>
          <w:tblInd w:w="55" w:type="dxa"/>
          <w:tblLayout w:type="fixed"/>
          <w:tblCellMar>
            <w:left w:w="70" w:type="dxa"/>
            <w:right w:w="70" w:type="dxa"/>
          </w:tblCellMar>
          <w:tblLook w:val="00A0"/>
        </w:tblPrEx>
        <w:trPr>
          <w:trHeight w:val="226"/>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51255B" w:rsidP="001E5B24">
            <w:pPr>
              <w:bidi w:val="0"/>
              <w:rPr>
                <w:rFonts w:ascii="Arial Narrow" w:hAnsi="Arial Narrow" w:cs="Arial Narrow"/>
                <w:sz w:val="16"/>
                <w:szCs w:val="16"/>
              </w:rPr>
            </w:pPr>
            <w:r w:rsidRPr="0051255B">
              <w:rPr>
                <w:rFonts w:ascii="Arial Narrow" w:hAnsi="Arial Narrow" w:cs="Arial Narrow"/>
                <w:sz w:val="16"/>
                <w:szCs w:val="16"/>
              </w:rPr>
              <w:t>z toho:</w:t>
            </w:r>
          </w:p>
        </w:tc>
        <w:tc>
          <w:tcPr>
            <w:tcW w:w="917"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c>
          <w:tcPr>
            <w:tcW w:w="918"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p>
        </w:tc>
      </w:tr>
      <w:tr>
        <w:tblPrEx>
          <w:tblW w:w="8920" w:type="dxa"/>
          <w:tblInd w:w="55" w:type="dxa"/>
          <w:tblLayout w:type="fixed"/>
          <w:tblCellMar>
            <w:left w:w="70" w:type="dxa"/>
            <w:right w:w="70" w:type="dxa"/>
          </w:tblCellMar>
          <w:tblLook w:val="00A0"/>
        </w:tblPrEx>
        <w:trPr>
          <w:trHeight w:val="226"/>
        </w:trPr>
        <w:tc>
          <w:tcPr>
            <w:tcW w:w="3417" w:type="dxa"/>
            <w:tcBorders>
              <w:top w:val="nil"/>
              <w:left w:val="single" w:sz="4" w:space="0" w:color="auto"/>
              <w:bottom w:val="single" w:sz="4" w:space="0" w:color="auto"/>
              <w:right w:val="single" w:sz="4" w:space="0" w:color="auto"/>
            </w:tcBorders>
            <w:textDirection w:val="lrTb"/>
            <w:vAlign w:val="bottom"/>
          </w:tcPr>
          <w:p w:rsidR="001E5B24" w:rsidRPr="0051255B" w:rsidP="001E5B24">
            <w:pPr>
              <w:bidi w:val="0"/>
              <w:rPr>
                <w:rFonts w:ascii="Arial Narrow" w:hAnsi="Arial Narrow" w:cs="Arial Narrow"/>
                <w:sz w:val="16"/>
                <w:szCs w:val="16"/>
              </w:rPr>
            </w:pPr>
            <w:r w:rsidRPr="0051255B">
              <w:rPr>
                <w:rFonts w:ascii="Arial Narrow" w:hAnsi="Arial Narrow" w:cs="Arial Narrow"/>
                <w:sz w:val="16"/>
                <w:szCs w:val="16"/>
              </w:rPr>
              <w:t xml:space="preserve">rozpočtové zdroje kapitoly </w:t>
            </w:r>
          </w:p>
        </w:tc>
        <w:tc>
          <w:tcPr>
            <w:tcW w:w="917" w:type="dxa"/>
            <w:tcBorders>
              <w:top w:val="single" w:sz="4" w:space="0" w:color="auto"/>
              <w:left w:val="nil"/>
              <w:bottom w:val="single" w:sz="4" w:space="0" w:color="auto"/>
              <w:right w:val="nil"/>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5 066</w:t>
            </w:r>
          </w:p>
        </w:tc>
        <w:tc>
          <w:tcPr>
            <w:tcW w:w="917" w:type="dxa"/>
            <w:tcBorders>
              <w:top w:val="single" w:sz="4" w:space="0" w:color="auto"/>
              <w:left w:val="single" w:sz="4" w:space="0" w:color="auto"/>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4 629</w:t>
            </w:r>
          </w:p>
        </w:tc>
        <w:tc>
          <w:tcPr>
            <w:tcW w:w="917"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4 466</w:t>
            </w:r>
          </w:p>
        </w:tc>
        <w:tc>
          <w:tcPr>
            <w:tcW w:w="917"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4 848</w:t>
            </w:r>
          </w:p>
        </w:tc>
        <w:tc>
          <w:tcPr>
            <w:tcW w:w="917"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4 598</w:t>
            </w:r>
          </w:p>
        </w:tc>
        <w:tc>
          <w:tcPr>
            <w:tcW w:w="918"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4 598</w:t>
            </w:r>
          </w:p>
        </w:tc>
      </w:tr>
      <w:tr>
        <w:tblPrEx>
          <w:tblW w:w="8920" w:type="dxa"/>
          <w:tblInd w:w="55" w:type="dxa"/>
          <w:tblLayout w:type="fixed"/>
          <w:tblCellMar>
            <w:left w:w="70" w:type="dxa"/>
            <w:right w:w="70" w:type="dxa"/>
          </w:tblCellMar>
          <w:tblLook w:val="00A0"/>
        </w:tblPrEx>
        <w:trPr>
          <w:trHeight w:val="226"/>
        </w:trPr>
        <w:tc>
          <w:tcPr>
            <w:tcW w:w="3417" w:type="dxa"/>
            <w:tcBorders>
              <w:top w:val="nil"/>
              <w:left w:val="single" w:sz="4" w:space="0" w:color="auto"/>
              <w:bottom w:val="single" w:sz="4" w:space="0" w:color="auto"/>
              <w:right w:val="single" w:sz="4" w:space="0" w:color="auto"/>
            </w:tcBorders>
            <w:textDirection w:val="lrTb"/>
            <w:vAlign w:val="bottom"/>
          </w:tcPr>
          <w:p w:rsidR="001E5B24" w:rsidRPr="0051255B" w:rsidP="001E5B24">
            <w:pPr>
              <w:bidi w:val="0"/>
              <w:rPr>
                <w:rFonts w:ascii="Arial Narrow" w:hAnsi="Arial Narrow" w:cs="Arial Narrow"/>
                <w:sz w:val="16"/>
                <w:szCs w:val="16"/>
              </w:rPr>
            </w:pPr>
            <w:r w:rsidRPr="0051255B">
              <w:rPr>
                <w:rFonts w:ascii="Arial Narrow" w:hAnsi="Arial Narrow" w:cs="Arial Narrow"/>
                <w:sz w:val="16"/>
                <w:szCs w:val="16"/>
              </w:rPr>
              <w:t xml:space="preserve">presun z minulých rokov § 8 </w:t>
            </w:r>
          </w:p>
        </w:tc>
        <w:tc>
          <w:tcPr>
            <w:tcW w:w="917"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50</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Pr>
                <w:rFonts w:ascii="Arial Narrow" w:hAnsi="Arial Narrow" w:cs="Arial Narrow"/>
                <w:sz w:val="16"/>
                <w:szCs w:val="16"/>
              </w:rPr>
              <w:t>0</w:t>
            </w: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right"/>
              <w:rPr>
                <w:rFonts w:ascii="Arial Narrow" w:hAnsi="Arial Narrow" w:cs="Arial Narrow"/>
                <w:sz w:val="16"/>
                <w:szCs w:val="16"/>
              </w:rPr>
            </w:pPr>
            <w:r>
              <w:rPr>
                <w:rFonts w:ascii="Arial Narrow" w:hAnsi="Arial Narrow" w:cs="Arial Narrow"/>
                <w:sz w:val="16"/>
                <w:szCs w:val="16"/>
              </w:rPr>
              <w:t>0</w:t>
            </w: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r>
              <w:rPr>
                <w:rFonts w:ascii="Arial Narrow" w:hAnsi="Arial Narrow" w:cs="Arial Narrow"/>
                <w:sz w:val="16"/>
                <w:szCs w:val="16"/>
              </w:rPr>
              <w:t>0</w:t>
            </w:r>
          </w:p>
        </w:tc>
        <w:tc>
          <w:tcPr>
            <w:tcW w:w="917"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right"/>
              <w:rPr>
                <w:rFonts w:ascii="Arial Narrow" w:hAnsi="Arial Narrow" w:cs="Arial Narrow"/>
                <w:sz w:val="16"/>
                <w:szCs w:val="16"/>
              </w:rPr>
            </w:pPr>
            <w:r>
              <w:rPr>
                <w:rFonts w:ascii="Arial Narrow" w:hAnsi="Arial Narrow" w:cs="Arial Narrow"/>
                <w:sz w:val="16"/>
                <w:szCs w:val="16"/>
              </w:rPr>
              <w:t>0</w:t>
            </w:r>
            <w:r w:rsidRPr="0051255B">
              <w:rPr>
                <w:rFonts w:ascii="Arial Narrow" w:hAnsi="Arial Narrow" w:cs="Arial Narrow"/>
                <w:sz w:val="16"/>
                <w:szCs w:val="16"/>
              </w:rPr>
              <w:t> </w:t>
            </w:r>
          </w:p>
        </w:tc>
        <w:tc>
          <w:tcPr>
            <w:tcW w:w="918"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r>
              <w:rPr>
                <w:rFonts w:ascii="Arial Narrow" w:hAnsi="Arial Narrow" w:cs="Arial Narrow"/>
                <w:sz w:val="16"/>
                <w:szCs w:val="16"/>
              </w:rPr>
              <w:t>0</w:t>
            </w:r>
          </w:p>
        </w:tc>
      </w:tr>
      <w:tr>
        <w:tblPrEx>
          <w:tblW w:w="8920" w:type="dxa"/>
          <w:tblInd w:w="55" w:type="dxa"/>
          <w:tblLayout w:type="fixed"/>
          <w:tblCellMar>
            <w:left w:w="70" w:type="dxa"/>
            <w:right w:w="70" w:type="dxa"/>
          </w:tblCellMar>
          <w:tblLook w:val="00A0"/>
        </w:tblPrEx>
        <w:trPr>
          <w:trHeight w:val="226"/>
        </w:trPr>
        <w:tc>
          <w:tcPr>
            <w:tcW w:w="3417" w:type="dxa"/>
            <w:tcBorders>
              <w:top w:val="nil"/>
              <w:left w:val="single" w:sz="4" w:space="0" w:color="auto"/>
              <w:bottom w:val="single" w:sz="4" w:space="0" w:color="auto"/>
              <w:right w:val="single" w:sz="4" w:space="0" w:color="auto"/>
            </w:tcBorders>
            <w:textDirection w:val="lrTb"/>
            <w:vAlign w:val="bottom"/>
          </w:tcPr>
          <w:p w:rsidR="001E5B24" w:rsidRPr="0051255B" w:rsidP="001E5B24">
            <w:pPr>
              <w:bidi w:val="0"/>
              <w:rPr>
                <w:rFonts w:ascii="Arial Narrow" w:hAnsi="Arial Narrow" w:cs="Arial Narrow"/>
                <w:sz w:val="16"/>
                <w:szCs w:val="16"/>
              </w:rPr>
            </w:pPr>
            <w:r w:rsidRPr="0051255B">
              <w:rPr>
                <w:rFonts w:ascii="Arial Narrow" w:hAnsi="Arial Narrow" w:cs="Arial Narrow"/>
                <w:sz w:val="16"/>
                <w:szCs w:val="16"/>
              </w:rPr>
              <w:t>iné zdroje: zahraničné granty</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28</w:t>
            </w:r>
          </w:p>
        </w:tc>
        <w:tc>
          <w:tcPr>
            <w:tcW w:w="917" w:type="dxa"/>
            <w:tcBorders>
              <w:top w:val="single" w:sz="4" w:space="0" w:color="auto"/>
              <w:left w:val="nil"/>
              <w:bottom w:val="single" w:sz="4" w:space="0" w:color="auto"/>
              <w:right w:val="single" w:sz="4" w:space="0" w:color="auto"/>
            </w:tcBorders>
            <w:noWrap/>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88</w:t>
            </w:r>
          </w:p>
        </w:tc>
        <w:tc>
          <w:tcPr>
            <w:tcW w:w="917"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Pr>
                <w:rFonts w:ascii="Arial Narrow" w:hAnsi="Arial Narrow" w:cs="Arial Narrow"/>
                <w:sz w:val="16"/>
                <w:szCs w:val="16"/>
              </w:rPr>
              <w:t>0</w:t>
            </w:r>
            <w:r w:rsidRPr="0051255B">
              <w:rPr>
                <w:rFonts w:ascii="Arial Narrow" w:hAnsi="Arial Narrow" w:cs="Arial Narrow"/>
                <w:sz w:val="16"/>
                <w:szCs w:val="16"/>
              </w:rPr>
              <w:t> </w:t>
            </w:r>
          </w:p>
        </w:tc>
        <w:tc>
          <w:tcPr>
            <w:tcW w:w="917"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r>
              <w:rPr>
                <w:rFonts w:ascii="Arial Narrow" w:hAnsi="Arial Narrow" w:cs="Arial Narrow"/>
                <w:sz w:val="16"/>
                <w:szCs w:val="16"/>
              </w:rPr>
              <w:t>0</w:t>
            </w:r>
          </w:p>
        </w:tc>
        <w:tc>
          <w:tcPr>
            <w:tcW w:w="917"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r>
              <w:rPr>
                <w:rFonts w:ascii="Arial Narrow" w:hAnsi="Arial Narrow" w:cs="Arial Narrow"/>
                <w:sz w:val="16"/>
                <w:szCs w:val="16"/>
              </w:rPr>
              <w:t>0</w:t>
            </w:r>
          </w:p>
        </w:tc>
        <w:tc>
          <w:tcPr>
            <w:tcW w:w="918" w:type="dxa"/>
            <w:tcBorders>
              <w:top w:val="single" w:sz="4" w:space="0" w:color="auto"/>
              <w:left w:val="nil"/>
              <w:bottom w:val="single" w:sz="4" w:space="0" w:color="auto"/>
              <w:right w:val="single" w:sz="4" w:space="0" w:color="auto"/>
            </w:tcBorders>
            <w:textDirection w:val="lrTb"/>
            <w:vAlign w:val="bottom"/>
          </w:tcPr>
          <w:p w:rsidR="001E5B24" w:rsidRPr="0051255B" w:rsidP="001E5B24">
            <w:pPr>
              <w:bidi w:val="0"/>
              <w:jc w:val="right"/>
              <w:rPr>
                <w:rFonts w:ascii="Arial Narrow" w:hAnsi="Arial Narrow" w:cs="Arial Narrow"/>
                <w:sz w:val="16"/>
                <w:szCs w:val="16"/>
              </w:rPr>
            </w:pPr>
            <w:r w:rsidRPr="0051255B">
              <w:rPr>
                <w:rFonts w:ascii="Arial Narrow" w:hAnsi="Arial Narrow" w:cs="Arial Narrow"/>
                <w:sz w:val="16"/>
                <w:szCs w:val="16"/>
              </w:rPr>
              <w:t> </w:t>
            </w:r>
            <w:r>
              <w:rPr>
                <w:rFonts w:ascii="Arial Narrow" w:hAnsi="Arial Narrow" w:cs="Arial Narrow"/>
                <w:sz w:val="16"/>
                <w:szCs w:val="16"/>
              </w:rPr>
              <w:t>0</w:t>
            </w:r>
          </w:p>
        </w:tc>
      </w:tr>
    </w:tbl>
    <w:p w:rsidR="001E5B2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422D8C">
        <w:rPr>
          <w:rFonts w:ascii="Arial Narrow" w:hAnsi="Arial Narrow" w:cs="Arial Narrow"/>
          <w:sz w:val="22"/>
          <w:szCs w:val="22"/>
        </w:rPr>
        <w:t>Z titulu prijatia novely zákona č. 541/2004 Z.z. o mierovom využívaní jadrovej energie (atómový zákon), ktorým sa zvýšila výška príspevkov na výkon štátneho dozoru od držiteľov povolení na príjmový účet v Štátnej pokladnici</w:t>
      </w:r>
      <w:r>
        <w:rPr>
          <w:rFonts w:ascii="Arial Narrow" w:hAnsi="Arial Narrow" w:cs="Arial Narrow"/>
          <w:sz w:val="22"/>
          <w:szCs w:val="22"/>
        </w:rPr>
        <w:t>,</w:t>
      </w:r>
      <w:r w:rsidRPr="00422D8C">
        <w:rPr>
          <w:rFonts w:ascii="Arial Narrow" w:hAnsi="Arial Narrow" w:cs="Arial Narrow"/>
          <w:sz w:val="22"/>
          <w:szCs w:val="22"/>
        </w:rPr>
        <w:t xml:space="preserve"> je v rozpočte výdavkov kapitoly na roky 2011 až 2013 premietnuté aj zvýšenie výdavkov na zabezpečenie plnenia existujúcich ako aj nových úloh najmä v oblasti zabezpečovania výkonu štátneho dozoru nad jadrovou bezpečnosťou jadrových zariadení. Vyššie uvedené skutočnosti spôsobujú nárast výdavkov v roku 2011 oproti schválenému rozpočtu v roku 2010 o 8,56 %.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0C538E">
        <w:rPr>
          <w:rFonts w:ascii="Arial Narrow" w:hAnsi="Arial Narrow" w:cs="Arial Narrow"/>
          <w:sz w:val="22"/>
          <w:szCs w:val="22"/>
        </w:rPr>
        <w:t xml:space="preserve">Objem osobných výdavkov sa </w:t>
      </w:r>
      <w:r>
        <w:rPr>
          <w:rFonts w:ascii="Arial Narrow" w:hAnsi="Arial Narrow" w:cs="Arial Narrow"/>
          <w:sz w:val="22"/>
          <w:szCs w:val="22"/>
        </w:rPr>
        <w:t>na</w:t>
      </w:r>
      <w:r w:rsidRPr="000C538E">
        <w:rPr>
          <w:rFonts w:ascii="Arial Narrow" w:hAnsi="Arial Narrow" w:cs="Arial Narrow"/>
          <w:sz w:val="22"/>
          <w:szCs w:val="22"/>
        </w:rPr>
        <w:t xml:space="preserve"> rok 2011 rozpočtuje na úrovni 2,08 mil. eur, čo v porovnaní so schváleným </w:t>
      </w:r>
      <w:r>
        <w:rPr>
          <w:rFonts w:ascii="Arial Narrow" w:hAnsi="Arial Narrow" w:cs="Arial Narrow"/>
          <w:sz w:val="22"/>
          <w:szCs w:val="22"/>
        </w:rPr>
        <w:t>rozpočtom na rok</w:t>
      </w:r>
      <w:r w:rsidRPr="00D269FC">
        <w:rPr>
          <w:rFonts w:ascii="Arial Narrow" w:hAnsi="Arial Narrow" w:cs="Arial Narrow"/>
          <w:sz w:val="22"/>
          <w:szCs w:val="22"/>
        </w:rPr>
        <w:t xml:space="preserve"> </w:t>
      </w:r>
      <w:r w:rsidRPr="000C538E">
        <w:rPr>
          <w:rFonts w:ascii="Arial Narrow" w:hAnsi="Arial Narrow" w:cs="Arial Narrow"/>
          <w:sz w:val="22"/>
          <w:szCs w:val="22"/>
        </w:rPr>
        <w:t xml:space="preserve">2010 predstavuje nárast 6,61% (129 tis. eur). Medziročný nárast osobných výdavkov je ovplyvnený viazaním osobných výdavkov na úrovni 10 % </w:t>
      </w:r>
      <w:r w:rsidR="00271764">
        <w:rPr>
          <w:rFonts w:ascii="Arial Narrow" w:hAnsi="Arial Narrow" w:cs="Arial Narrow"/>
          <w:sz w:val="22"/>
          <w:szCs w:val="22"/>
        </w:rPr>
        <w:t>pre</w:t>
      </w:r>
      <w:r w:rsidRPr="000C538E">
        <w:rPr>
          <w:rFonts w:ascii="Arial Narrow" w:hAnsi="Arial Narrow" w:cs="Arial Narrow"/>
          <w:sz w:val="22"/>
          <w:szCs w:val="22"/>
        </w:rPr>
        <w:t xml:space="preserve"> štátnych zamestnancov a zamestnancov pri výkone práce vo verejnom záujme pri zohľadnení dopočtu 1% valorizácie z roku 2010 a zvýšením odmeňovania zamestnancov vyplývajúcim z osobitného systému financovania úradu.</w:t>
      </w:r>
    </w:p>
    <w:p w:rsidR="001E5B24" w:rsidP="001E5B24">
      <w:pPr>
        <w:bidi w:val="0"/>
        <w:ind w:firstLine="708"/>
        <w:jc w:val="both"/>
        <w:rPr>
          <w:rFonts w:ascii="Arial Narrow" w:hAnsi="Arial Narrow" w:cs="Arial Narrow"/>
          <w:sz w:val="22"/>
          <w:szCs w:val="22"/>
        </w:rPr>
      </w:pPr>
    </w:p>
    <w:p w:rsidR="001E5B24" w:rsidRPr="000C538E" w:rsidP="001E5B24">
      <w:pPr>
        <w:bidi w:val="0"/>
        <w:ind w:firstLine="708"/>
        <w:jc w:val="both"/>
        <w:rPr>
          <w:rFonts w:ascii="Arial Narrow" w:hAnsi="Arial Narrow" w:cs="Arial Narrow"/>
          <w:sz w:val="22"/>
          <w:szCs w:val="22"/>
        </w:rPr>
      </w:pPr>
      <w:r>
        <w:rPr>
          <w:rFonts w:ascii="Arial Narrow" w:hAnsi="Arial Narrow" w:cs="Arial Narrow"/>
          <w:sz w:val="22"/>
          <w:szCs w:val="22"/>
        </w:rPr>
        <w:t>Výdavky</w:t>
      </w:r>
      <w:r w:rsidRPr="000C538E">
        <w:rPr>
          <w:rFonts w:ascii="Arial Narrow" w:hAnsi="Arial Narrow" w:cs="Arial Narrow"/>
          <w:sz w:val="22"/>
          <w:szCs w:val="22"/>
        </w:rPr>
        <w:t xml:space="preserve"> na tovary a</w:t>
      </w:r>
      <w:r>
        <w:rPr>
          <w:rFonts w:ascii="Arial Narrow" w:hAnsi="Arial Narrow" w:cs="Arial Narrow"/>
          <w:sz w:val="22"/>
          <w:szCs w:val="22"/>
        </w:rPr>
        <w:t> </w:t>
      </w:r>
      <w:r w:rsidRPr="000C538E">
        <w:rPr>
          <w:rFonts w:ascii="Arial Narrow" w:hAnsi="Arial Narrow" w:cs="Arial Narrow"/>
          <w:sz w:val="22"/>
          <w:szCs w:val="22"/>
        </w:rPr>
        <w:t>služby</w:t>
      </w:r>
      <w:r>
        <w:rPr>
          <w:rFonts w:ascii="Arial Narrow" w:hAnsi="Arial Narrow" w:cs="Arial Narrow"/>
          <w:sz w:val="22"/>
          <w:szCs w:val="22"/>
        </w:rPr>
        <w:t xml:space="preserve"> sú na rok 2011</w:t>
      </w:r>
      <w:r w:rsidRPr="000C538E">
        <w:rPr>
          <w:rFonts w:ascii="Arial Narrow" w:hAnsi="Arial Narrow" w:cs="Arial Narrow"/>
          <w:sz w:val="22"/>
          <w:szCs w:val="22"/>
        </w:rPr>
        <w:t xml:space="preserve"> </w:t>
      </w:r>
      <w:r>
        <w:rPr>
          <w:rFonts w:ascii="Arial Narrow" w:hAnsi="Arial Narrow" w:cs="Arial Narrow"/>
          <w:sz w:val="22"/>
          <w:szCs w:val="22"/>
        </w:rPr>
        <w:t>rozpočtované vo výške 2,3 mil. eur a v porovnaní s</w:t>
      </w:r>
      <w:r w:rsidRPr="000C538E">
        <w:rPr>
          <w:rFonts w:ascii="Arial Narrow" w:hAnsi="Arial Narrow" w:cs="Arial Narrow"/>
          <w:sz w:val="22"/>
          <w:szCs w:val="22"/>
        </w:rPr>
        <w:t>o</w:t>
      </w:r>
      <w:r>
        <w:rPr>
          <w:rFonts w:ascii="Arial Narrow" w:hAnsi="Arial Narrow" w:cs="Arial Narrow"/>
          <w:sz w:val="22"/>
          <w:szCs w:val="22"/>
        </w:rPr>
        <w:t xml:space="preserve"> schváleným rozpočtom na rok 2010 rastú o</w:t>
      </w:r>
      <w:r w:rsidRPr="000C538E">
        <w:rPr>
          <w:rFonts w:ascii="Arial Narrow" w:hAnsi="Arial Narrow" w:cs="Arial Narrow"/>
          <w:sz w:val="22"/>
          <w:szCs w:val="22"/>
        </w:rPr>
        <w:t> 19,5</w:t>
      </w:r>
      <w:r>
        <w:rPr>
          <w:rFonts w:ascii="Arial Narrow" w:hAnsi="Arial Narrow" w:cs="Arial Narrow"/>
          <w:sz w:val="22"/>
          <w:szCs w:val="22"/>
        </w:rPr>
        <w:t xml:space="preserve">%. Uvedený nárast vyplýva z potreby plnenia nových úloh rezortu najmä v súvislosti s dostavbou jadrovej elektrárne Mochovce, vyraďovaním JE V-1 z prevádzky, zámeru výstavby nového jadrového zdroja v lokalite Jaslovské Bohunice. Veľký rozsah činnosti musí kapitola pokryť vlastnými zamestnancami, ale časť činností musí byť zabezpečená zákazkami zadávanými komerčným subjektom. </w:t>
      </w:r>
    </w:p>
    <w:p w:rsidR="001E5B24" w:rsidRPr="000C538E"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Výdavky na bežné transfery, rozpočtované v roku 2011 vo výške 365 tis. eur, sú v porovnaní so schváleným rozpočtom na rok 2010 nižšie o </w:t>
      </w:r>
      <w:r w:rsidRPr="000C538E">
        <w:rPr>
          <w:rFonts w:ascii="Arial Narrow" w:hAnsi="Arial Narrow" w:cs="Arial Narrow"/>
          <w:sz w:val="22"/>
          <w:szCs w:val="22"/>
        </w:rPr>
        <w:t xml:space="preserve">19,5 % </w:t>
      </w:r>
      <w:r>
        <w:rPr>
          <w:rFonts w:ascii="Arial Narrow" w:hAnsi="Arial Narrow" w:cs="Arial Narrow"/>
          <w:sz w:val="22"/>
          <w:szCs w:val="22"/>
        </w:rPr>
        <w:t xml:space="preserve">najmä z dôvodu nižších transferov do medzinárodných inštitúcií. </w:t>
      </w:r>
    </w:p>
    <w:p w:rsidR="001E5B24" w:rsidP="001E5B24">
      <w:pPr>
        <w:bidi w:val="0"/>
        <w:ind w:firstLine="708"/>
        <w:jc w:val="both"/>
        <w:rPr>
          <w:rFonts w:ascii="Arial Narrow" w:hAnsi="Arial Narrow" w:cs="Arial Narrow"/>
          <w:sz w:val="22"/>
          <w:szCs w:val="22"/>
        </w:rPr>
      </w:pPr>
    </w:p>
    <w:p w:rsidR="001E5B24" w:rsidRPr="000C538E"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Kapitálové výdavky na rok 2011 sú rozpočtované v sume 58,8 tis. eur a oproti schválenému rozpočtu výdavkov na rok 2010 zaznamenali pokles o </w:t>
      </w:r>
      <w:r w:rsidRPr="000C538E">
        <w:rPr>
          <w:rFonts w:ascii="Arial Narrow" w:hAnsi="Arial Narrow" w:cs="Arial Narrow"/>
          <w:sz w:val="22"/>
          <w:szCs w:val="22"/>
        </w:rPr>
        <w:t> 41,0 %</w:t>
      </w:r>
      <w:r>
        <w:rPr>
          <w:rFonts w:ascii="Arial Narrow" w:hAnsi="Arial Narrow" w:cs="Arial Narrow"/>
          <w:sz w:val="22"/>
          <w:szCs w:val="22"/>
        </w:rPr>
        <w:t>, najmä z dôvodu nerozpočtovania výdavkov na rekonštrukciu komunikačnej infraštruktúry a nákup prístrojov a vybavenia.</w:t>
      </w:r>
    </w:p>
    <w:p w:rsidR="001E5B24" w:rsidP="001E5B24">
      <w:pPr>
        <w:bidi w:val="0"/>
        <w:ind w:firstLine="708"/>
        <w:jc w:val="both"/>
        <w:rPr>
          <w:rFonts w:ascii="Arial Narrow" w:hAnsi="Arial Narrow" w:cs="Arial Narrow"/>
          <w:sz w:val="22"/>
          <w:szCs w:val="22"/>
        </w:rPr>
      </w:pPr>
    </w:p>
    <w:p w:rsidR="001E5B24" w:rsidRPr="001F30F9" w:rsidP="001E5B24">
      <w:pPr>
        <w:pStyle w:val="Title"/>
        <w:pBdr>
          <w:bottom w:val="single" w:sz="4" w:space="1" w:color="auto"/>
        </w:pBdr>
        <w:bidi w:val="0"/>
        <w:jc w:val="both"/>
        <w:outlineLvl w:val="0"/>
        <w:rPr>
          <w:rFonts w:ascii="Arial Narrow" w:hAnsi="Arial Narrow" w:cs="Arial Narrow"/>
          <w:sz w:val="22"/>
          <w:szCs w:val="22"/>
        </w:rPr>
      </w:pPr>
      <w:bookmarkStart w:id="67" w:name="_Toc108849140"/>
      <w:r w:rsidRPr="001F30F9">
        <w:rPr>
          <w:rFonts w:ascii="Arial Narrow" w:hAnsi="Arial Narrow" w:cs="Arial Narrow"/>
          <w:sz w:val="22"/>
          <w:szCs w:val="22"/>
        </w:rPr>
        <w:t>Úrad priemyselného vlastníctva SR</w:t>
      </w:r>
      <w:bookmarkEnd w:id="67"/>
    </w:p>
    <w:p w:rsidR="001E5B24" w:rsidP="001E5B24">
      <w:pPr>
        <w:bidi w:val="0"/>
        <w:jc w:val="both"/>
        <w:rPr>
          <w:rFonts w:ascii="Arial Narrow" w:hAnsi="Arial Narrow" w:cs="Arial Narrow"/>
          <w:b/>
          <w:bCs/>
          <w:sz w:val="22"/>
          <w:szCs w:val="22"/>
        </w:rPr>
      </w:pPr>
    </w:p>
    <w:p w:rsidR="001E5B24" w:rsidRPr="001609C3" w:rsidP="001E5B24">
      <w:pPr>
        <w:bidi w:val="0"/>
        <w:ind w:firstLine="708"/>
        <w:jc w:val="both"/>
        <w:rPr>
          <w:rFonts w:ascii="Arial Narrow" w:hAnsi="Arial Narrow" w:cs="Arial Narrow"/>
          <w:sz w:val="22"/>
          <w:szCs w:val="22"/>
        </w:rPr>
      </w:pPr>
      <w:r w:rsidRPr="001609C3">
        <w:rPr>
          <w:rFonts w:ascii="Arial Narrow" w:hAnsi="Arial Narrow" w:cs="Arial Narrow"/>
          <w:color w:val="000000"/>
          <w:sz w:val="22"/>
          <w:szCs w:val="22"/>
        </w:rPr>
        <w:t>Úrad priemyselného vlastníctva SR vykonáva štátnu správu v oblasti ochrany vynálezov, úžitkových vzorov, topografií polovodičových výrobkov, dizajnov, ochranných známok, označení pôvodu výrobkov a zemepisných označení výrobkov. Úrad tiež spracováva, udržiava a sprístupňuje ústredný fond priemyselnoprávnej literatúry, dokumentácie a dostupných informačných zdrojov a poskytuje verejnosti informácie a informačné služby z oblasti priemyselného vlastníctva.</w:t>
      </w:r>
    </w:p>
    <w:p w:rsidR="001E5B24" w:rsidRPr="00F8613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05"/>
        <w:gridCol w:w="957"/>
        <w:gridCol w:w="956"/>
        <w:gridCol w:w="956"/>
        <w:gridCol w:w="956"/>
        <w:gridCol w:w="956"/>
        <w:gridCol w:w="956"/>
      </w:tblGrid>
      <w:tr>
        <w:tblPrEx>
          <w:tblW w:w="4962" w:type="pct"/>
          <w:tblInd w:w="70" w:type="dxa"/>
          <w:tblCellMar>
            <w:left w:w="70" w:type="dxa"/>
            <w:right w:w="70" w:type="dxa"/>
          </w:tblCellMar>
          <w:tblLook w:val="00A0"/>
        </w:tblPrEx>
        <w:trPr>
          <w:trHeight w:val="255"/>
        </w:trPr>
        <w:tc>
          <w:tcPr>
            <w:tcW w:w="186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813904" w:rsidP="001E5B24">
            <w:pPr>
              <w:bidi w:val="0"/>
              <w:rPr>
                <w:rFonts w:ascii="Arial Narrow" w:hAnsi="Arial Narrow" w:cs="Arial Narrow"/>
                <w:b/>
                <w:bCs/>
                <w:sz w:val="16"/>
                <w:szCs w:val="16"/>
              </w:rPr>
            </w:pPr>
            <w:r w:rsidRPr="00813904">
              <w:rPr>
                <w:rFonts w:ascii="Arial Narrow" w:hAnsi="Arial Narrow" w:cs="Arial Narrow"/>
                <w:b/>
                <w:bCs/>
                <w:sz w:val="16"/>
                <w:szCs w:val="16"/>
              </w:rPr>
              <w:t>v</w:t>
            </w:r>
            <w:r>
              <w:rPr>
                <w:rFonts w:ascii="Arial Narrow" w:hAnsi="Arial Narrow" w:cs="Arial Narrow"/>
                <w:b/>
                <w:bCs/>
                <w:sz w:val="16"/>
                <w:szCs w:val="16"/>
              </w:rPr>
              <w:t xml:space="preserve"> tis. </w:t>
            </w:r>
            <w:r w:rsidRPr="00813904">
              <w:rPr>
                <w:rFonts w:ascii="Arial Narrow" w:hAnsi="Arial Narrow" w:cs="Arial Narrow"/>
                <w:b/>
                <w:bCs/>
                <w:sz w:val="16"/>
                <w:szCs w:val="16"/>
              </w:rPr>
              <w:t>eur</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55"/>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sz w:val="16"/>
                <w:szCs w:val="16"/>
              </w:rPr>
            </w:pPr>
            <w:r w:rsidRPr="00813904">
              <w:rPr>
                <w:rFonts w:ascii="Arial Narrow" w:hAnsi="Arial Narrow" w:cs="Arial Narrow"/>
                <w:sz w:val="16"/>
                <w:szCs w:val="16"/>
              </w:rPr>
              <w:t>Zdroje príslušnej kapitoly</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3 795</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3 176</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3 138</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2 778</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2 783</w:t>
            </w:r>
          </w:p>
        </w:tc>
        <w:tc>
          <w:tcPr>
            <w:tcW w:w="523" w:type="pct"/>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sz w:val="16"/>
                <w:szCs w:val="16"/>
              </w:rPr>
            </w:pPr>
            <w:r w:rsidRPr="001D0449">
              <w:rPr>
                <w:rFonts w:ascii="Arial Narrow" w:hAnsi="Arial Narrow" w:cs="Arial Narrow"/>
                <w:sz w:val="16"/>
                <w:szCs w:val="16"/>
              </w:rPr>
              <w:t>2 783</w:t>
            </w:r>
          </w:p>
        </w:tc>
      </w:tr>
    </w:tbl>
    <w:p w:rsidR="001E5B24" w:rsidRPr="00F86134" w:rsidP="001E5B24">
      <w:pPr>
        <w:bidi w:val="0"/>
        <w:jc w:val="both"/>
        <w:rPr>
          <w:rFonts w:ascii="Arial Narrow" w:hAnsi="Arial Narrow" w:cs="Arial Narrow"/>
          <w:sz w:val="22"/>
          <w:szCs w:val="22"/>
        </w:rPr>
      </w:pPr>
    </w:p>
    <w:p w:rsidR="001E5B24" w:rsidRPr="001609C3" w:rsidP="001E5B24">
      <w:pPr>
        <w:bidi w:val="0"/>
        <w:ind w:firstLine="708"/>
        <w:jc w:val="both"/>
        <w:rPr>
          <w:rFonts w:ascii="Arial Narrow" w:hAnsi="Arial Narrow" w:cs="Arial Narrow"/>
          <w:sz w:val="22"/>
          <w:szCs w:val="22"/>
        </w:rPr>
      </w:pPr>
      <w:r w:rsidRPr="000706A2">
        <w:rPr>
          <w:rFonts w:ascii="Arial Narrow" w:hAnsi="Arial Narrow" w:cs="Arial Narrow"/>
          <w:sz w:val="22"/>
          <w:szCs w:val="22"/>
        </w:rPr>
        <w:t>Výdavky kapitoly sa rozpočtujú v roku 2011 v sume 2,78 mil. eur, čo predstavuje oproti schválenému</w:t>
      </w:r>
      <w:r>
        <w:rPr>
          <w:rFonts w:ascii="Arial Narrow" w:hAnsi="Arial Narrow" w:cs="Arial Narrow"/>
          <w:sz w:val="22"/>
          <w:szCs w:val="22"/>
        </w:rPr>
        <w:t xml:space="preserve"> rozpočtu v roku 2010 pokles </w:t>
      </w:r>
      <w:r w:rsidRPr="001609C3">
        <w:rPr>
          <w:rFonts w:ascii="Arial Narrow" w:hAnsi="Arial Narrow" w:cs="Arial Narrow"/>
          <w:sz w:val="22"/>
          <w:szCs w:val="22"/>
        </w:rPr>
        <w:t xml:space="preserve">o 11,5%.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O</w:t>
      </w:r>
      <w:r w:rsidRPr="00BD02A4">
        <w:rPr>
          <w:rFonts w:ascii="Arial Narrow" w:hAnsi="Arial Narrow" w:cs="Arial Narrow"/>
          <w:sz w:val="22"/>
          <w:szCs w:val="22"/>
        </w:rPr>
        <w:t>sobn</w:t>
      </w:r>
      <w:r>
        <w:rPr>
          <w:rFonts w:ascii="Arial Narrow" w:hAnsi="Arial Narrow" w:cs="Arial Narrow"/>
          <w:sz w:val="22"/>
          <w:szCs w:val="22"/>
        </w:rPr>
        <w:t>é</w:t>
      </w:r>
      <w:r w:rsidRPr="00BD02A4">
        <w:rPr>
          <w:rFonts w:ascii="Arial Narrow" w:hAnsi="Arial Narrow" w:cs="Arial Narrow"/>
          <w:sz w:val="22"/>
          <w:szCs w:val="22"/>
        </w:rPr>
        <w:t xml:space="preserve"> výdavk</w:t>
      </w:r>
      <w:r>
        <w:rPr>
          <w:rFonts w:ascii="Arial Narrow" w:hAnsi="Arial Narrow" w:cs="Arial Narrow"/>
          <w:sz w:val="22"/>
          <w:szCs w:val="22"/>
        </w:rPr>
        <w:t>y</w:t>
      </w:r>
      <w:r w:rsidRPr="00BD02A4">
        <w:rPr>
          <w:rFonts w:ascii="Arial Narrow" w:hAnsi="Arial Narrow" w:cs="Arial Narrow"/>
          <w:sz w:val="22"/>
          <w:szCs w:val="22"/>
        </w:rPr>
        <w:t xml:space="preserve"> sa </w:t>
      </w:r>
      <w:r>
        <w:rPr>
          <w:rFonts w:ascii="Arial Narrow" w:hAnsi="Arial Narrow" w:cs="Arial Narrow"/>
          <w:sz w:val="22"/>
          <w:szCs w:val="22"/>
        </w:rPr>
        <w:t>na</w:t>
      </w:r>
      <w:r w:rsidRPr="00BD02A4">
        <w:rPr>
          <w:rFonts w:ascii="Arial Narrow" w:hAnsi="Arial Narrow" w:cs="Arial Narrow"/>
          <w:sz w:val="22"/>
          <w:szCs w:val="22"/>
        </w:rPr>
        <w:t xml:space="preserve"> rok 2011 rozpočtuj</w:t>
      </w:r>
      <w:r>
        <w:rPr>
          <w:rFonts w:ascii="Arial Narrow" w:hAnsi="Arial Narrow" w:cs="Arial Narrow"/>
          <w:sz w:val="22"/>
          <w:szCs w:val="22"/>
        </w:rPr>
        <w:t>ú</w:t>
      </w:r>
      <w:r w:rsidRPr="00BD02A4">
        <w:rPr>
          <w:rFonts w:ascii="Arial Narrow" w:hAnsi="Arial Narrow" w:cs="Arial Narrow"/>
          <w:sz w:val="22"/>
          <w:szCs w:val="22"/>
        </w:rPr>
        <w:t xml:space="preserve"> na úrovni </w:t>
      </w:r>
      <w:r>
        <w:rPr>
          <w:rFonts w:ascii="Arial Narrow" w:hAnsi="Arial Narrow" w:cs="Arial Narrow"/>
          <w:sz w:val="22"/>
          <w:szCs w:val="22"/>
        </w:rPr>
        <w:t>1</w:t>
      </w:r>
      <w:r w:rsidRPr="00BD02A4">
        <w:rPr>
          <w:rFonts w:ascii="Arial Narrow" w:hAnsi="Arial Narrow" w:cs="Arial Narrow"/>
          <w:sz w:val="22"/>
          <w:szCs w:val="22"/>
        </w:rPr>
        <w:t>,</w:t>
      </w:r>
      <w:r>
        <w:rPr>
          <w:rFonts w:ascii="Arial Narrow" w:hAnsi="Arial Narrow" w:cs="Arial Narrow"/>
          <w:sz w:val="22"/>
          <w:szCs w:val="22"/>
        </w:rPr>
        <w:t>98 mil. eur</w:t>
      </w:r>
      <w:r w:rsidRPr="00BD02A4">
        <w:rPr>
          <w:rFonts w:ascii="Arial Narrow" w:hAnsi="Arial Narrow" w:cs="Arial Narrow"/>
          <w:sz w:val="22"/>
          <w:szCs w:val="22"/>
        </w:rPr>
        <w:t>, čo v porovnaní s</w:t>
      </w:r>
      <w:r>
        <w:rPr>
          <w:rFonts w:ascii="Arial Narrow" w:hAnsi="Arial Narrow" w:cs="Arial Narrow"/>
          <w:sz w:val="22"/>
          <w:szCs w:val="22"/>
        </w:rPr>
        <w:t>o schváleným rozpočtom v roku</w:t>
      </w:r>
      <w:r w:rsidRPr="00BD02A4">
        <w:rPr>
          <w:rFonts w:ascii="Arial Narrow" w:hAnsi="Arial Narrow" w:cs="Arial Narrow"/>
          <w:sz w:val="22"/>
          <w:szCs w:val="22"/>
        </w:rPr>
        <w:t xml:space="preserve"> 2010 predstavuje </w:t>
      </w:r>
      <w:r>
        <w:rPr>
          <w:rFonts w:ascii="Arial Narrow" w:hAnsi="Arial Narrow" w:cs="Arial Narrow"/>
          <w:sz w:val="22"/>
          <w:szCs w:val="22"/>
        </w:rPr>
        <w:t>pokles</w:t>
      </w:r>
      <w:r w:rsidRPr="00BD02A4">
        <w:rPr>
          <w:rFonts w:ascii="Arial Narrow" w:hAnsi="Arial Narrow" w:cs="Arial Narrow"/>
          <w:sz w:val="22"/>
          <w:szCs w:val="22"/>
        </w:rPr>
        <w:t xml:space="preserve"> </w:t>
      </w:r>
      <w:r>
        <w:rPr>
          <w:rFonts w:ascii="Arial Narrow" w:hAnsi="Arial Narrow" w:cs="Arial Narrow"/>
          <w:sz w:val="22"/>
          <w:szCs w:val="22"/>
        </w:rPr>
        <w:t>o 9</w:t>
      </w:r>
      <w:r w:rsidRPr="00BD02A4">
        <w:rPr>
          <w:rFonts w:ascii="Arial Narrow" w:hAnsi="Arial Narrow" w:cs="Arial Narrow"/>
          <w:sz w:val="22"/>
          <w:szCs w:val="22"/>
        </w:rPr>
        <w:t>,</w:t>
      </w:r>
      <w:r>
        <w:rPr>
          <w:rFonts w:ascii="Arial Narrow" w:hAnsi="Arial Narrow" w:cs="Arial Narrow"/>
          <w:sz w:val="22"/>
          <w:szCs w:val="22"/>
        </w:rPr>
        <w:t>50</w:t>
      </w:r>
      <w:r w:rsidRPr="00BD02A4">
        <w:rPr>
          <w:rFonts w:ascii="Arial Narrow" w:hAnsi="Arial Narrow" w:cs="Arial Narrow"/>
          <w:sz w:val="22"/>
          <w:szCs w:val="22"/>
        </w:rPr>
        <w:t xml:space="preserve"> %</w:t>
      </w:r>
      <w:r>
        <w:rPr>
          <w:rFonts w:ascii="Arial Narrow" w:hAnsi="Arial Narrow" w:cs="Arial Narrow"/>
          <w:sz w:val="22"/>
          <w:szCs w:val="22"/>
        </w:rPr>
        <w:t xml:space="preserve">. </w:t>
      </w:r>
      <w:r w:rsidRPr="00BD02A4">
        <w:rPr>
          <w:rFonts w:ascii="Arial Narrow" w:hAnsi="Arial Narrow" w:cs="Arial Narrow"/>
          <w:sz w:val="22"/>
          <w:szCs w:val="22"/>
        </w:rPr>
        <w:t xml:space="preserve">Medziročný pokles </w:t>
      </w:r>
      <w:r>
        <w:rPr>
          <w:rFonts w:ascii="Arial Narrow" w:hAnsi="Arial Narrow" w:cs="Arial Narrow"/>
          <w:sz w:val="22"/>
          <w:szCs w:val="22"/>
        </w:rPr>
        <w:t>osobných výdavkov</w:t>
      </w:r>
      <w:r w:rsidRPr="00BD02A4">
        <w:rPr>
          <w:rFonts w:ascii="Arial Narrow" w:hAnsi="Arial Narrow" w:cs="Arial Narrow"/>
          <w:sz w:val="22"/>
          <w:szCs w:val="22"/>
        </w:rPr>
        <w:t xml:space="preserve"> je ovplyvnený viazaním osobných výdavkov na úrovni 10 % </w:t>
      </w:r>
      <w:r w:rsidR="00271764">
        <w:rPr>
          <w:rFonts w:ascii="Arial Narrow" w:hAnsi="Arial Narrow" w:cs="Arial Narrow"/>
          <w:sz w:val="22"/>
          <w:szCs w:val="22"/>
        </w:rPr>
        <w:t>pre</w:t>
      </w:r>
      <w:r w:rsidRPr="00BD02A4">
        <w:rPr>
          <w:rFonts w:ascii="Arial Narrow" w:hAnsi="Arial Narrow" w:cs="Arial Narrow"/>
          <w:sz w:val="22"/>
          <w:szCs w:val="22"/>
        </w:rPr>
        <w:t xml:space="preserve"> štátnych zamestnancov a zamestnancov pri výkone práce vo verejnom záujme pri zohľadnení dopočtu 1% valorizácie z roku 2010 a 10% viazaním osobných výdavkov </w:t>
      </w:r>
      <w:r>
        <w:rPr>
          <w:rFonts w:ascii="Arial Narrow" w:hAnsi="Arial Narrow" w:cs="Arial Narrow"/>
          <w:sz w:val="22"/>
          <w:szCs w:val="22"/>
        </w:rPr>
        <w:t xml:space="preserve">zamestnanca vo verejnej funkcii </w:t>
      </w:r>
      <w:r w:rsidRPr="00BD02A4">
        <w:rPr>
          <w:rFonts w:ascii="Arial Narrow" w:hAnsi="Arial Narrow" w:cs="Arial Narrow"/>
          <w:sz w:val="22"/>
          <w:szCs w:val="22"/>
        </w:rPr>
        <w:t>z úrovne roka 2010</w:t>
      </w:r>
      <w:r>
        <w:rPr>
          <w:rFonts w:ascii="Arial Narrow" w:hAnsi="Arial Narrow" w:cs="Arial Narrow"/>
          <w:sz w:val="22"/>
          <w:szCs w:val="22"/>
        </w:rPr>
        <w:t>.</w:t>
      </w:r>
    </w:p>
    <w:p w:rsidR="001E5B24" w:rsidP="001E5B24">
      <w:pPr>
        <w:bidi w:val="0"/>
        <w:jc w:val="both"/>
        <w:rPr>
          <w:rFonts w:ascii="Arial Narrow" w:hAnsi="Arial Narrow" w:cs="Arial Narrow"/>
          <w:sz w:val="22"/>
          <w:szCs w:val="22"/>
        </w:rPr>
      </w:pPr>
      <w:r w:rsidRPr="001609C3">
        <w:rPr>
          <w:rFonts w:ascii="Arial Narrow" w:hAnsi="Arial Narrow" w:cs="Arial Narrow"/>
          <w:sz w:val="22"/>
          <w:szCs w:val="22"/>
        </w:rPr>
        <w:tab/>
      </w:r>
    </w:p>
    <w:p w:rsidR="001E5B24" w:rsidP="001E5B24">
      <w:pPr>
        <w:bidi w:val="0"/>
        <w:ind w:firstLine="708"/>
        <w:jc w:val="both"/>
        <w:rPr>
          <w:rFonts w:ascii="Arial Narrow" w:hAnsi="Arial Narrow" w:cs="Arial Narrow"/>
          <w:sz w:val="22"/>
          <w:szCs w:val="22"/>
        </w:rPr>
      </w:pPr>
      <w:r w:rsidRPr="001609C3">
        <w:rPr>
          <w:rFonts w:ascii="Arial Narrow" w:hAnsi="Arial Narrow" w:cs="Arial Narrow"/>
          <w:sz w:val="22"/>
          <w:szCs w:val="22"/>
        </w:rPr>
        <w:t>Výdavky na prevádzku v roku 2011 klesajú v porovnaní so schváleným rozpočtom</w:t>
      </w:r>
      <w:r>
        <w:rPr>
          <w:rFonts w:ascii="Arial Narrow" w:hAnsi="Arial Narrow" w:cs="Arial Narrow"/>
          <w:sz w:val="22"/>
          <w:szCs w:val="22"/>
        </w:rPr>
        <w:t xml:space="preserve"> v roku 2010</w:t>
      </w:r>
      <w:r w:rsidRPr="001609C3">
        <w:rPr>
          <w:rFonts w:ascii="Arial Narrow" w:hAnsi="Arial Narrow" w:cs="Arial Narrow"/>
          <w:sz w:val="22"/>
          <w:szCs w:val="22"/>
        </w:rPr>
        <w:t xml:space="preserve"> o 16,6% a k upravenému rozpočtu k 31. 8. 2010 </w:t>
      </w:r>
      <w:r>
        <w:rPr>
          <w:rFonts w:ascii="Arial Narrow" w:hAnsi="Arial Narrow" w:cs="Arial Narrow"/>
          <w:sz w:val="22"/>
          <w:szCs w:val="22"/>
        </w:rPr>
        <w:t xml:space="preserve">klesajú </w:t>
      </w:r>
      <w:r w:rsidRPr="001609C3">
        <w:rPr>
          <w:rFonts w:ascii="Arial Narrow" w:hAnsi="Arial Narrow" w:cs="Arial Narrow"/>
          <w:sz w:val="22"/>
          <w:szCs w:val="22"/>
        </w:rPr>
        <w:t xml:space="preserve">o 5,9%. </w:t>
      </w:r>
      <w:r>
        <w:rPr>
          <w:rFonts w:ascii="Arial Narrow" w:hAnsi="Arial Narrow" w:cs="Arial Narrow"/>
          <w:sz w:val="22"/>
          <w:szCs w:val="22"/>
        </w:rPr>
        <w:t xml:space="preserve">Uvedený rozdiel je spôsobený presunom prevádzkových výdavkov na kapitálové výdavky a na bežné transfery počas roka 2010.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1609C3">
        <w:rPr>
          <w:rFonts w:ascii="Arial Narrow" w:hAnsi="Arial Narrow" w:cs="Arial Narrow"/>
          <w:sz w:val="22"/>
          <w:szCs w:val="22"/>
        </w:rPr>
        <w:t>Rozpočtované prostriedky na bežné transfery, ktorými úrad zabezpečuje najmä poplatky do medzinárodných organizácií</w:t>
      </w:r>
      <w:r>
        <w:rPr>
          <w:rFonts w:ascii="Arial Narrow" w:hAnsi="Arial Narrow" w:cs="Arial Narrow"/>
          <w:sz w:val="22"/>
          <w:szCs w:val="22"/>
        </w:rPr>
        <w:t xml:space="preserve"> uhrádzaných vo švajčiarskych frankoch</w:t>
      </w:r>
      <w:r w:rsidRPr="001609C3">
        <w:rPr>
          <w:rFonts w:ascii="Arial Narrow" w:hAnsi="Arial Narrow" w:cs="Arial Narrow"/>
          <w:sz w:val="22"/>
          <w:szCs w:val="22"/>
        </w:rPr>
        <w:t xml:space="preserve">, rastú medziročne o 1,4%, ale v porovnaní s upraveným rozpočtom k 31.8. 2010 klesajú o 4,8%. </w:t>
      </w:r>
      <w:r>
        <w:rPr>
          <w:rFonts w:ascii="Arial Narrow" w:hAnsi="Arial Narrow" w:cs="Arial Narrow"/>
          <w:sz w:val="22"/>
          <w:szCs w:val="22"/>
        </w:rPr>
        <w:t>Kapitola zvýšila rozpočet v danej kategórii počas roka 2010 z dôvodu zmeny kurzu švajčiarskeho franku voči euru.</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1609C3">
        <w:rPr>
          <w:rFonts w:ascii="Arial Narrow" w:hAnsi="Arial Narrow" w:cs="Arial Narrow"/>
          <w:sz w:val="22"/>
          <w:szCs w:val="22"/>
        </w:rPr>
        <w:t xml:space="preserve">Kapitálové výdavky </w:t>
      </w:r>
      <w:r>
        <w:rPr>
          <w:rFonts w:ascii="Arial Narrow" w:hAnsi="Arial Narrow" w:cs="Arial Narrow"/>
          <w:sz w:val="22"/>
          <w:szCs w:val="22"/>
        </w:rPr>
        <w:t>v roku 2011 v porovnaní so schváleným rozpočtom v roku 2010</w:t>
      </w:r>
      <w:r w:rsidRPr="001609C3">
        <w:rPr>
          <w:rFonts w:ascii="Arial Narrow" w:hAnsi="Arial Narrow" w:cs="Arial Narrow"/>
          <w:sz w:val="22"/>
          <w:szCs w:val="22"/>
        </w:rPr>
        <w:t xml:space="preserve"> klesajú o 31% a</w:t>
      </w:r>
      <w:r>
        <w:rPr>
          <w:rFonts w:ascii="Arial Narrow" w:hAnsi="Arial Narrow" w:cs="Arial Narrow"/>
          <w:sz w:val="22"/>
          <w:szCs w:val="22"/>
        </w:rPr>
        <w:t xml:space="preserve"> v porovnaní s upraveným rozpočtom o 64,1%. Uvedený rozdiel je spôsobený presunom prevádzkových výdavkov na kapitálové v priebehu roka 2010 na zabezpečenie dobudovania informačného systému INVENTIO. </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b/>
          <w:bCs/>
          <w:sz w:val="22"/>
          <w:szCs w:val="22"/>
        </w:rPr>
      </w:pPr>
    </w:p>
    <w:p w:rsidR="001E5B24" w:rsidP="001E5B24">
      <w:pPr>
        <w:pBdr>
          <w:bottom w:val="single" w:sz="4" w:space="1" w:color="auto"/>
        </w:pBdr>
        <w:bidi w:val="0"/>
        <w:jc w:val="both"/>
        <w:rPr>
          <w:rFonts w:ascii="Arial Narrow" w:hAnsi="Arial Narrow" w:cs="Arial Narrow"/>
          <w:b/>
          <w:bCs/>
          <w:sz w:val="22"/>
          <w:szCs w:val="22"/>
        </w:rPr>
      </w:pPr>
      <w:r>
        <w:rPr>
          <w:rFonts w:ascii="Arial Narrow" w:hAnsi="Arial Narrow" w:cs="Arial Narrow"/>
          <w:b/>
          <w:bCs/>
          <w:sz w:val="22"/>
          <w:szCs w:val="22"/>
        </w:rPr>
        <w:t>Úrad pre normalizáciu, metrológiu a skúšobníctvo SR</w:t>
      </w:r>
      <w:r w:rsidRPr="00613F6B">
        <w:rPr>
          <w:rFonts w:ascii="Arial Narrow" w:hAnsi="Arial Narrow" w:cs="Arial Narrow"/>
          <w:b/>
          <w:bCs/>
          <w:sz w:val="22"/>
          <w:szCs w:val="22"/>
        </w:rPr>
        <w:t xml:space="preserve"> </w:t>
      </w:r>
    </w:p>
    <w:p w:rsidR="001E5B24" w:rsidP="001E5B24">
      <w:pPr>
        <w:bidi w:val="0"/>
        <w:jc w:val="both"/>
        <w:rPr>
          <w:rFonts w:ascii="Arial Narrow" w:hAnsi="Arial Narrow" w:cs="Arial Narrow"/>
          <w:b/>
          <w:bCs/>
          <w:sz w:val="22"/>
          <w:szCs w:val="22"/>
        </w:rPr>
      </w:pPr>
    </w:p>
    <w:tbl>
      <w:tblPr>
        <w:tblStyle w:val="TableNormal"/>
        <w:tblW w:w="9015" w:type="dxa"/>
        <w:tblInd w:w="55" w:type="dxa"/>
        <w:tblLayout w:type="fixed"/>
        <w:tblCellMar>
          <w:left w:w="70" w:type="dxa"/>
          <w:right w:w="70" w:type="dxa"/>
        </w:tblCellMar>
        <w:tblLook w:val="00A0"/>
      </w:tblPr>
      <w:tblGrid>
        <w:gridCol w:w="3417"/>
        <w:gridCol w:w="933"/>
        <w:gridCol w:w="933"/>
        <w:gridCol w:w="933"/>
        <w:gridCol w:w="933"/>
        <w:gridCol w:w="933"/>
        <w:gridCol w:w="933"/>
      </w:tblGrid>
      <w:tr>
        <w:tblPrEx>
          <w:tblW w:w="9015" w:type="dxa"/>
          <w:tblInd w:w="55" w:type="dxa"/>
          <w:tblLayout w:type="fixed"/>
          <w:tblCellMar>
            <w:left w:w="70" w:type="dxa"/>
            <w:right w:w="70" w:type="dxa"/>
          </w:tblCellMar>
          <w:tblLook w:val="00A0"/>
        </w:tblPrEx>
        <w:trPr>
          <w:trHeight w:val="239"/>
        </w:trPr>
        <w:tc>
          <w:tcPr>
            <w:tcW w:w="34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1D0449" w:rsidP="001E5B24">
            <w:pPr>
              <w:bidi w:val="0"/>
              <w:rPr>
                <w:rFonts w:ascii="Arial Narrow" w:hAnsi="Arial Narrow" w:cs="Arial Narrow"/>
                <w:b/>
                <w:bCs/>
                <w:sz w:val="16"/>
                <w:szCs w:val="16"/>
              </w:rPr>
            </w:pPr>
            <w:r w:rsidRPr="001D0449">
              <w:rPr>
                <w:rFonts w:ascii="Arial Narrow" w:hAnsi="Arial Narrow" w:cs="Arial Narrow"/>
                <w:b/>
                <w:bCs/>
                <w:sz w:val="16"/>
                <w:szCs w:val="16"/>
              </w:rPr>
              <w:t> v tis. eur</w:t>
            </w:r>
          </w:p>
        </w:tc>
        <w:tc>
          <w:tcPr>
            <w:tcW w:w="933" w:type="dxa"/>
            <w:tcBorders>
              <w:top w:val="single" w:sz="4" w:space="0" w:color="auto"/>
              <w:left w:val="nil"/>
              <w:bottom w:val="single" w:sz="4" w:space="0" w:color="auto"/>
              <w:right w:val="single" w:sz="4" w:space="0" w:color="auto"/>
            </w:tcBorders>
            <w:shd w:val="clear" w:color="000000" w:fill="FFFFFF"/>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2008 S</w:t>
            </w:r>
          </w:p>
        </w:tc>
        <w:tc>
          <w:tcPr>
            <w:tcW w:w="933"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2009 S</w:t>
            </w:r>
          </w:p>
        </w:tc>
        <w:tc>
          <w:tcPr>
            <w:tcW w:w="933"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2010 R</w:t>
            </w:r>
          </w:p>
        </w:tc>
        <w:tc>
          <w:tcPr>
            <w:tcW w:w="933"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2011 N</w:t>
            </w:r>
          </w:p>
        </w:tc>
        <w:tc>
          <w:tcPr>
            <w:tcW w:w="933"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2012 N</w:t>
            </w:r>
          </w:p>
        </w:tc>
        <w:tc>
          <w:tcPr>
            <w:tcW w:w="933" w:type="dxa"/>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1D0449" w:rsidP="001E5B24">
            <w:pPr>
              <w:bidi w:val="0"/>
              <w:jc w:val="center"/>
              <w:rPr>
                <w:rFonts w:ascii="Arial Narrow" w:hAnsi="Arial Narrow" w:cs="Arial Narrow"/>
                <w:b/>
                <w:bCs/>
                <w:sz w:val="16"/>
                <w:szCs w:val="16"/>
              </w:rPr>
            </w:pPr>
            <w:r w:rsidRPr="001D0449">
              <w:rPr>
                <w:rFonts w:ascii="Arial Narrow" w:hAnsi="Arial Narrow" w:cs="Arial Narrow"/>
                <w:b/>
                <w:bCs/>
                <w:sz w:val="16"/>
                <w:szCs w:val="16"/>
              </w:rPr>
              <w:t>2013 N</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shd w:val="clear" w:color="000000" w:fill="C0C0C0"/>
            <w:noWrap/>
            <w:textDirection w:val="lrTb"/>
            <w:vAlign w:val="bottom"/>
          </w:tcPr>
          <w:p w:rsidR="001E5B24" w:rsidRPr="00DC6C70" w:rsidP="001E5B24">
            <w:pPr>
              <w:bidi w:val="0"/>
              <w:rPr>
                <w:rFonts w:ascii="Arial Narrow" w:hAnsi="Arial Narrow" w:cs="Arial Narrow"/>
                <w:b/>
                <w:bCs/>
                <w:sz w:val="16"/>
                <w:szCs w:val="16"/>
              </w:rPr>
            </w:pPr>
            <w:r w:rsidRPr="00DC6C70">
              <w:rPr>
                <w:rFonts w:ascii="Arial Narrow" w:hAnsi="Arial Narrow" w:cs="Arial Narrow"/>
                <w:b/>
                <w:bCs/>
                <w:sz w:val="16"/>
                <w:szCs w:val="16"/>
              </w:rPr>
              <w:t>Zdroje príslušnej kapitoly</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sidRPr="00DC6C70">
              <w:rPr>
                <w:rFonts w:ascii="Arial Narrow" w:hAnsi="Arial Narrow" w:cs="Arial Narrow"/>
                <w:b/>
                <w:bCs/>
                <w:sz w:val="16"/>
                <w:szCs w:val="16"/>
              </w:rPr>
              <w:t>10 323</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sidRPr="00DC6C70">
              <w:rPr>
                <w:rFonts w:ascii="Arial Narrow" w:hAnsi="Arial Narrow" w:cs="Arial Narrow"/>
                <w:b/>
                <w:bCs/>
                <w:sz w:val="16"/>
                <w:szCs w:val="16"/>
              </w:rPr>
              <w:t>7 484</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sidRPr="00DC6C70">
              <w:rPr>
                <w:rFonts w:ascii="Arial Narrow" w:hAnsi="Arial Narrow" w:cs="Arial Narrow"/>
                <w:b/>
                <w:bCs/>
                <w:sz w:val="16"/>
                <w:szCs w:val="16"/>
              </w:rPr>
              <w:t>7 255</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Pr>
                <w:rFonts w:ascii="Arial Narrow" w:hAnsi="Arial Narrow" w:cs="Arial Narrow"/>
                <w:b/>
                <w:bCs/>
                <w:sz w:val="16"/>
                <w:szCs w:val="16"/>
              </w:rPr>
              <w:t>6 593</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sidRPr="00DC6C70">
              <w:rPr>
                <w:rFonts w:ascii="Arial Narrow" w:hAnsi="Arial Narrow" w:cs="Arial Narrow"/>
                <w:b/>
                <w:bCs/>
                <w:sz w:val="16"/>
                <w:szCs w:val="16"/>
              </w:rPr>
              <w:t>6 353</w:t>
            </w:r>
          </w:p>
        </w:tc>
        <w:tc>
          <w:tcPr>
            <w:tcW w:w="933" w:type="dxa"/>
            <w:tcBorders>
              <w:top w:val="nil"/>
              <w:left w:val="nil"/>
              <w:bottom w:val="single" w:sz="4" w:space="0" w:color="auto"/>
              <w:right w:val="single" w:sz="4" w:space="0" w:color="auto"/>
            </w:tcBorders>
            <w:shd w:val="clear" w:color="000000" w:fill="C0C0C0"/>
            <w:textDirection w:val="lrTb"/>
            <w:vAlign w:val="bottom"/>
          </w:tcPr>
          <w:p w:rsidR="001E5B24" w:rsidRPr="00DC6C70" w:rsidP="001E5B24">
            <w:pPr>
              <w:bidi w:val="0"/>
              <w:jc w:val="right"/>
              <w:rPr>
                <w:rFonts w:ascii="Arial Narrow" w:hAnsi="Arial Narrow" w:cs="Arial Narrow"/>
                <w:b/>
                <w:bCs/>
                <w:sz w:val="16"/>
                <w:szCs w:val="16"/>
              </w:rPr>
            </w:pPr>
            <w:r w:rsidRPr="00DC6C70">
              <w:rPr>
                <w:rFonts w:ascii="Arial Narrow" w:hAnsi="Arial Narrow" w:cs="Arial Narrow"/>
                <w:b/>
                <w:bCs/>
                <w:sz w:val="16"/>
                <w:szCs w:val="16"/>
              </w:rPr>
              <w:t>6 35</w:t>
            </w:r>
            <w:r>
              <w:rPr>
                <w:rFonts w:ascii="Arial Narrow" w:hAnsi="Arial Narrow" w:cs="Arial Narrow"/>
                <w:b/>
                <w:bCs/>
                <w:sz w:val="16"/>
                <w:szCs w:val="16"/>
              </w:rPr>
              <w:t>6</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DC6C70" w:rsidP="001E5B24">
            <w:pPr>
              <w:bidi w:val="0"/>
              <w:rPr>
                <w:rFonts w:ascii="Arial Narrow" w:hAnsi="Arial Narrow" w:cs="Arial Narrow"/>
                <w:sz w:val="16"/>
                <w:szCs w:val="16"/>
              </w:rPr>
            </w:pPr>
            <w:r w:rsidRPr="00DC6C70">
              <w:rPr>
                <w:rFonts w:ascii="Arial Narrow" w:hAnsi="Arial Narrow" w:cs="Arial Narrow"/>
                <w:sz w:val="16"/>
                <w:szCs w:val="16"/>
              </w:rPr>
              <w:t>z toho:</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textDirection w:val="lrTb"/>
            <w:vAlign w:val="bottom"/>
          </w:tcPr>
          <w:p w:rsidR="001E5B24" w:rsidRPr="00DC6C70" w:rsidP="001E5B24">
            <w:pPr>
              <w:bidi w:val="0"/>
              <w:rPr>
                <w:rFonts w:ascii="Arial Narrow" w:hAnsi="Arial Narrow" w:cs="Arial Narrow"/>
                <w:sz w:val="16"/>
                <w:szCs w:val="16"/>
              </w:rPr>
            </w:pPr>
            <w:r w:rsidRPr="00DC6C70">
              <w:rPr>
                <w:rFonts w:ascii="Arial Narrow" w:hAnsi="Arial Narrow" w:cs="Arial Narrow"/>
                <w:sz w:val="16"/>
                <w:szCs w:val="16"/>
              </w:rPr>
              <w:t xml:space="preserve">rozpočtové zdroje kapitoly </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xml:space="preserve">10 191 </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7 297</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7 255</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Pr>
                <w:rFonts w:ascii="Arial Narrow" w:hAnsi="Arial Narrow" w:cs="Arial Narrow"/>
                <w:sz w:val="16"/>
                <w:szCs w:val="16"/>
              </w:rPr>
              <w:t>6 593</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6 353</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6 35</w:t>
            </w:r>
            <w:r>
              <w:rPr>
                <w:rFonts w:ascii="Arial Narrow" w:hAnsi="Arial Narrow" w:cs="Arial Narrow"/>
                <w:sz w:val="16"/>
                <w:szCs w:val="16"/>
              </w:rPr>
              <w:t>6</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textDirection w:val="lrTb"/>
            <w:vAlign w:val="bottom"/>
          </w:tcPr>
          <w:p w:rsidR="001E5B24" w:rsidRPr="00DC6C70" w:rsidP="001E5B24">
            <w:pPr>
              <w:bidi w:val="0"/>
              <w:rPr>
                <w:rFonts w:ascii="Arial Narrow" w:hAnsi="Arial Narrow" w:cs="Arial Narrow"/>
                <w:sz w:val="16"/>
                <w:szCs w:val="16"/>
              </w:rPr>
            </w:pPr>
            <w:r w:rsidRPr="00DC6C70">
              <w:rPr>
                <w:rFonts w:ascii="Arial Narrow" w:hAnsi="Arial Narrow" w:cs="Arial Narrow"/>
                <w:sz w:val="16"/>
                <w:szCs w:val="16"/>
              </w:rPr>
              <w:t xml:space="preserve">presun z min. rokov § 8 </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126</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177</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shd w:val="clear" w:color="000000" w:fill="FFFFFF"/>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0</w:t>
            </w:r>
          </w:p>
        </w:tc>
        <w:tc>
          <w:tcPr>
            <w:tcW w:w="933" w:type="dxa"/>
            <w:tcBorders>
              <w:top w:val="nil"/>
              <w:left w:val="nil"/>
              <w:bottom w:val="single" w:sz="4" w:space="0" w:color="auto"/>
              <w:right w:val="single" w:sz="4" w:space="0" w:color="auto"/>
            </w:tcBorders>
            <w:shd w:val="clear" w:color="000000" w:fill="FFFFFF"/>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0</w:t>
            </w:r>
          </w:p>
        </w:tc>
        <w:tc>
          <w:tcPr>
            <w:tcW w:w="933" w:type="dxa"/>
            <w:tcBorders>
              <w:top w:val="nil"/>
              <w:left w:val="nil"/>
              <w:bottom w:val="single" w:sz="4" w:space="0" w:color="auto"/>
              <w:right w:val="single" w:sz="4" w:space="0" w:color="auto"/>
            </w:tcBorders>
            <w:shd w:val="clear" w:color="000000" w:fill="FFFFFF"/>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textDirection w:val="lrTb"/>
            <w:vAlign w:val="bottom"/>
          </w:tcPr>
          <w:p w:rsidR="001E5B24" w:rsidRPr="00DC6C70" w:rsidP="001E5B24">
            <w:pPr>
              <w:bidi w:val="0"/>
              <w:rPr>
                <w:rFonts w:ascii="Arial Narrow" w:hAnsi="Arial Narrow" w:cs="Arial Narrow"/>
                <w:sz w:val="16"/>
                <w:szCs w:val="16"/>
              </w:rPr>
            </w:pPr>
            <w:r w:rsidRPr="00DC6C70">
              <w:rPr>
                <w:rFonts w:ascii="Arial Narrow" w:hAnsi="Arial Narrow" w:cs="Arial Narrow"/>
                <w:sz w:val="16"/>
                <w:szCs w:val="16"/>
              </w:rPr>
              <w:t xml:space="preserve">zdroje EÚ vrátane spolufinancovania </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6</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xml:space="preserve"> 0</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xml:space="preserve">  0</w:t>
            </w:r>
          </w:p>
        </w:tc>
      </w:tr>
      <w:tr>
        <w:tblPrEx>
          <w:tblW w:w="9015" w:type="dxa"/>
          <w:tblInd w:w="55" w:type="dxa"/>
          <w:tblLayout w:type="fixed"/>
          <w:tblCellMar>
            <w:left w:w="70" w:type="dxa"/>
            <w:right w:w="70" w:type="dxa"/>
          </w:tblCellMar>
          <w:tblLook w:val="00A0"/>
        </w:tblPrEx>
        <w:trPr>
          <w:trHeight w:val="239"/>
        </w:trPr>
        <w:tc>
          <w:tcPr>
            <w:tcW w:w="3417" w:type="dxa"/>
            <w:tcBorders>
              <w:top w:val="nil"/>
              <w:left w:val="single" w:sz="4" w:space="0" w:color="auto"/>
              <w:bottom w:val="single" w:sz="4" w:space="0" w:color="auto"/>
              <w:right w:val="single" w:sz="4" w:space="0" w:color="auto"/>
            </w:tcBorders>
            <w:textDirection w:val="lrTb"/>
            <w:vAlign w:val="bottom"/>
          </w:tcPr>
          <w:p w:rsidR="001E5B24" w:rsidRPr="00DC6C70" w:rsidP="001E5B24">
            <w:pPr>
              <w:bidi w:val="0"/>
              <w:rPr>
                <w:rFonts w:ascii="Arial Narrow" w:hAnsi="Arial Narrow" w:cs="Arial Narrow"/>
                <w:sz w:val="16"/>
                <w:szCs w:val="16"/>
              </w:rPr>
            </w:pPr>
            <w:r w:rsidRPr="00DC6C70">
              <w:rPr>
                <w:rFonts w:ascii="Arial Narrow" w:hAnsi="Arial Narrow" w:cs="Arial Narrow"/>
                <w:sz w:val="16"/>
                <w:szCs w:val="16"/>
              </w:rPr>
              <w:t xml:space="preserve">iné zdroje: </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noWrap/>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xml:space="preserve">10 </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0</w:t>
            </w:r>
          </w:p>
        </w:tc>
        <w:tc>
          <w:tcPr>
            <w:tcW w:w="933" w:type="dxa"/>
            <w:tcBorders>
              <w:top w:val="nil"/>
              <w:left w:val="nil"/>
              <w:bottom w:val="single" w:sz="4" w:space="0" w:color="auto"/>
              <w:right w:val="single" w:sz="4" w:space="0" w:color="auto"/>
            </w:tcBorders>
            <w:textDirection w:val="lrTb"/>
            <w:vAlign w:val="bottom"/>
          </w:tcPr>
          <w:p w:rsidR="001E5B24" w:rsidRPr="00DC6C70" w:rsidP="001E5B24">
            <w:pPr>
              <w:bidi w:val="0"/>
              <w:jc w:val="right"/>
              <w:rPr>
                <w:rFonts w:ascii="Arial Narrow" w:hAnsi="Arial Narrow" w:cs="Arial Narrow"/>
                <w:sz w:val="16"/>
                <w:szCs w:val="16"/>
              </w:rPr>
            </w:pPr>
            <w:r w:rsidRPr="00DC6C70">
              <w:rPr>
                <w:rFonts w:ascii="Arial Narrow" w:hAnsi="Arial Narrow" w:cs="Arial Narrow"/>
                <w:sz w:val="16"/>
                <w:szCs w:val="16"/>
              </w:rPr>
              <w:t xml:space="preserve">   0</w:t>
            </w:r>
          </w:p>
        </w:tc>
      </w:tr>
    </w:tbl>
    <w:p w:rsidR="001E5B24" w:rsidRPr="006D38D8" w:rsidP="001E5B24">
      <w:pPr>
        <w:bidi w:val="0"/>
        <w:jc w:val="both"/>
        <w:rPr>
          <w:rFonts w:ascii="Arial Narrow" w:hAnsi="Arial Narrow" w:cs="Arial Narrow"/>
          <w:sz w:val="22"/>
          <w:szCs w:val="22"/>
        </w:rPr>
      </w:pPr>
    </w:p>
    <w:p w:rsidR="001E5B24" w:rsidRPr="006D38D8" w:rsidP="001E5B24">
      <w:pPr>
        <w:bidi w:val="0"/>
        <w:ind w:firstLine="708"/>
        <w:jc w:val="both"/>
        <w:rPr>
          <w:rFonts w:ascii="Arial Narrow" w:hAnsi="Arial Narrow" w:cs="Arial Narrow"/>
          <w:sz w:val="22"/>
          <w:szCs w:val="22"/>
        </w:rPr>
      </w:pPr>
      <w:r w:rsidRPr="006D38D8">
        <w:rPr>
          <w:rFonts w:ascii="Arial Narrow" w:hAnsi="Arial Narrow" w:cs="Arial Narrow"/>
          <w:sz w:val="22"/>
          <w:szCs w:val="22"/>
        </w:rPr>
        <w:t>V návrhu rozpočtu kapitoly na rok 2011 sú premietnuté výdavky vo výške 6,59 mil. eur, čo</w:t>
      </w:r>
      <w:r>
        <w:rPr>
          <w:rFonts w:ascii="Arial Narrow" w:hAnsi="Arial Narrow" w:cs="Arial Narrow"/>
          <w:sz w:val="22"/>
          <w:szCs w:val="22"/>
        </w:rPr>
        <w:t xml:space="preserve"> oproti schválenému rozpočtu na rok 2010 predstavuje pokles o</w:t>
      </w:r>
      <w:r w:rsidRPr="006D38D8">
        <w:rPr>
          <w:rFonts w:ascii="Arial Narrow" w:hAnsi="Arial Narrow" w:cs="Arial Narrow"/>
          <w:sz w:val="22"/>
          <w:szCs w:val="22"/>
        </w:rPr>
        <w:t> 9,13 %.</w:t>
      </w:r>
      <w:r>
        <w:rPr>
          <w:rFonts w:ascii="Arial Narrow" w:hAnsi="Arial Narrow" w:cs="Arial Narrow"/>
          <w:sz w:val="22"/>
          <w:szCs w:val="22"/>
        </w:rPr>
        <w:t xml:space="preserve"> </w:t>
      </w:r>
      <w:r w:rsidRPr="00365B3B">
        <w:rPr>
          <w:rFonts w:ascii="Arial Narrow" w:hAnsi="Arial Narrow" w:cs="Arial Narrow"/>
          <w:sz w:val="22"/>
          <w:szCs w:val="22"/>
        </w:rPr>
        <w:t>Zdroje kapitoly sú smerované na zabezpečenie úloh ústredného orgánu, rozpočtovej organizácie Slovenský</w:t>
      </w:r>
      <w:r>
        <w:rPr>
          <w:rFonts w:ascii="Arial Narrow" w:hAnsi="Arial Narrow" w:cs="Arial Narrow"/>
          <w:sz w:val="22"/>
          <w:szCs w:val="22"/>
        </w:rPr>
        <w:t xml:space="preserve"> metrologický inšpektorát</w:t>
      </w:r>
      <w:r w:rsidRPr="008A1E50">
        <w:rPr>
          <w:rFonts w:ascii="Arial Narrow" w:hAnsi="Arial Narrow" w:cs="Arial Narrow"/>
          <w:sz w:val="22"/>
          <w:szCs w:val="22"/>
        </w:rPr>
        <w:t xml:space="preserve"> a príspevkových organizácií rezortu </w:t>
      </w:r>
      <w:r>
        <w:rPr>
          <w:rFonts w:ascii="Arial Narrow" w:hAnsi="Arial Narrow" w:cs="Arial Narrow"/>
          <w:sz w:val="22"/>
          <w:szCs w:val="22"/>
        </w:rPr>
        <w:t xml:space="preserve">Slovenský ústav technickej normalizácie a Slovenský metrologický ústav </w:t>
      </w:r>
      <w:r w:rsidRPr="008A1E50">
        <w:rPr>
          <w:rFonts w:ascii="Arial Narrow" w:hAnsi="Arial Narrow" w:cs="Arial Narrow"/>
          <w:sz w:val="22"/>
          <w:szCs w:val="22"/>
        </w:rPr>
        <w:t>v oblasti štátnej politiky technickej normalizácie, metrológie, skúšobníctva, akreditácie a</w:t>
      </w:r>
      <w:r>
        <w:rPr>
          <w:rFonts w:ascii="Arial Narrow" w:hAnsi="Arial Narrow" w:cs="Arial Narrow"/>
          <w:sz w:val="22"/>
          <w:szCs w:val="22"/>
        </w:rPr>
        <w:t> </w:t>
      </w:r>
      <w:r w:rsidRPr="008A1E50">
        <w:rPr>
          <w:rFonts w:ascii="Arial Narrow" w:hAnsi="Arial Narrow" w:cs="Arial Narrow"/>
          <w:sz w:val="22"/>
          <w:szCs w:val="22"/>
        </w:rPr>
        <w:t>kvality</w:t>
      </w:r>
      <w:r>
        <w:rPr>
          <w:rFonts w:ascii="Arial Narrow" w:hAnsi="Arial Narrow" w:cs="Arial Narrow"/>
          <w:sz w:val="22"/>
          <w:szCs w:val="22"/>
        </w:rPr>
        <w:t>.</w:t>
      </w:r>
    </w:p>
    <w:p w:rsidR="001E5B24" w:rsidRPr="006D38D8" w:rsidP="001E5B24">
      <w:pPr>
        <w:bidi w:val="0"/>
        <w:ind w:firstLine="708"/>
        <w:jc w:val="both"/>
        <w:rPr>
          <w:rFonts w:ascii="Arial Narrow" w:hAnsi="Arial Narrow" w:cs="Arial Narrow"/>
          <w:sz w:val="22"/>
          <w:szCs w:val="22"/>
        </w:rPr>
      </w:pPr>
    </w:p>
    <w:p w:rsidR="001E5B24" w:rsidRPr="00365B3B" w:rsidP="001E5B24">
      <w:pPr>
        <w:bidi w:val="0"/>
        <w:ind w:firstLine="708"/>
        <w:jc w:val="both"/>
        <w:rPr>
          <w:rFonts w:ascii="Arial Narrow" w:hAnsi="Arial Narrow" w:cs="Arial Narrow"/>
          <w:sz w:val="22"/>
          <w:szCs w:val="22"/>
        </w:rPr>
      </w:pPr>
      <w:r w:rsidRPr="00365B3B">
        <w:rPr>
          <w:rFonts w:ascii="Arial Narrow" w:hAnsi="Arial Narrow" w:cs="Arial Narrow"/>
          <w:sz w:val="22"/>
          <w:szCs w:val="22"/>
        </w:rPr>
        <w:t xml:space="preserve">Objem osobných výdavkov sa </w:t>
      </w:r>
      <w:r>
        <w:rPr>
          <w:rFonts w:ascii="Arial Narrow" w:hAnsi="Arial Narrow" w:cs="Arial Narrow"/>
          <w:sz w:val="22"/>
          <w:szCs w:val="22"/>
        </w:rPr>
        <w:t>na</w:t>
      </w:r>
      <w:r w:rsidRPr="00365B3B">
        <w:rPr>
          <w:rFonts w:ascii="Arial Narrow" w:hAnsi="Arial Narrow" w:cs="Arial Narrow"/>
          <w:sz w:val="22"/>
          <w:szCs w:val="22"/>
        </w:rPr>
        <w:t xml:space="preserve"> rok 2011 rozpočtuje na úrovni 1,32 mil. </w:t>
      </w:r>
      <w:r>
        <w:rPr>
          <w:rFonts w:ascii="Arial Narrow" w:hAnsi="Arial Narrow" w:cs="Arial Narrow"/>
          <w:sz w:val="22"/>
          <w:szCs w:val="22"/>
        </w:rPr>
        <w:t>eur</w:t>
      </w:r>
      <w:r w:rsidRPr="00365B3B">
        <w:rPr>
          <w:rFonts w:ascii="Arial Narrow" w:hAnsi="Arial Narrow" w:cs="Arial Narrow"/>
          <w:sz w:val="22"/>
          <w:szCs w:val="22"/>
        </w:rPr>
        <w:t xml:space="preserve">, čo v porovnaní so schváleným </w:t>
      </w:r>
      <w:r>
        <w:rPr>
          <w:rFonts w:ascii="Arial Narrow" w:hAnsi="Arial Narrow" w:cs="Arial Narrow"/>
          <w:sz w:val="22"/>
          <w:szCs w:val="22"/>
        </w:rPr>
        <w:t>rozpočtom na rok</w:t>
      </w:r>
      <w:r w:rsidRPr="00D269FC">
        <w:rPr>
          <w:rFonts w:ascii="Arial Narrow" w:hAnsi="Arial Narrow" w:cs="Arial Narrow"/>
          <w:sz w:val="22"/>
          <w:szCs w:val="22"/>
        </w:rPr>
        <w:t xml:space="preserve"> </w:t>
      </w:r>
      <w:r w:rsidRPr="00365B3B">
        <w:rPr>
          <w:rFonts w:ascii="Arial Narrow" w:hAnsi="Arial Narrow" w:cs="Arial Narrow"/>
          <w:sz w:val="22"/>
          <w:szCs w:val="22"/>
        </w:rPr>
        <w:t xml:space="preserve">2010 predstavuje pokles o 9,53% (138 tis. </w:t>
      </w:r>
      <w:r>
        <w:rPr>
          <w:rFonts w:ascii="Arial Narrow" w:hAnsi="Arial Narrow" w:cs="Arial Narrow"/>
          <w:sz w:val="22"/>
          <w:szCs w:val="22"/>
        </w:rPr>
        <w:t>eur</w:t>
      </w:r>
      <w:r w:rsidRPr="00365B3B">
        <w:rPr>
          <w:rFonts w:ascii="Arial Narrow" w:hAnsi="Arial Narrow" w:cs="Arial Narrow"/>
          <w:sz w:val="22"/>
          <w:szCs w:val="22"/>
        </w:rPr>
        <w:t xml:space="preserve">). Medziročný pokles osobných výdavkov je ovplyvnený viazaním osobných výdavkov na úrovni 10 % </w:t>
      </w:r>
      <w:r w:rsidR="00271764">
        <w:rPr>
          <w:rFonts w:ascii="Arial Narrow" w:hAnsi="Arial Narrow" w:cs="Arial Narrow"/>
          <w:sz w:val="22"/>
          <w:szCs w:val="22"/>
        </w:rPr>
        <w:t>pre</w:t>
      </w:r>
      <w:r w:rsidRPr="00365B3B">
        <w:rPr>
          <w:rFonts w:ascii="Arial Narrow" w:hAnsi="Arial Narrow" w:cs="Arial Narrow"/>
          <w:sz w:val="22"/>
          <w:szCs w:val="22"/>
        </w:rPr>
        <w:t xml:space="preserve"> štátnych zamestnancov a zamestnancov pri výkone práce vo verejnom záujme pri zohľadnení dopočtu 1% valorizácie z roku 2010. </w:t>
      </w:r>
    </w:p>
    <w:p w:rsidR="001E5B24" w:rsidRPr="00365B3B"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365B3B">
        <w:rPr>
          <w:rFonts w:ascii="Arial Narrow" w:hAnsi="Arial Narrow" w:cs="Arial Narrow"/>
          <w:sz w:val="22"/>
          <w:szCs w:val="22"/>
        </w:rPr>
        <w:t xml:space="preserve">Výdavky kapitoly </w:t>
      </w:r>
      <w:r>
        <w:rPr>
          <w:rFonts w:ascii="Arial Narrow" w:hAnsi="Arial Narrow" w:cs="Arial Narrow"/>
          <w:sz w:val="22"/>
          <w:szCs w:val="22"/>
        </w:rPr>
        <w:t>n</w:t>
      </w:r>
      <w:r w:rsidRPr="00365B3B">
        <w:rPr>
          <w:rFonts w:ascii="Arial Narrow" w:hAnsi="Arial Narrow" w:cs="Arial Narrow"/>
          <w:sz w:val="22"/>
          <w:szCs w:val="22"/>
        </w:rPr>
        <w:t xml:space="preserve">a tovary a služby </w:t>
      </w:r>
      <w:r>
        <w:rPr>
          <w:rFonts w:ascii="Arial Narrow" w:hAnsi="Arial Narrow" w:cs="Arial Narrow"/>
          <w:sz w:val="22"/>
          <w:szCs w:val="22"/>
        </w:rPr>
        <w:t xml:space="preserve">rozpočtované v roku 2011 v sume 1,66 mil. eur v porovnaní so schváleným rozpočtom na rok 2010 </w:t>
      </w:r>
      <w:r w:rsidRPr="00365B3B">
        <w:rPr>
          <w:rFonts w:ascii="Arial Narrow" w:hAnsi="Arial Narrow" w:cs="Arial Narrow"/>
          <w:sz w:val="22"/>
          <w:szCs w:val="22"/>
        </w:rPr>
        <w:t xml:space="preserve">klesajú o 10 %, </w:t>
      </w:r>
      <w:r>
        <w:rPr>
          <w:rFonts w:ascii="Arial Narrow" w:hAnsi="Arial Narrow" w:cs="Arial Narrow"/>
          <w:sz w:val="22"/>
          <w:szCs w:val="22"/>
        </w:rPr>
        <w:t>najmä z dôvodu poklesu výdavkov na služby a cestovné.</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Výdavky na</w:t>
      </w:r>
      <w:r w:rsidRPr="00365B3B">
        <w:rPr>
          <w:rFonts w:ascii="Arial Narrow" w:hAnsi="Arial Narrow" w:cs="Arial Narrow"/>
          <w:sz w:val="22"/>
          <w:szCs w:val="22"/>
        </w:rPr>
        <w:t xml:space="preserve"> bežné transfery </w:t>
      </w:r>
      <w:r>
        <w:rPr>
          <w:rFonts w:ascii="Arial Narrow" w:hAnsi="Arial Narrow" w:cs="Arial Narrow"/>
          <w:sz w:val="22"/>
          <w:szCs w:val="22"/>
        </w:rPr>
        <w:t>rozpočtované vo výške 3,59 mil. eur sú v porovnaní so schválených rozpočtom na rok 2010 nižšie o 8,47 % najmä z dôvodu poklesu transferov príspevkovým organizáciám.</w:t>
      </w:r>
    </w:p>
    <w:p w:rsidR="001E5B24" w:rsidP="001E5B24">
      <w:pPr>
        <w:bidi w:val="0"/>
        <w:ind w:firstLine="708"/>
        <w:jc w:val="both"/>
        <w:rPr>
          <w:rFonts w:ascii="Arial Narrow" w:hAnsi="Arial Narrow" w:cs="Arial Narrow"/>
          <w:sz w:val="22"/>
          <w:szCs w:val="22"/>
        </w:rPr>
      </w:pPr>
    </w:p>
    <w:p w:rsidR="001E5B24" w:rsidRPr="00365B3B" w:rsidP="001E5B24">
      <w:pPr>
        <w:bidi w:val="0"/>
        <w:ind w:firstLine="708"/>
        <w:jc w:val="both"/>
        <w:rPr>
          <w:rFonts w:ascii="Arial Narrow" w:hAnsi="Arial Narrow" w:cs="Arial Narrow"/>
          <w:sz w:val="22"/>
          <w:szCs w:val="22"/>
        </w:rPr>
      </w:pPr>
      <w:r>
        <w:rPr>
          <w:rFonts w:ascii="Arial Narrow" w:hAnsi="Arial Narrow" w:cs="Arial Narrow"/>
          <w:sz w:val="22"/>
          <w:szCs w:val="22"/>
        </w:rPr>
        <w:t>K</w:t>
      </w:r>
      <w:r w:rsidRPr="00365B3B">
        <w:rPr>
          <w:rFonts w:ascii="Arial Narrow" w:hAnsi="Arial Narrow" w:cs="Arial Narrow"/>
          <w:sz w:val="22"/>
          <w:szCs w:val="22"/>
        </w:rPr>
        <w:t>apitálové výdavky</w:t>
      </w:r>
      <w:r>
        <w:rPr>
          <w:rFonts w:ascii="Arial Narrow" w:hAnsi="Arial Narrow" w:cs="Arial Narrow"/>
          <w:sz w:val="22"/>
          <w:szCs w:val="22"/>
        </w:rPr>
        <w:t xml:space="preserve"> sú v návrhu rozpočtu na rok 2011 stanovené vo výške 31 tis. eur a sú určené na rekonštrukciu a modernizáciu. V porovnaní so schváleným rozpočtom na rok 2010, v ktorom boli výdavky v tejto oblasti rozpočtované na obstaranie prevádzkových prístrojov, klesajú o 19,2 %.</w:t>
      </w:r>
    </w:p>
    <w:p w:rsidR="001E5B24" w:rsidP="001E5B24">
      <w:pPr>
        <w:bidi w:val="0"/>
        <w:ind w:firstLine="708"/>
        <w:jc w:val="both"/>
        <w:rPr>
          <w:rFonts w:ascii="Arial Narrow" w:hAnsi="Arial Narrow" w:cs="Arial Narrow"/>
          <w:sz w:val="22"/>
          <w:szCs w:val="22"/>
        </w:rPr>
      </w:pPr>
    </w:p>
    <w:p w:rsidR="001E5B24" w:rsidRPr="00BC1607" w:rsidP="001E5B24">
      <w:pPr>
        <w:bidi w:val="0"/>
        <w:ind w:firstLine="708"/>
        <w:jc w:val="both"/>
        <w:rPr>
          <w:rFonts w:ascii="Arial Narrow" w:hAnsi="Arial Narrow" w:cs="Arial Narrow"/>
          <w:sz w:val="22"/>
          <w:szCs w:val="22"/>
        </w:rPr>
      </w:pPr>
    </w:p>
    <w:p w:rsidR="001E5B24" w:rsidRPr="001F30F9" w:rsidP="001E5B24">
      <w:pPr>
        <w:pBdr>
          <w:bottom w:val="single" w:sz="4" w:space="1" w:color="auto"/>
        </w:pBdr>
        <w:bidi w:val="0"/>
        <w:jc w:val="both"/>
        <w:outlineLvl w:val="0"/>
        <w:rPr>
          <w:rFonts w:ascii="Arial Narrow" w:hAnsi="Arial Narrow" w:cs="Arial Narrow"/>
          <w:b/>
          <w:bCs/>
          <w:sz w:val="22"/>
          <w:szCs w:val="22"/>
        </w:rPr>
      </w:pPr>
      <w:bookmarkStart w:id="68" w:name="_Toc108849143"/>
      <w:r w:rsidRPr="001F30F9">
        <w:rPr>
          <w:rFonts w:ascii="Arial Narrow" w:hAnsi="Arial Narrow" w:cs="Arial Narrow"/>
          <w:b/>
          <w:bCs/>
          <w:sz w:val="22"/>
          <w:szCs w:val="22"/>
        </w:rPr>
        <w:t>Protimonopolný úrad SR</w:t>
      </w:r>
      <w:bookmarkEnd w:id="68"/>
    </w:p>
    <w:p w:rsidR="001E5B24" w:rsidP="001E5B24">
      <w:pPr>
        <w:bidi w:val="0"/>
        <w:jc w:val="both"/>
        <w:rPr>
          <w:rFonts w:ascii="Arial Narrow" w:hAnsi="Arial Narrow" w:cs="Arial Narrow"/>
          <w:b/>
          <w:bCs/>
          <w:sz w:val="22"/>
          <w:szCs w:val="22"/>
        </w:rPr>
      </w:pPr>
    </w:p>
    <w:p w:rsidR="001E5B24" w:rsidP="001E5B24">
      <w:pPr>
        <w:bidi w:val="0"/>
        <w:ind w:firstLine="708"/>
        <w:jc w:val="both"/>
        <w:rPr>
          <w:rFonts w:ascii="Arial Narrow" w:hAnsi="Arial Narrow" w:cs="Arial Narrow"/>
          <w:sz w:val="22"/>
          <w:szCs w:val="22"/>
        </w:rPr>
      </w:pPr>
      <w:r w:rsidRPr="0073721A">
        <w:rPr>
          <w:rFonts w:ascii="Arial Narrow" w:hAnsi="Arial Narrow" w:cs="Arial Narrow"/>
          <w:color w:val="000000"/>
          <w:sz w:val="22"/>
          <w:szCs w:val="22"/>
        </w:rPr>
        <w:t>Hlavnou</w:t>
      </w:r>
      <w:r>
        <w:rPr>
          <w:rFonts w:ascii="Arial Narrow" w:hAnsi="Arial Narrow" w:cs="Arial Narrow"/>
          <w:color w:val="000000"/>
          <w:sz w:val="22"/>
          <w:szCs w:val="22"/>
        </w:rPr>
        <w:t xml:space="preserve"> náplňou činnosti Protimonopolného úradu SR je ochrana hospodárskej súťaže. Cieľom</w:t>
      </w:r>
      <w:r w:rsidRPr="00A56739">
        <w:rPr>
          <w:rFonts w:ascii="Arial Narrow" w:hAnsi="Arial Narrow" w:cs="Arial Narrow"/>
          <w:color w:val="000000"/>
          <w:sz w:val="22"/>
          <w:szCs w:val="22"/>
        </w:rPr>
        <w:t xml:space="preserve"> ochrany hospodárskej súťaže je chrániť a napomáhať rozvíjaniu konkurenčných podmienok. Konkurenčná politika je aj nástrojom na vytvorenie atraktívneho prostredia pre i</w:t>
      </w:r>
      <w:r>
        <w:rPr>
          <w:rFonts w:ascii="Arial Narrow" w:hAnsi="Arial Narrow" w:cs="Arial Narrow"/>
          <w:color w:val="000000"/>
          <w:sz w:val="22"/>
          <w:szCs w:val="22"/>
        </w:rPr>
        <w:t xml:space="preserve">nvestície a pre rast pracovných </w:t>
      </w:r>
      <w:r w:rsidRPr="00A56739">
        <w:rPr>
          <w:rFonts w:ascii="Arial Narrow" w:hAnsi="Arial Narrow" w:cs="Arial Narrow"/>
          <w:color w:val="000000"/>
          <w:sz w:val="22"/>
          <w:szCs w:val="22"/>
        </w:rPr>
        <w:t>miest, preto pôsobí na zabezpečenie dlhodobo u</w:t>
      </w:r>
      <w:r>
        <w:rPr>
          <w:rFonts w:ascii="Arial Narrow" w:hAnsi="Arial Narrow" w:cs="Arial Narrow"/>
          <w:color w:val="000000"/>
          <w:sz w:val="22"/>
          <w:szCs w:val="22"/>
        </w:rPr>
        <w:t>držateľného rastu a konkurencie</w:t>
      </w:r>
      <w:r w:rsidRPr="00A56739">
        <w:rPr>
          <w:rFonts w:ascii="Arial Narrow" w:hAnsi="Arial Narrow" w:cs="Arial Narrow"/>
          <w:color w:val="000000"/>
          <w:sz w:val="22"/>
          <w:szCs w:val="22"/>
        </w:rPr>
        <w:t>schopnosti ekonomiky.</w:t>
      </w:r>
      <w:r>
        <w:rPr>
          <w:rFonts w:ascii="Arial Narrow" w:hAnsi="Arial Narrow" w:cs="Arial Narrow"/>
          <w:color w:val="000000"/>
          <w:sz w:val="22"/>
          <w:szCs w:val="22"/>
        </w:rPr>
        <w:t xml:space="preserve"> </w:t>
      </w:r>
      <w:r w:rsidRPr="00A56739">
        <w:rPr>
          <w:rFonts w:ascii="Arial Narrow" w:hAnsi="Arial Narrow" w:cs="Arial Narrow"/>
          <w:color w:val="000000"/>
          <w:sz w:val="22"/>
          <w:szCs w:val="22"/>
        </w:rPr>
        <w:t>Hospodárska súťaž je nástroj na riešenie trhových zlyhaní, ktoré vyplýv</w:t>
      </w:r>
      <w:r>
        <w:rPr>
          <w:rFonts w:ascii="Arial Narrow" w:hAnsi="Arial Narrow" w:cs="Arial Narrow"/>
          <w:color w:val="000000"/>
          <w:sz w:val="22"/>
          <w:szCs w:val="22"/>
        </w:rPr>
        <w:t xml:space="preserve">ajú z nedostatku konkurencie. </w:t>
      </w:r>
      <w:r w:rsidRPr="00A56739">
        <w:rPr>
          <w:rFonts w:ascii="Arial Narrow" w:hAnsi="Arial Narrow" w:cs="Arial Narrow"/>
          <w:color w:val="000000"/>
          <w:sz w:val="22"/>
          <w:szCs w:val="22"/>
        </w:rPr>
        <w:t>Korekcie, ktoré vykonáva úrad</w:t>
      </w:r>
      <w:r>
        <w:rPr>
          <w:rFonts w:ascii="Arial Narrow" w:hAnsi="Arial Narrow" w:cs="Arial Narrow"/>
          <w:color w:val="000000"/>
          <w:sz w:val="22"/>
          <w:szCs w:val="22"/>
        </w:rPr>
        <w:t>,</w:t>
      </w:r>
      <w:r w:rsidRPr="00A56739">
        <w:rPr>
          <w:rFonts w:ascii="Arial Narrow" w:hAnsi="Arial Narrow" w:cs="Arial Narrow"/>
          <w:color w:val="000000"/>
          <w:sz w:val="22"/>
          <w:szCs w:val="22"/>
        </w:rPr>
        <w:t xml:space="preserve"> vychádzajú z kompetencií, ktoré mu zveril zákonodarca</w:t>
      </w:r>
      <w:hyperlink r:id="rId8" w:history="1">
        <w:r w:rsidRPr="00A56739">
          <w:rPr>
            <w:rFonts w:ascii="Arial Narrow" w:hAnsi="Arial Narrow" w:cs="Arial Narrow"/>
            <w:sz w:val="22"/>
            <w:szCs w:val="22"/>
          </w:rPr>
          <w:t xml:space="preserve"> v zákone č. 136/2001 Z.z. o ochrane hospodárskej súťaže.</w:t>
        </w:r>
      </w:hyperlink>
      <w:r w:rsidRPr="00A56739">
        <w:rPr>
          <w:rFonts w:ascii="Arial Narrow" w:hAnsi="Arial Narrow" w:cs="Arial Narrow"/>
          <w:sz w:val="22"/>
          <w:szCs w:val="22"/>
        </w:rPr>
        <w:t xml:space="preserve"> Ide o činnosti spojené s </w:t>
      </w:r>
      <w:r w:rsidRPr="00E2169C">
        <w:rPr>
          <w:rFonts w:ascii="Arial Narrow" w:hAnsi="Arial Narrow" w:cs="Arial Narrow"/>
          <w:color w:val="000000"/>
          <w:sz w:val="22"/>
          <w:szCs w:val="22"/>
        </w:rPr>
        <w:t>povoľovaním spájania podnikateľov, čím sa snaží</w:t>
      </w:r>
      <w:r>
        <w:rPr>
          <w:rFonts w:ascii="Arial Narrow" w:hAnsi="Arial Narrow" w:cs="Arial Narrow"/>
          <w:color w:val="000000"/>
          <w:sz w:val="22"/>
          <w:szCs w:val="22"/>
        </w:rPr>
        <w:t xml:space="preserve"> zabrániť </w:t>
      </w:r>
      <w:r w:rsidRPr="00E2169C">
        <w:rPr>
          <w:rFonts w:ascii="Arial Narrow" w:hAnsi="Arial Narrow" w:cs="Arial Narrow"/>
          <w:color w:val="000000"/>
          <w:sz w:val="22"/>
          <w:szCs w:val="22"/>
        </w:rPr>
        <w:t xml:space="preserve">deformácii alebo úplnému vylúčeniu konkurencie. </w:t>
      </w:r>
      <w:r>
        <w:rPr>
          <w:rFonts w:ascii="Arial Narrow" w:hAnsi="Arial Narrow" w:cs="Arial Narrow"/>
          <w:color w:val="000000"/>
          <w:sz w:val="22"/>
          <w:szCs w:val="22"/>
        </w:rPr>
        <w:t>Dôležitou úlohou úradu je aj predchádzať zneužívaniu dominantného postavenia alebo zabrániť dohodám obmedzujúcim súťaž.</w:t>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Look w:val="00A0"/>
      </w:tblPr>
      <w:tblGrid>
        <w:gridCol w:w="3405"/>
        <w:gridCol w:w="957"/>
        <w:gridCol w:w="956"/>
        <w:gridCol w:w="956"/>
        <w:gridCol w:w="956"/>
        <w:gridCol w:w="956"/>
        <w:gridCol w:w="956"/>
      </w:tblGrid>
      <w:tr>
        <w:tblPrEx>
          <w:tblW w:w="4962" w:type="pct"/>
          <w:tblInd w:w="70" w:type="dxa"/>
          <w:tblCellMar>
            <w:left w:w="70" w:type="dxa"/>
            <w:right w:w="70" w:type="dxa"/>
          </w:tblCellMar>
          <w:tblLook w:val="00A0"/>
        </w:tblPrEx>
        <w:trPr>
          <w:trHeight w:val="255"/>
        </w:trPr>
        <w:tc>
          <w:tcPr>
            <w:tcW w:w="186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1E5B24" w:rsidRPr="00813904" w:rsidP="001E5B24">
            <w:pPr>
              <w:bidi w:val="0"/>
              <w:rPr>
                <w:rFonts w:ascii="Arial Narrow" w:hAnsi="Arial Narrow" w:cs="Arial Narrow"/>
                <w:b/>
                <w:bCs/>
                <w:sz w:val="16"/>
                <w:szCs w:val="16"/>
              </w:rPr>
            </w:pPr>
            <w:r w:rsidRPr="00813904">
              <w:rPr>
                <w:rFonts w:ascii="Arial Narrow" w:hAnsi="Arial Narrow" w:cs="Arial Narrow"/>
                <w:b/>
                <w:bCs/>
                <w:sz w:val="16"/>
                <w:szCs w:val="16"/>
              </w:rPr>
              <w:t>v</w:t>
            </w:r>
            <w:r>
              <w:rPr>
                <w:rFonts w:ascii="Arial Narrow" w:hAnsi="Arial Narrow" w:cs="Arial Narrow"/>
                <w:b/>
                <w:bCs/>
                <w:sz w:val="16"/>
                <w:szCs w:val="16"/>
              </w:rPr>
              <w:t xml:space="preserve"> tis. </w:t>
            </w:r>
            <w:r w:rsidRPr="00813904">
              <w:rPr>
                <w:rFonts w:ascii="Arial Narrow" w:hAnsi="Arial Narrow" w:cs="Arial Narrow"/>
                <w:b/>
                <w:bCs/>
                <w:sz w:val="16"/>
                <w:szCs w:val="16"/>
              </w:rPr>
              <w:t>eur</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2008 S</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2009 S</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2010 R</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2011 N</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2012 N</w:t>
            </w:r>
          </w:p>
        </w:tc>
        <w:tc>
          <w:tcPr>
            <w:tcW w:w="523" w:type="pct"/>
            <w:tcBorders>
              <w:top w:val="single" w:sz="4" w:space="0" w:color="auto"/>
              <w:left w:val="nil"/>
              <w:bottom w:val="single" w:sz="4" w:space="0" w:color="auto"/>
              <w:right w:val="single" w:sz="4" w:space="0" w:color="auto"/>
            </w:tcBorders>
            <w:shd w:val="clear" w:color="000000" w:fill="FFFFFF"/>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2013 N</w:t>
            </w:r>
          </w:p>
        </w:tc>
      </w:tr>
      <w:tr>
        <w:tblPrEx>
          <w:tblW w:w="4962" w:type="pct"/>
          <w:tblInd w:w="70" w:type="dxa"/>
          <w:tblCellMar>
            <w:left w:w="70" w:type="dxa"/>
            <w:right w:w="70" w:type="dxa"/>
          </w:tblCellMar>
          <w:tblLook w:val="00A0"/>
        </w:tblPrEx>
        <w:trPr>
          <w:trHeight w:val="255"/>
        </w:trPr>
        <w:tc>
          <w:tcPr>
            <w:tcW w:w="1862" w:type="pct"/>
            <w:tcBorders>
              <w:top w:val="nil"/>
              <w:left w:val="single" w:sz="4" w:space="0" w:color="auto"/>
              <w:bottom w:val="single" w:sz="4" w:space="0" w:color="auto"/>
              <w:right w:val="single" w:sz="4" w:space="0" w:color="auto"/>
            </w:tcBorders>
            <w:noWrap/>
            <w:textDirection w:val="lrTb"/>
            <w:vAlign w:val="bottom"/>
          </w:tcPr>
          <w:p w:rsidR="001E5B24" w:rsidRPr="00A33AEF" w:rsidP="001E5B24">
            <w:pPr>
              <w:bidi w:val="0"/>
              <w:rPr>
                <w:rFonts w:ascii="Arial Narrow" w:hAnsi="Arial Narrow" w:cs="Arial Narrow"/>
                <w:b/>
                <w:bCs/>
                <w:sz w:val="16"/>
                <w:szCs w:val="16"/>
              </w:rPr>
            </w:pPr>
            <w:r w:rsidRPr="00813904">
              <w:rPr>
                <w:rFonts w:ascii="Arial Narrow" w:hAnsi="Arial Narrow" w:cs="Arial Narrow"/>
                <w:sz w:val="16"/>
                <w:szCs w:val="16"/>
              </w:rPr>
              <w:t>Zdroje príslušnej kapitoly</w:t>
            </w:r>
          </w:p>
        </w:tc>
        <w:tc>
          <w:tcPr>
            <w:tcW w:w="523" w:type="pct"/>
            <w:tcBorders>
              <w:top w:val="nil"/>
              <w:left w:val="nil"/>
              <w:bottom w:val="single" w:sz="4" w:space="0" w:color="auto"/>
              <w:right w:val="single" w:sz="4" w:space="0" w:color="auto"/>
            </w:tcBorders>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3 787</w:t>
            </w:r>
          </w:p>
        </w:tc>
        <w:tc>
          <w:tcPr>
            <w:tcW w:w="523" w:type="pct"/>
            <w:tcBorders>
              <w:top w:val="nil"/>
              <w:left w:val="nil"/>
              <w:bottom w:val="single" w:sz="4" w:space="0" w:color="auto"/>
              <w:right w:val="single" w:sz="4" w:space="0" w:color="auto"/>
            </w:tcBorders>
            <w:noWrap/>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5 669</w:t>
            </w:r>
          </w:p>
        </w:tc>
        <w:tc>
          <w:tcPr>
            <w:tcW w:w="523" w:type="pct"/>
            <w:tcBorders>
              <w:top w:val="nil"/>
              <w:left w:val="nil"/>
              <w:bottom w:val="single" w:sz="4" w:space="0" w:color="auto"/>
              <w:right w:val="single" w:sz="4" w:space="0" w:color="auto"/>
            </w:tcBorders>
            <w:noWrap/>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2 368</w:t>
            </w:r>
          </w:p>
        </w:tc>
        <w:tc>
          <w:tcPr>
            <w:tcW w:w="523" w:type="pct"/>
            <w:tcBorders>
              <w:top w:val="nil"/>
              <w:left w:val="nil"/>
              <w:bottom w:val="single" w:sz="4" w:space="0" w:color="auto"/>
              <w:right w:val="single" w:sz="4" w:space="0" w:color="auto"/>
            </w:tcBorders>
            <w:noWrap/>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2 145</w:t>
            </w:r>
          </w:p>
        </w:tc>
        <w:tc>
          <w:tcPr>
            <w:tcW w:w="523" w:type="pct"/>
            <w:tcBorders>
              <w:top w:val="nil"/>
              <w:left w:val="nil"/>
              <w:bottom w:val="single" w:sz="4" w:space="0" w:color="auto"/>
              <w:right w:val="single" w:sz="4" w:space="0" w:color="auto"/>
            </w:tcBorders>
            <w:noWrap/>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2 145</w:t>
            </w:r>
          </w:p>
        </w:tc>
        <w:tc>
          <w:tcPr>
            <w:tcW w:w="523" w:type="pct"/>
            <w:tcBorders>
              <w:top w:val="nil"/>
              <w:left w:val="nil"/>
              <w:bottom w:val="single" w:sz="4" w:space="0" w:color="auto"/>
              <w:right w:val="single" w:sz="4" w:space="0" w:color="auto"/>
            </w:tcBorders>
            <w:noWrap/>
            <w:textDirection w:val="lrTb"/>
            <w:vAlign w:val="bottom"/>
          </w:tcPr>
          <w:p w:rsidR="001E5B24" w:rsidRPr="00A33AEF" w:rsidP="001E5B24">
            <w:pPr>
              <w:bidi w:val="0"/>
              <w:jc w:val="right"/>
              <w:rPr>
                <w:rFonts w:ascii="Arial Narrow" w:hAnsi="Arial Narrow" w:cs="Arial Narrow"/>
                <w:sz w:val="16"/>
                <w:szCs w:val="16"/>
              </w:rPr>
            </w:pPr>
            <w:r w:rsidRPr="00A33AEF">
              <w:rPr>
                <w:rFonts w:ascii="Arial Narrow" w:hAnsi="Arial Narrow" w:cs="Arial Narrow"/>
                <w:sz w:val="16"/>
                <w:szCs w:val="16"/>
              </w:rPr>
              <w:t>2 145</w:t>
            </w:r>
          </w:p>
        </w:tc>
      </w:tr>
    </w:tbl>
    <w:p w:rsidR="001E5B24" w:rsidRPr="00F86134" w:rsidP="001E5B24">
      <w:pPr>
        <w:bidi w:val="0"/>
        <w:jc w:val="both"/>
        <w:rPr>
          <w:rFonts w:ascii="Arial Narrow" w:hAnsi="Arial Narrow" w:cs="Arial Narrow"/>
          <w:sz w:val="22"/>
          <w:szCs w:val="22"/>
        </w:rPr>
      </w:pPr>
    </w:p>
    <w:p w:rsidR="001E5B24" w:rsidRPr="00967A6F" w:rsidP="001E5B24">
      <w:pPr>
        <w:bidi w:val="0"/>
        <w:ind w:firstLine="708"/>
        <w:jc w:val="both"/>
        <w:rPr>
          <w:rFonts w:ascii="Arial Narrow" w:hAnsi="Arial Narrow" w:cs="Arial Narrow"/>
          <w:sz w:val="22"/>
          <w:szCs w:val="22"/>
        </w:rPr>
      </w:pPr>
      <w:r w:rsidRPr="000301B0">
        <w:rPr>
          <w:rFonts w:ascii="Arial Narrow" w:hAnsi="Arial Narrow" w:cs="Arial Narrow"/>
          <w:sz w:val="22"/>
          <w:szCs w:val="22"/>
        </w:rPr>
        <w:t>Výdavky úradu sa v roku 2011 rozpočtujú v sume 2,15 mil. eur, čo v porovnaní so schváleným</w:t>
      </w:r>
      <w:r>
        <w:rPr>
          <w:rFonts w:ascii="Arial Narrow" w:hAnsi="Arial Narrow" w:cs="Arial Narrow"/>
          <w:sz w:val="22"/>
          <w:szCs w:val="22"/>
        </w:rPr>
        <w:t xml:space="preserve"> rozpočtom v roku 2010 predstavuje pokles o 9,4% a v porovnaní s upraveným rozpočtom roka 2010 klesajú výdavky o 10,1%.</w:t>
      </w:r>
    </w:p>
    <w:p w:rsidR="001E5B24" w:rsidP="001E5B24">
      <w:pPr>
        <w:bidi w:val="0"/>
        <w:ind w:firstLine="708"/>
        <w:jc w:val="both"/>
        <w:rPr>
          <w:rFonts w:ascii="Arial Narrow" w:hAnsi="Arial Narrow" w:cs="Arial Narrow"/>
          <w:sz w:val="22"/>
          <w:szCs w:val="22"/>
        </w:rPr>
      </w:pPr>
    </w:p>
    <w:p w:rsidR="001E5B24" w:rsidRPr="004D64AC" w:rsidP="001E5B24">
      <w:pPr>
        <w:bidi w:val="0"/>
        <w:ind w:firstLine="708"/>
        <w:jc w:val="both"/>
        <w:rPr>
          <w:rFonts w:ascii="Arial Narrow" w:hAnsi="Arial Narrow" w:cs="Arial Narrow"/>
          <w:sz w:val="22"/>
          <w:szCs w:val="22"/>
        </w:rPr>
      </w:pPr>
      <w:r w:rsidRPr="004D64AC">
        <w:rPr>
          <w:rFonts w:ascii="Arial Narrow" w:hAnsi="Arial Narrow" w:cs="Arial Narrow"/>
          <w:sz w:val="22"/>
          <w:szCs w:val="22"/>
        </w:rPr>
        <w:t xml:space="preserve">Objem osobných výdavkov sa </w:t>
      </w:r>
      <w:r>
        <w:rPr>
          <w:rFonts w:ascii="Arial Narrow" w:hAnsi="Arial Narrow" w:cs="Arial Narrow"/>
          <w:sz w:val="22"/>
          <w:szCs w:val="22"/>
        </w:rPr>
        <w:t>na</w:t>
      </w:r>
      <w:r w:rsidRPr="004D64AC">
        <w:rPr>
          <w:rFonts w:ascii="Arial Narrow" w:hAnsi="Arial Narrow" w:cs="Arial Narrow"/>
          <w:sz w:val="22"/>
          <w:szCs w:val="22"/>
        </w:rPr>
        <w:t xml:space="preserve"> rok 2011 </w:t>
      </w:r>
      <w:r>
        <w:rPr>
          <w:rFonts w:ascii="Arial Narrow" w:hAnsi="Arial Narrow" w:cs="Arial Narrow"/>
          <w:sz w:val="22"/>
          <w:szCs w:val="22"/>
        </w:rPr>
        <w:t>rozpočtuje na úrovni 1,52 mil. eur</w:t>
      </w:r>
      <w:r w:rsidRPr="004D64AC">
        <w:rPr>
          <w:rFonts w:ascii="Arial Narrow" w:hAnsi="Arial Narrow" w:cs="Arial Narrow"/>
          <w:sz w:val="22"/>
          <w:szCs w:val="22"/>
        </w:rPr>
        <w:t xml:space="preserve">, čo v porovnaní so schváleným </w:t>
      </w:r>
      <w:r>
        <w:rPr>
          <w:rFonts w:ascii="Arial Narrow" w:hAnsi="Arial Narrow" w:cs="Arial Narrow"/>
          <w:sz w:val="22"/>
          <w:szCs w:val="22"/>
        </w:rPr>
        <w:t>rozpočtom v roku</w:t>
      </w:r>
      <w:r w:rsidRPr="004D64AC">
        <w:rPr>
          <w:rFonts w:ascii="Arial Narrow" w:hAnsi="Arial Narrow" w:cs="Arial Narrow"/>
          <w:sz w:val="22"/>
          <w:szCs w:val="22"/>
        </w:rPr>
        <w:t xml:space="preserve"> 2010 predst</w:t>
      </w:r>
      <w:r>
        <w:rPr>
          <w:rFonts w:ascii="Arial Narrow" w:hAnsi="Arial Narrow" w:cs="Arial Narrow"/>
          <w:sz w:val="22"/>
          <w:szCs w:val="22"/>
        </w:rPr>
        <w:t>avuje pokles o 9,39% (157 tis. eur</w:t>
      </w:r>
      <w:r w:rsidRPr="004D64AC">
        <w:rPr>
          <w:rFonts w:ascii="Arial Narrow" w:hAnsi="Arial Narrow" w:cs="Arial Narrow"/>
          <w:sz w:val="22"/>
          <w:szCs w:val="22"/>
        </w:rPr>
        <w:t xml:space="preserve">). Medziročný pokles osobných výdavkov je ovplyvnený viazaním osobných výdavkov na úrovni 10 % </w:t>
      </w:r>
      <w:r w:rsidR="00271764">
        <w:rPr>
          <w:rFonts w:ascii="Arial Narrow" w:hAnsi="Arial Narrow" w:cs="Arial Narrow"/>
          <w:sz w:val="22"/>
          <w:szCs w:val="22"/>
        </w:rPr>
        <w:t>pre</w:t>
      </w:r>
      <w:r w:rsidRPr="004D64AC">
        <w:rPr>
          <w:rFonts w:ascii="Arial Narrow" w:hAnsi="Arial Narrow" w:cs="Arial Narrow"/>
          <w:sz w:val="22"/>
          <w:szCs w:val="22"/>
        </w:rPr>
        <w:t xml:space="preserve"> štátnych zamestnancov a zamestnancov pri výkone práce vo verejnom záujme pri zohľadnení dopočtu 1% valorizácie z roku 2010. V súvislosti s 10% znížením kapitola navrhla zníženie limitu počtu zamestnancov o 3 osoby.</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Výdavky na prevádzku v roku 2011 oproti schválenému rozpočtu v roku 2010 klesajú o 11,2% a v porovnaní s upraveným rozpočtom roka 2010 o 7,5%. Uvedený rozdiel je spôsobený presunom prostriedkov z danej kategórie do bežných transferov a kapitálových výdavkov počas roka 2010.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Výdavky na bežné transfery v roku 2011 rastú oproti schválenému rozpočtu v roku 2010 o 90%, ale v porovnaní s upraveným rozpočtom k 31. 8. 2010 klesajú o 0,2%. Úrad počas roka 2010 zvyšoval výdavky na odchodné a v približne rovnakej sume rozpočtoval bežné transfery z toho istého dôvodu aj v roku 2011.</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Pr>
          <w:rFonts w:ascii="Arial Narrow" w:hAnsi="Arial Narrow" w:cs="Arial Narrow"/>
          <w:sz w:val="22"/>
          <w:szCs w:val="22"/>
        </w:rPr>
        <w:t xml:space="preserve">Objem kapitálových výdavkov rozpočtovaných na rok 2011 je nižší o 15,5% a v porovnaní s upraveným rozpočtom k 31. 8. 2010 klesajú o 55,8%. Počas roka 2010 úrad zvyšoval kapitálové výdavky na nákup licencií a softvéru, ale v návrhu rozpočtu na rok 2011 úrad neráta s vynakladaním rozpočtových prostriedkov na tieto účely. </w:t>
      </w:r>
    </w:p>
    <w:p w:rsidR="001E5B24" w:rsidP="001E5B24">
      <w:pPr>
        <w:bidi w:val="0"/>
        <w:jc w:val="both"/>
        <w:rPr>
          <w:rFonts w:ascii="Arial Narrow" w:hAnsi="Arial Narrow" w:cs="Arial Narrow"/>
          <w:sz w:val="22"/>
          <w:szCs w:val="22"/>
        </w:rPr>
      </w:pPr>
    </w:p>
    <w:p w:rsidR="001E5B24" w:rsidRPr="0022755B" w:rsidP="001E5B24">
      <w:pPr>
        <w:bidi w:val="0"/>
        <w:jc w:val="both"/>
        <w:rPr>
          <w:rFonts w:ascii="Arial Narrow" w:hAnsi="Arial Narrow" w:cs="Arial Narrow"/>
          <w:sz w:val="22"/>
          <w:szCs w:val="22"/>
        </w:rPr>
      </w:pPr>
    </w:p>
    <w:p w:rsidR="001E5B24" w:rsidP="001E5B24">
      <w:pPr>
        <w:pBdr>
          <w:bottom w:val="single" w:sz="4" w:space="1" w:color="auto"/>
        </w:pBdr>
        <w:bidi w:val="0"/>
        <w:jc w:val="both"/>
        <w:rPr>
          <w:rFonts w:ascii="Arial Narrow" w:hAnsi="Arial Narrow" w:cs="Arial Narrow"/>
          <w:b/>
          <w:bCs/>
          <w:sz w:val="22"/>
          <w:szCs w:val="22"/>
        </w:rPr>
      </w:pPr>
      <w:r w:rsidRPr="00D21E8D">
        <w:rPr>
          <w:rFonts w:ascii="Arial Narrow" w:hAnsi="Arial Narrow" w:cs="Arial Narrow"/>
          <w:b/>
          <w:bCs/>
          <w:sz w:val="22"/>
          <w:szCs w:val="22"/>
        </w:rPr>
        <w:t>Národný bezpečnostný úrad</w:t>
      </w:r>
    </w:p>
    <w:p w:rsidR="001E5B24" w:rsidP="001E5B24">
      <w:pPr>
        <w:bidi w:val="0"/>
        <w:jc w:val="both"/>
        <w:rPr>
          <w:rFonts w:ascii="Arial Narrow" w:hAnsi="Arial Narrow" w:cs="Arial Narrow"/>
          <w:b/>
          <w:bCs/>
          <w:sz w:val="22"/>
          <w:szCs w:val="22"/>
        </w:rPr>
      </w:pPr>
    </w:p>
    <w:p w:rsidR="00DB4442" w:rsidP="001E5B24">
      <w:pPr>
        <w:bidi w:val="0"/>
        <w:ind w:firstLine="708"/>
        <w:jc w:val="both"/>
        <w:rPr>
          <w:rFonts w:ascii="Arial Narrow" w:hAnsi="Arial Narrow" w:cs="Arial Narrow"/>
          <w:sz w:val="22"/>
          <w:szCs w:val="22"/>
        </w:rPr>
      </w:pPr>
      <w:r w:rsidR="001E5B24">
        <w:rPr>
          <w:rFonts w:ascii="Arial Narrow" w:hAnsi="Arial Narrow" w:cs="Arial Narrow"/>
          <w:sz w:val="22"/>
          <w:szCs w:val="22"/>
        </w:rPr>
        <w:t xml:space="preserve">Výdavky kapitoly zabezpečujú plnenie úloh na úseku </w:t>
      </w:r>
      <w:r w:rsidRPr="00D21E8D" w:rsidR="001E5B24">
        <w:rPr>
          <w:rFonts w:ascii="Arial Narrow" w:hAnsi="Arial Narrow" w:cs="Arial Narrow"/>
          <w:sz w:val="22"/>
          <w:szCs w:val="22"/>
        </w:rPr>
        <w:t>ochrany utajovaných skutočností</w:t>
      </w:r>
      <w:r w:rsidR="001E5B24">
        <w:rPr>
          <w:rFonts w:ascii="Arial Narrow" w:hAnsi="Arial Narrow" w:cs="Arial Narrow"/>
          <w:sz w:val="22"/>
          <w:szCs w:val="22"/>
        </w:rPr>
        <w:t xml:space="preserve"> spojených najmä s realizáciou</w:t>
      </w:r>
      <w:r w:rsidRPr="00D21E8D" w:rsidR="001E5B24">
        <w:rPr>
          <w:rFonts w:ascii="Arial Narrow" w:hAnsi="Arial Narrow" w:cs="Arial Narrow"/>
          <w:sz w:val="22"/>
          <w:szCs w:val="22"/>
        </w:rPr>
        <w:t xml:space="preserve"> </w:t>
      </w:r>
      <w:r w:rsidR="001E5B24">
        <w:rPr>
          <w:rFonts w:ascii="Arial Narrow" w:hAnsi="Arial Narrow" w:cs="Arial Narrow"/>
          <w:sz w:val="22"/>
          <w:szCs w:val="22"/>
        </w:rPr>
        <w:t xml:space="preserve">personálnych a priemyselných </w:t>
      </w:r>
      <w:r w:rsidRPr="00D21E8D" w:rsidR="001E5B24">
        <w:rPr>
          <w:rFonts w:ascii="Arial Narrow" w:hAnsi="Arial Narrow" w:cs="Arial Narrow"/>
          <w:sz w:val="22"/>
          <w:szCs w:val="22"/>
        </w:rPr>
        <w:t>previerok</w:t>
      </w:r>
      <w:r w:rsidR="001E5B24">
        <w:rPr>
          <w:rFonts w:ascii="Arial Narrow" w:hAnsi="Arial Narrow" w:cs="Arial Narrow"/>
          <w:sz w:val="22"/>
          <w:szCs w:val="22"/>
        </w:rPr>
        <w:t xml:space="preserve"> a vykonávaním certifikačných procesov m</w:t>
      </w:r>
      <w:r w:rsidRPr="00D21E8D" w:rsidR="001E5B24">
        <w:rPr>
          <w:rFonts w:ascii="Arial Narrow" w:hAnsi="Arial Narrow" w:cs="Arial Narrow"/>
          <w:sz w:val="22"/>
          <w:szCs w:val="22"/>
        </w:rPr>
        <w:t>echanických zábranných a technických zabezpečovacích prostriedkov</w:t>
      </w:r>
      <w:r w:rsidR="001E5B24">
        <w:rPr>
          <w:rFonts w:ascii="Arial Narrow" w:hAnsi="Arial Narrow" w:cs="Arial Narrow"/>
          <w:sz w:val="22"/>
          <w:szCs w:val="22"/>
        </w:rPr>
        <w:t>. V rámci</w:t>
      </w:r>
      <w:r w:rsidRPr="00D21E8D" w:rsidR="001E5B24">
        <w:rPr>
          <w:rFonts w:ascii="Arial Narrow" w:hAnsi="Arial Narrow" w:cs="Arial Narrow"/>
          <w:sz w:val="22"/>
          <w:szCs w:val="22"/>
        </w:rPr>
        <w:t xml:space="preserve"> bezpečnosti a komunikačných a informačných systémov sa rozpočtujú prostriedky na zvýšenie spoľahlivosti a funkčnosti integrovaného komunikačného systému pre ústavných a vládnych činiteľov, výskum a vývoj nových prostriedkov šifrovej ochrany informácií </w:t>
      </w:r>
      <w:r w:rsidR="001E5B24">
        <w:rPr>
          <w:rFonts w:ascii="Arial Narrow" w:hAnsi="Arial Narrow" w:cs="Arial Narrow"/>
          <w:sz w:val="22"/>
          <w:szCs w:val="22"/>
        </w:rPr>
        <w:t>a certifikačné úkony. Plnením</w:t>
      </w:r>
      <w:r w:rsidRPr="00D21E8D" w:rsidR="001E5B24">
        <w:rPr>
          <w:rFonts w:ascii="Arial Narrow" w:hAnsi="Arial Narrow" w:cs="Arial Narrow"/>
          <w:sz w:val="22"/>
          <w:szCs w:val="22"/>
        </w:rPr>
        <w:t xml:space="preserve"> úloh na úseku elektronického podpisu je zabezpečovať dodržiavanie podmienok v zmysle zákona o elektronickom podpise na používanie elektronického podpisu a zaručeného elektronického podpisu</w:t>
      </w:r>
      <w:r w:rsidR="001E5B24">
        <w:rPr>
          <w:rFonts w:ascii="Arial Narrow" w:hAnsi="Arial Narrow" w:cs="Arial Narrow"/>
          <w:sz w:val="22"/>
          <w:szCs w:val="22"/>
        </w:rPr>
        <w:t>.</w:t>
      </w:r>
      <w:r w:rsidRPr="00D21E8D" w:rsidR="001E5B24">
        <w:rPr>
          <w:rFonts w:ascii="Arial Narrow" w:hAnsi="Arial Narrow" w:cs="Arial Narrow"/>
          <w:sz w:val="22"/>
          <w:szCs w:val="22"/>
        </w:rPr>
        <w:t xml:space="preserve"> </w:t>
      </w:r>
    </w:p>
    <w:p w:rsidR="001E5B24" w:rsidRPr="00D21E8D" w:rsidP="001E5B24">
      <w:pPr>
        <w:bidi w:val="0"/>
        <w:ind w:firstLine="708"/>
        <w:jc w:val="both"/>
        <w:rPr>
          <w:rFonts w:ascii="Arial Narrow" w:hAnsi="Arial Narrow" w:cs="Arial Narrow"/>
          <w:sz w:val="22"/>
          <w:szCs w:val="22"/>
        </w:rPr>
      </w:pPr>
      <w:r w:rsidR="00DB4442">
        <w:rPr>
          <w:rFonts w:ascii="Arial Narrow" w:hAnsi="Arial Narrow" w:cs="Arial Narrow"/>
          <w:sz w:val="22"/>
          <w:szCs w:val="22"/>
        </w:rPr>
        <w:br w:type="page"/>
      </w:r>
    </w:p>
    <w:p w:rsidR="001E5B24" w:rsidP="001E5B24">
      <w:pPr>
        <w:bidi w:val="0"/>
        <w:jc w:val="both"/>
        <w:rPr>
          <w:rFonts w:ascii="Arial Narrow" w:hAnsi="Arial Narrow" w:cs="Arial Narrow"/>
          <w:b/>
          <w:bCs/>
          <w:sz w:val="22"/>
          <w:szCs w:val="22"/>
        </w:rPr>
      </w:pPr>
    </w:p>
    <w:tbl>
      <w:tblPr>
        <w:tblStyle w:val="TableNormal"/>
        <w:tblW w:w="4962" w:type="pct"/>
        <w:tblInd w:w="70" w:type="dxa"/>
        <w:tblCellMar>
          <w:left w:w="70" w:type="dxa"/>
          <w:right w:w="70" w:type="dxa"/>
        </w:tblCellMar>
      </w:tblPr>
      <w:tblGrid>
        <w:gridCol w:w="3316"/>
        <w:gridCol w:w="971"/>
        <w:gridCol w:w="971"/>
        <w:gridCol w:w="971"/>
        <w:gridCol w:w="971"/>
        <w:gridCol w:w="971"/>
        <w:gridCol w:w="971"/>
      </w:tblGrid>
      <w:tr>
        <w:tblPrEx>
          <w:tblW w:w="4962" w:type="pct"/>
          <w:tblInd w:w="70" w:type="dxa"/>
          <w:tblCellMar>
            <w:left w:w="70" w:type="dxa"/>
            <w:right w:w="70" w:type="dxa"/>
          </w:tblCellMar>
        </w:tblPrEx>
        <w:trPr>
          <w:trHeight w:val="270"/>
        </w:trPr>
        <w:tc>
          <w:tcPr>
            <w:tcW w:w="1814"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2F2617" w:rsidP="001E5B24">
            <w:pPr>
              <w:bidi w:val="0"/>
              <w:rPr>
                <w:rFonts w:ascii="Arial Narrow" w:hAnsi="Arial Narrow" w:cs="Arial Narrow"/>
                <w:b/>
                <w:bCs/>
                <w:sz w:val="16"/>
                <w:szCs w:val="16"/>
              </w:rPr>
            </w:pPr>
            <w:r w:rsidRPr="002F2617">
              <w:rPr>
                <w:rFonts w:ascii="Arial Narrow" w:hAnsi="Arial Narrow" w:cs="Arial Narrow"/>
                <w:b/>
                <w:bCs/>
                <w:sz w:val="16"/>
                <w:szCs w:val="16"/>
              </w:rPr>
              <w:t> v tis. eur</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2008 S</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2009 S</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2010 R</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2011 N</w:t>
            </w:r>
          </w:p>
        </w:tc>
        <w:tc>
          <w:tcPr>
            <w:tcW w:w="531" w:type="pct"/>
            <w:tcBorders>
              <w:top w:val="single" w:sz="4" w:space="0" w:color="auto"/>
              <w:left w:val="nil"/>
              <w:bottom w:val="single" w:sz="4" w:space="0" w:color="auto"/>
              <w:right w:val="single" w:sz="4" w:space="0" w:color="auto"/>
            </w:tcBorders>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2012 N</w:t>
            </w:r>
          </w:p>
        </w:tc>
        <w:tc>
          <w:tcPr>
            <w:tcW w:w="531" w:type="pct"/>
            <w:tcBorders>
              <w:top w:val="single" w:sz="4" w:space="0" w:color="auto"/>
              <w:left w:val="nil"/>
              <w:bottom w:val="single" w:sz="4" w:space="0" w:color="auto"/>
              <w:right w:val="single" w:sz="4" w:space="0" w:color="auto"/>
            </w:tcBorders>
            <w:noWrap/>
            <w:textDirection w:val="lrTb"/>
            <w:vAlign w:val="bottom"/>
          </w:tcPr>
          <w:p w:rsidR="001E5B24" w:rsidRPr="002F2617" w:rsidP="001E5B24">
            <w:pPr>
              <w:bidi w:val="0"/>
              <w:jc w:val="center"/>
              <w:rPr>
                <w:rFonts w:ascii="Arial Narrow" w:hAnsi="Arial Narrow" w:cs="Arial Narrow"/>
                <w:b/>
                <w:bCs/>
                <w:sz w:val="16"/>
                <w:szCs w:val="16"/>
              </w:rPr>
            </w:pPr>
            <w:r w:rsidRPr="002F2617">
              <w:rPr>
                <w:rFonts w:ascii="Arial Narrow" w:hAnsi="Arial Narrow" w:cs="Arial Narrow"/>
                <w:b/>
                <w:bCs/>
                <w:sz w:val="16"/>
                <w:szCs w:val="16"/>
              </w:rPr>
              <w:t>2013 N</w:t>
            </w:r>
          </w:p>
        </w:tc>
      </w:tr>
      <w:tr>
        <w:tblPrEx>
          <w:tblW w:w="4962" w:type="pct"/>
          <w:tblInd w:w="70" w:type="dxa"/>
          <w:tblCellMar>
            <w:left w:w="70" w:type="dxa"/>
            <w:right w:w="70" w:type="dxa"/>
          </w:tblCellMar>
        </w:tblPrEx>
        <w:trPr>
          <w:trHeight w:val="270"/>
        </w:trPr>
        <w:tc>
          <w:tcPr>
            <w:tcW w:w="1814"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950B03" w:rsidP="001E5B24">
            <w:pPr>
              <w:bidi w:val="0"/>
              <w:rPr>
                <w:rFonts w:ascii="Arial Narrow" w:hAnsi="Arial Narrow" w:cs="Arial Narrow"/>
                <w:b/>
                <w:bCs/>
                <w:sz w:val="16"/>
                <w:szCs w:val="16"/>
              </w:rPr>
            </w:pPr>
            <w:r w:rsidRPr="00950B03">
              <w:rPr>
                <w:rFonts w:ascii="Arial Narrow" w:hAnsi="Arial Narrow" w:cs="Arial Narrow"/>
                <w:b/>
                <w:bCs/>
                <w:sz w:val="16"/>
                <w:szCs w:val="16"/>
              </w:rPr>
              <w:t>Zdroje príslušnej kapitoly</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12 261</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8 690</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8 800</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7 990</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7 991</w:t>
            </w:r>
          </w:p>
        </w:tc>
        <w:tc>
          <w:tcPr>
            <w:tcW w:w="531"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rPr>
            </w:pPr>
            <w:r w:rsidRPr="00950B03">
              <w:rPr>
                <w:rFonts w:ascii="Arial Narrow" w:hAnsi="Arial Narrow" w:cs="Arial Narrow"/>
                <w:b/>
                <w:bCs/>
                <w:sz w:val="16"/>
                <w:szCs w:val="16"/>
              </w:rPr>
              <w:t>7 991</w:t>
            </w:r>
          </w:p>
        </w:tc>
      </w:tr>
      <w:tr>
        <w:tblPrEx>
          <w:tblW w:w="4962" w:type="pct"/>
          <w:tblInd w:w="70" w:type="dxa"/>
          <w:tblCellMar>
            <w:left w:w="70" w:type="dxa"/>
            <w:right w:w="70" w:type="dxa"/>
          </w:tblCellMar>
        </w:tblPrEx>
        <w:trPr>
          <w:trHeight w:val="270"/>
        </w:trPr>
        <w:tc>
          <w:tcPr>
            <w:tcW w:w="1814" w:type="pct"/>
            <w:tcBorders>
              <w:top w:val="nil"/>
              <w:left w:val="single" w:sz="4" w:space="0" w:color="auto"/>
              <w:bottom w:val="single" w:sz="4" w:space="0" w:color="auto"/>
              <w:right w:val="single" w:sz="4" w:space="0" w:color="auto"/>
            </w:tcBorders>
            <w:noWrap/>
            <w:textDirection w:val="lrTb"/>
            <w:vAlign w:val="bottom"/>
          </w:tcPr>
          <w:p w:rsidR="001E5B24" w:rsidRPr="00EB28AF" w:rsidP="001E5B24">
            <w:pPr>
              <w:bidi w:val="0"/>
              <w:rPr>
                <w:rFonts w:ascii="Arial Narrow" w:hAnsi="Arial Narrow" w:cs="Arial Narrow"/>
                <w:sz w:val="16"/>
                <w:szCs w:val="16"/>
              </w:rPr>
            </w:pPr>
            <w:r w:rsidRPr="00EB28AF">
              <w:rPr>
                <w:rFonts w:ascii="Arial Narrow" w:hAnsi="Arial Narrow" w:cs="Arial Narrow"/>
                <w:sz w:val="16"/>
                <w:szCs w:val="16"/>
              </w:rPr>
              <w:t>z toho:</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c>
          <w:tcPr>
            <w:tcW w:w="531" w:type="pct"/>
            <w:tcBorders>
              <w:top w:val="nil"/>
              <w:left w:val="nil"/>
              <w:bottom w:val="single" w:sz="4" w:space="0" w:color="auto"/>
              <w:right w:val="single" w:sz="4" w:space="0" w:color="auto"/>
            </w:tcBorders>
            <w:noWrap/>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c>
          <w:tcPr>
            <w:tcW w:w="531" w:type="pct"/>
            <w:tcBorders>
              <w:top w:val="nil"/>
              <w:left w:val="nil"/>
              <w:bottom w:val="single" w:sz="4" w:space="0" w:color="auto"/>
              <w:right w:val="single" w:sz="4" w:space="0" w:color="auto"/>
            </w:tcBorders>
            <w:noWrap/>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c>
          <w:tcPr>
            <w:tcW w:w="531" w:type="pct"/>
            <w:tcBorders>
              <w:top w:val="nil"/>
              <w:left w:val="nil"/>
              <w:bottom w:val="single" w:sz="4" w:space="0" w:color="auto"/>
              <w:right w:val="single" w:sz="4" w:space="0" w:color="auto"/>
            </w:tcBorders>
            <w:noWrap/>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c>
          <w:tcPr>
            <w:tcW w:w="531" w:type="pct"/>
            <w:tcBorders>
              <w:top w:val="nil"/>
              <w:left w:val="nil"/>
              <w:bottom w:val="single" w:sz="4" w:space="0" w:color="auto"/>
              <w:right w:val="single" w:sz="4" w:space="0" w:color="auto"/>
            </w:tcBorders>
            <w:noWrap/>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 </w:t>
            </w:r>
          </w:p>
        </w:tc>
      </w:tr>
      <w:tr>
        <w:tblPrEx>
          <w:tblW w:w="4962" w:type="pct"/>
          <w:tblInd w:w="70" w:type="dxa"/>
          <w:tblCellMar>
            <w:left w:w="70" w:type="dxa"/>
            <w:right w:w="70" w:type="dxa"/>
          </w:tblCellMar>
        </w:tblPrEx>
        <w:trPr>
          <w:trHeight w:val="270"/>
        </w:trPr>
        <w:tc>
          <w:tcPr>
            <w:tcW w:w="1814" w:type="pct"/>
            <w:tcBorders>
              <w:top w:val="nil"/>
              <w:left w:val="single" w:sz="4" w:space="0" w:color="auto"/>
              <w:bottom w:val="single" w:sz="4" w:space="0" w:color="auto"/>
              <w:right w:val="single" w:sz="4" w:space="0" w:color="auto"/>
            </w:tcBorders>
            <w:noWrap/>
            <w:textDirection w:val="lrTb"/>
            <w:vAlign w:val="bottom"/>
          </w:tcPr>
          <w:p w:rsidR="001E5B24" w:rsidRPr="00EB28AF" w:rsidP="001E5B24">
            <w:pPr>
              <w:bidi w:val="0"/>
              <w:rPr>
                <w:rFonts w:ascii="Arial Narrow" w:hAnsi="Arial Narrow" w:cs="Arial Narrow"/>
                <w:sz w:val="16"/>
                <w:szCs w:val="16"/>
              </w:rPr>
            </w:pPr>
            <w:r w:rsidRPr="00EB28AF">
              <w:rPr>
                <w:rFonts w:ascii="Arial Narrow" w:hAnsi="Arial Narrow" w:cs="Arial Narrow"/>
                <w:sz w:val="16"/>
                <w:szCs w:val="16"/>
              </w:rPr>
              <w:t>rozpočtové zdroje kapitoly</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11 767</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8 463</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8 800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7 990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7 991</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7 991</w:t>
            </w:r>
          </w:p>
        </w:tc>
      </w:tr>
      <w:tr>
        <w:tblPrEx>
          <w:tblW w:w="4962" w:type="pct"/>
          <w:tblInd w:w="70" w:type="dxa"/>
          <w:tblCellMar>
            <w:left w:w="70" w:type="dxa"/>
            <w:right w:w="70" w:type="dxa"/>
          </w:tblCellMar>
        </w:tblPrEx>
        <w:trPr>
          <w:trHeight w:val="270"/>
        </w:trPr>
        <w:tc>
          <w:tcPr>
            <w:tcW w:w="1814" w:type="pct"/>
            <w:tcBorders>
              <w:top w:val="nil"/>
              <w:left w:val="single" w:sz="4" w:space="0" w:color="auto"/>
              <w:bottom w:val="single" w:sz="4" w:space="0" w:color="auto"/>
              <w:right w:val="single" w:sz="4" w:space="0" w:color="auto"/>
            </w:tcBorders>
            <w:noWrap/>
            <w:textDirection w:val="lrTb"/>
            <w:vAlign w:val="bottom"/>
          </w:tcPr>
          <w:p w:rsidR="001E5B24" w:rsidRPr="00EB28AF" w:rsidP="001E5B24">
            <w:pPr>
              <w:bidi w:val="0"/>
              <w:rPr>
                <w:rFonts w:ascii="Arial Narrow" w:hAnsi="Arial Narrow" w:cs="Arial Narrow"/>
                <w:sz w:val="16"/>
                <w:szCs w:val="16"/>
              </w:rPr>
            </w:pPr>
            <w:r w:rsidRPr="00EB28AF">
              <w:rPr>
                <w:rFonts w:ascii="Arial Narrow" w:hAnsi="Arial Narrow" w:cs="Arial Narrow"/>
                <w:sz w:val="16"/>
                <w:szCs w:val="16"/>
              </w:rPr>
              <w:t>presun z min. rokov § 8</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429</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sidRPr="00EB28AF">
              <w:rPr>
                <w:rFonts w:ascii="Arial Narrow" w:hAnsi="Arial Narrow" w:cs="Arial Narrow"/>
                <w:sz w:val="16"/>
                <w:szCs w:val="16"/>
              </w:rPr>
              <w:t>227</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r>
      <w:tr>
        <w:tblPrEx>
          <w:tblW w:w="4962" w:type="pct"/>
          <w:tblInd w:w="70" w:type="dxa"/>
          <w:tblCellMar>
            <w:left w:w="70" w:type="dxa"/>
            <w:right w:w="70" w:type="dxa"/>
          </w:tblCellMar>
        </w:tblPrEx>
        <w:trPr>
          <w:trHeight w:val="270"/>
        </w:trPr>
        <w:tc>
          <w:tcPr>
            <w:tcW w:w="1814" w:type="pct"/>
            <w:tcBorders>
              <w:top w:val="nil"/>
              <w:left w:val="single" w:sz="4" w:space="0" w:color="auto"/>
              <w:bottom w:val="single" w:sz="4" w:space="0" w:color="auto"/>
              <w:right w:val="single" w:sz="4" w:space="0" w:color="auto"/>
            </w:tcBorders>
            <w:noWrap/>
            <w:textDirection w:val="lrTb"/>
            <w:vAlign w:val="bottom"/>
          </w:tcPr>
          <w:p w:rsidR="001E5B24" w:rsidRPr="00EB28AF" w:rsidP="001E5B24">
            <w:pPr>
              <w:bidi w:val="0"/>
              <w:rPr>
                <w:rFonts w:ascii="Arial Narrow" w:hAnsi="Arial Narrow" w:cs="Arial Narrow"/>
                <w:sz w:val="16"/>
                <w:szCs w:val="16"/>
              </w:rPr>
            </w:pPr>
            <w:r w:rsidRPr="00EB28AF">
              <w:rPr>
                <w:rFonts w:ascii="Arial Narrow" w:hAnsi="Arial Narrow" w:cs="Arial Narrow"/>
                <w:sz w:val="16"/>
                <w:szCs w:val="16"/>
              </w:rPr>
              <w:t xml:space="preserve">zdroje EÚ vrátane spolufinancovania: </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65</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 xml:space="preserve"> 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c>
          <w:tcPr>
            <w:tcW w:w="531" w:type="pct"/>
            <w:tcBorders>
              <w:top w:val="nil"/>
              <w:left w:val="nil"/>
              <w:bottom w:val="single" w:sz="4" w:space="0" w:color="auto"/>
              <w:right w:val="single" w:sz="4" w:space="0" w:color="auto"/>
            </w:tcBorders>
            <w:textDirection w:val="lrTb"/>
            <w:vAlign w:val="bottom"/>
          </w:tcPr>
          <w:p w:rsidR="001E5B24" w:rsidRPr="00EB28AF" w:rsidP="001E5B24">
            <w:pPr>
              <w:bidi w:val="0"/>
              <w:jc w:val="right"/>
              <w:rPr>
                <w:rFonts w:ascii="Arial Narrow" w:hAnsi="Arial Narrow" w:cs="Arial Narrow"/>
                <w:sz w:val="16"/>
                <w:szCs w:val="16"/>
              </w:rPr>
            </w:pPr>
            <w:r>
              <w:rPr>
                <w:rFonts w:ascii="Arial Narrow" w:hAnsi="Arial Narrow" w:cs="Arial Narrow"/>
                <w:sz w:val="16"/>
                <w:szCs w:val="16"/>
              </w:rPr>
              <w:t>0</w:t>
            </w:r>
          </w:p>
        </w:tc>
      </w:tr>
    </w:tbl>
    <w:p w:rsidR="001E5B24" w:rsidRPr="00D21E8D"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585588">
        <w:rPr>
          <w:rFonts w:ascii="Arial Narrow" w:hAnsi="Arial Narrow" w:cs="Arial Narrow"/>
          <w:sz w:val="22"/>
          <w:szCs w:val="22"/>
        </w:rPr>
        <w:t xml:space="preserve">Celkové výdavky kapitoly </w:t>
      </w:r>
      <w:r>
        <w:rPr>
          <w:rFonts w:ascii="Arial Narrow" w:hAnsi="Arial Narrow" w:cs="Arial Narrow"/>
          <w:sz w:val="22"/>
          <w:szCs w:val="22"/>
        </w:rPr>
        <w:t xml:space="preserve">v roku 2011 oproti schválenému rozpočtu roka 2010 </w:t>
      </w:r>
      <w:r w:rsidRPr="00585588">
        <w:rPr>
          <w:rFonts w:ascii="Arial Narrow" w:hAnsi="Arial Narrow" w:cs="Arial Narrow"/>
          <w:sz w:val="22"/>
          <w:szCs w:val="22"/>
        </w:rPr>
        <w:t>klesajú o 810 tis. eur</w:t>
      </w:r>
      <w:r>
        <w:rPr>
          <w:rFonts w:ascii="Arial Narrow" w:hAnsi="Arial Narrow" w:cs="Arial Narrow"/>
          <w:sz w:val="22"/>
          <w:szCs w:val="22"/>
        </w:rPr>
        <w:t>, čo predstavuje</w:t>
      </w:r>
      <w:r w:rsidRPr="00585588">
        <w:rPr>
          <w:rFonts w:ascii="Arial Narrow" w:hAnsi="Arial Narrow" w:cs="Arial Narrow"/>
          <w:sz w:val="22"/>
          <w:szCs w:val="22"/>
        </w:rPr>
        <w:t xml:space="preserve"> 9,21%</w:t>
      </w:r>
      <w:r>
        <w:rPr>
          <w:rFonts w:ascii="Arial Narrow" w:hAnsi="Arial Narrow" w:cs="Arial Narrow"/>
          <w:sz w:val="22"/>
          <w:szCs w:val="22"/>
        </w:rPr>
        <w:t xml:space="preserve"> zníženie.</w:t>
      </w:r>
      <w:r w:rsidRPr="00585588">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EC518D">
        <w:rPr>
          <w:rFonts w:ascii="Arial Narrow" w:hAnsi="Arial Narrow" w:cs="Arial Narrow"/>
          <w:sz w:val="22"/>
          <w:szCs w:val="22"/>
        </w:rPr>
        <w:t xml:space="preserve">Objem osobných výdavkov sa </w:t>
      </w:r>
      <w:r>
        <w:rPr>
          <w:rFonts w:ascii="Arial Narrow" w:hAnsi="Arial Narrow" w:cs="Arial Narrow"/>
          <w:sz w:val="22"/>
          <w:szCs w:val="22"/>
        </w:rPr>
        <w:t>na</w:t>
      </w:r>
      <w:r w:rsidRPr="00EC518D">
        <w:rPr>
          <w:rFonts w:ascii="Arial Narrow" w:hAnsi="Arial Narrow" w:cs="Arial Narrow"/>
          <w:sz w:val="22"/>
          <w:szCs w:val="22"/>
        </w:rPr>
        <w:t xml:space="preserve"> rok 2011 rozpočtuje na úrovni 5,83 mil. </w:t>
      </w:r>
      <w:r>
        <w:rPr>
          <w:rFonts w:ascii="Arial Narrow" w:hAnsi="Arial Narrow" w:cs="Arial Narrow"/>
          <w:sz w:val="22"/>
          <w:szCs w:val="22"/>
        </w:rPr>
        <w:t>eur</w:t>
      </w:r>
      <w:r w:rsidRPr="00EC518D">
        <w:rPr>
          <w:rFonts w:ascii="Arial Narrow" w:hAnsi="Arial Narrow" w:cs="Arial Narrow"/>
          <w:sz w:val="22"/>
          <w:szCs w:val="22"/>
        </w:rPr>
        <w:t>, čo v porovnaní s</w:t>
      </w:r>
      <w:r>
        <w:rPr>
          <w:rFonts w:ascii="Arial Narrow" w:hAnsi="Arial Narrow" w:cs="Arial Narrow"/>
          <w:sz w:val="22"/>
          <w:szCs w:val="22"/>
        </w:rPr>
        <w:t>o</w:t>
      </w:r>
      <w:r w:rsidRPr="00EC518D">
        <w:rPr>
          <w:rFonts w:ascii="Arial Narrow" w:hAnsi="Arial Narrow" w:cs="Arial Narrow"/>
          <w:sz w:val="22"/>
          <w:szCs w:val="22"/>
        </w:rPr>
        <w:t> </w:t>
      </w:r>
      <w:r>
        <w:rPr>
          <w:rFonts w:ascii="Arial Narrow" w:hAnsi="Arial Narrow" w:cs="Arial Narrow"/>
          <w:sz w:val="22"/>
          <w:szCs w:val="22"/>
        </w:rPr>
        <w:t>schváleným rozpočtom na rok</w:t>
      </w:r>
      <w:r w:rsidRPr="00D269FC">
        <w:rPr>
          <w:rFonts w:ascii="Arial Narrow" w:hAnsi="Arial Narrow" w:cs="Arial Narrow"/>
          <w:sz w:val="22"/>
          <w:szCs w:val="22"/>
        </w:rPr>
        <w:t xml:space="preserve"> </w:t>
      </w:r>
      <w:r w:rsidRPr="00EC518D">
        <w:rPr>
          <w:rFonts w:ascii="Arial Narrow" w:hAnsi="Arial Narrow" w:cs="Arial Narrow"/>
          <w:sz w:val="22"/>
          <w:szCs w:val="22"/>
        </w:rPr>
        <w:t xml:space="preserve">2010 predstavuje pokles 9,09 % (0,58 mil. </w:t>
      </w:r>
      <w:r>
        <w:rPr>
          <w:rFonts w:ascii="Arial Narrow" w:hAnsi="Arial Narrow" w:cs="Arial Narrow"/>
          <w:sz w:val="22"/>
          <w:szCs w:val="22"/>
        </w:rPr>
        <w:t>eur</w:t>
      </w:r>
      <w:r w:rsidRPr="00EC518D">
        <w:rPr>
          <w:rFonts w:ascii="Arial Narrow" w:hAnsi="Arial Narrow" w:cs="Arial Narrow"/>
          <w:sz w:val="22"/>
          <w:szCs w:val="22"/>
        </w:rPr>
        <w:t>)</w:t>
      </w:r>
      <w:r>
        <w:rPr>
          <w:rFonts w:ascii="Arial Narrow" w:hAnsi="Arial Narrow" w:cs="Arial Narrow"/>
          <w:sz w:val="22"/>
          <w:szCs w:val="22"/>
        </w:rPr>
        <w:t>.</w:t>
      </w:r>
      <w:r w:rsidRPr="00EC518D">
        <w:rPr>
          <w:rFonts w:ascii="Arial Narrow" w:hAnsi="Arial Narrow" w:cs="Arial Narrow"/>
          <w:sz w:val="22"/>
          <w:szCs w:val="22"/>
        </w:rPr>
        <w:t xml:space="preserve"> Medziročný pokles osobných výdavkov je ovplyvnený viazaním osobných výdavkov na úrovni 10 % všetkých kategórií zamestnancov pri zohľadnení dopočtu 1% valorizácie z roku 2010.</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585588">
        <w:rPr>
          <w:rFonts w:ascii="Arial Narrow" w:hAnsi="Arial Narrow" w:cs="Arial Narrow"/>
          <w:sz w:val="22"/>
          <w:szCs w:val="22"/>
        </w:rPr>
        <w:t xml:space="preserve">Na tovary a služby sa </w:t>
      </w:r>
      <w:r>
        <w:rPr>
          <w:rFonts w:ascii="Arial Narrow" w:hAnsi="Arial Narrow" w:cs="Arial Narrow"/>
          <w:sz w:val="22"/>
          <w:szCs w:val="22"/>
        </w:rPr>
        <w:t>v roku 2011 oproti schválenému rozpočtu roka 2010</w:t>
      </w:r>
      <w:r w:rsidRPr="00585588">
        <w:rPr>
          <w:rFonts w:ascii="Arial Narrow" w:hAnsi="Arial Narrow" w:cs="Arial Narrow"/>
          <w:sz w:val="22"/>
          <w:szCs w:val="22"/>
        </w:rPr>
        <w:t xml:space="preserve"> rozpočtuje menej o 219 tis. eur</w:t>
      </w:r>
      <w:r>
        <w:rPr>
          <w:rFonts w:ascii="Arial Narrow" w:hAnsi="Arial Narrow" w:cs="Arial Narrow"/>
          <w:sz w:val="22"/>
          <w:szCs w:val="22"/>
        </w:rPr>
        <w:t xml:space="preserve">, čo predstavuje pokles o </w:t>
      </w:r>
      <w:r w:rsidRPr="00585588">
        <w:rPr>
          <w:rFonts w:ascii="Arial Narrow" w:hAnsi="Arial Narrow" w:cs="Arial Narrow"/>
          <w:sz w:val="22"/>
          <w:szCs w:val="22"/>
        </w:rPr>
        <w:t>9,65 %.</w:t>
      </w:r>
    </w:p>
    <w:p w:rsidR="001E5B24" w:rsidP="001E5B24">
      <w:pPr>
        <w:bidi w:val="0"/>
        <w:ind w:firstLine="708"/>
        <w:jc w:val="both"/>
        <w:rPr>
          <w:rFonts w:ascii="Arial Narrow" w:hAnsi="Arial Narrow" w:cs="Arial Narrow"/>
          <w:sz w:val="22"/>
          <w:szCs w:val="22"/>
        </w:rPr>
      </w:pPr>
      <w:r w:rsidRPr="00585588">
        <w:rPr>
          <w:rFonts w:ascii="Arial Narrow" w:hAnsi="Arial Narrow" w:cs="Arial Narrow"/>
          <w:sz w:val="22"/>
          <w:szCs w:val="22"/>
        </w:rPr>
        <w:t> </w:t>
      </w:r>
    </w:p>
    <w:p w:rsidR="001E5B24" w:rsidP="001E5B24">
      <w:pPr>
        <w:bidi w:val="0"/>
        <w:ind w:firstLine="708"/>
        <w:jc w:val="both"/>
        <w:rPr>
          <w:rFonts w:ascii="Arial Narrow" w:hAnsi="Arial Narrow" w:cs="Arial Narrow"/>
          <w:sz w:val="22"/>
          <w:szCs w:val="22"/>
        </w:rPr>
      </w:pPr>
      <w:r w:rsidRPr="00585588">
        <w:rPr>
          <w:rFonts w:ascii="Arial Narrow" w:hAnsi="Arial Narrow" w:cs="Arial Narrow"/>
          <w:sz w:val="22"/>
          <w:szCs w:val="22"/>
        </w:rPr>
        <w:t xml:space="preserve">Bežné transfery </w:t>
      </w:r>
      <w:r>
        <w:rPr>
          <w:rFonts w:ascii="Arial Narrow" w:hAnsi="Arial Narrow" w:cs="Arial Narrow"/>
          <w:sz w:val="22"/>
          <w:szCs w:val="22"/>
        </w:rPr>
        <w:t xml:space="preserve">v roku 2011 v porovnaní so schváleným rozpočtom roka 2010 klesajú o 8,0 tis. eur, čo predstavuje pokles o </w:t>
      </w:r>
      <w:r w:rsidRPr="00585588">
        <w:rPr>
          <w:rFonts w:ascii="Arial Narrow" w:hAnsi="Arial Narrow" w:cs="Arial Narrow"/>
          <w:sz w:val="22"/>
          <w:szCs w:val="22"/>
        </w:rPr>
        <w:t xml:space="preserve">11,9 %. </w:t>
      </w:r>
      <w:r>
        <w:rPr>
          <w:rFonts w:ascii="Arial Narrow" w:hAnsi="Arial Narrow" w:cs="Arial Narrow"/>
          <w:sz w:val="22"/>
          <w:szCs w:val="22"/>
        </w:rPr>
        <w:t>Zmena</w:t>
      </w:r>
      <w:r w:rsidRPr="00585588">
        <w:rPr>
          <w:rFonts w:ascii="Arial Narrow" w:hAnsi="Arial Narrow" w:cs="Arial Narrow"/>
          <w:sz w:val="22"/>
          <w:szCs w:val="22"/>
        </w:rPr>
        <w:t xml:space="preserve"> súvisí so znížením rozpočtovaných prostriedkov na disciplinárne odmeny.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585588">
        <w:rPr>
          <w:rFonts w:ascii="Arial Narrow" w:hAnsi="Arial Narrow" w:cs="Arial Narrow"/>
          <w:sz w:val="22"/>
          <w:szCs w:val="22"/>
        </w:rPr>
        <w:t>Kapitálové výdavky sa rozpočtujú na úrovni roka 2010. V rámci kapitálových výdavkov sa plánujú obstarať stroje, prístroje a zariadenia.</w:t>
      </w:r>
    </w:p>
    <w:p w:rsidR="001E5B24" w:rsidP="001E5B24">
      <w:pPr>
        <w:bidi w:val="0"/>
        <w:jc w:val="both"/>
        <w:rPr>
          <w:rFonts w:ascii="Arial Narrow" w:hAnsi="Arial Narrow" w:cs="Arial Narrow"/>
          <w:b/>
          <w:bCs/>
          <w:sz w:val="22"/>
          <w:szCs w:val="22"/>
        </w:rPr>
      </w:pPr>
    </w:p>
    <w:p w:rsidR="001E5B24" w:rsidP="001E5B24">
      <w:pPr>
        <w:bidi w:val="0"/>
        <w:jc w:val="both"/>
        <w:rPr>
          <w:rFonts w:ascii="Arial Narrow" w:hAnsi="Arial Narrow" w:cs="Arial Narrow"/>
          <w:b/>
          <w:bCs/>
          <w:sz w:val="22"/>
          <w:szCs w:val="22"/>
        </w:rPr>
      </w:pPr>
    </w:p>
    <w:p w:rsidR="001E5B24" w:rsidRPr="00170164" w:rsidP="001E5B24">
      <w:pPr>
        <w:pBdr>
          <w:bottom w:val="single" w:sz="4" w:space="1" w:color="auto"/>
        </w:pBdr>
        <w:bidi w:val="0"/>
        <w:jc w:val="both"/>
        <w:rPr>
          <w:rFonts w:ascii="Arial Narrow" w:hAnsi="Arial Narrow" w:cs="Arial Narrow"/>
          <w:b/>
          <w:bCs/>
          <w:sz w:val="22"/>
          <w:szCs w:val="22"/>
        </w:rPr>
      </w:pPr>
      <w:r w:rsidRPr="00170164">
        <w:rPr>
          <w:rFonts w:ascii="Arial Narrow" w:hAnsi="Arial Narrow" w:cs="Arial Narrow"/>
          <w:b/>
          <w:bCs/>
          <w:sz w:val="22"/>
          <w:szCs w:val="22"/>
        </w:rPr>
        <w:t>Správa štátnych hmotných rezerv SR</w:t>
      </w:r>
    </w:p>
    <w:p w:rsidR="001E5B24" w:rsidP="001E5B24">
      <w:pPr>
        <w:bidi w:val="0"/>
        <w:jc w:val="both"/>
        <w:rPr>
          <w:rFonts w:ascii="Arial Narrow" w:hAnsi="Arial Narrow" w:cs="Arial Narrow"/>
          <w:sz w:val="22"/>
          <w:szCs w:val="22"/>
        </w:rPr>
      </w:pPr>
    </w:p>
    <w:p w:rsidR="001E5B24" w:rsidRPr="00EA64AA" w:rsidP="001E5B24">
      <w:pPr>
        <w:bidi w:val="0"/>
        <w:ind w:firstLine="709"/>
        <w:jc w:val="both"/>
        <w:rPr>
          <w:rFonts w:ascii="Arial Narrow" w:hAnsi="Arial Narrow" w:cs="Arial Narrow"/>
          <w:sz w:val="22"/>
          <w:szCs w:val="22"/>
        </w:rPr>
      </w:pPr>
      <w:r w:rsidRPr="00EA64AA">
        <w:rPr>
          <w:rFonts w:ascii="Arial Narrow" w:hAnsi="Arial Narrow" w:cs="Arial Narrow"/>
          <w:sz w:val="22"/>
          <w:szCs w:val="22"/>
        </w:rPr>
        <w:t xml:space="preserve">Celkové výdavky kapitoly na rok 2011 zabezpečujú </w:t>
      </w:r>
      <w:r>
        <w:rPr>
          <w:rFonts w:ascii="Arial Narrow" w:hAnsi="Arial Narrow" w:cs="Arial Narrow"/>
          <w:sz w:val="22"/>
          <w:szCs w:val="22"/>
        </w:rPr>
        <w:t xml:space="preserve">plnenie </w:t>
      </w:r>
      <w:r w:rsidRPr="00EA64AA">
        <w:rPr>
          <w:rFonts w:ascii="Arial Narrow" w:hAnsi="Arial Narrow" w:cs="Arial Narrow"/>
          <w:sz w:val="22"/>
          <w:szCs w:val="22"/>
        </w:rPr>
        <w:t>úloh v hospodárení hmotných rezerv, mobilizačných rezerv a pohotovostných zásob. V oblasti hmotných rezerv sa budú prioritne zabezpečovať úlohy súvisiace s núdzovými zásobami ropy a ropných výrobkov a potravinovej a energetickej bezpečnosti štátu. V oblasti  mobilizačných rezerv sú vytvorené podmienky pre riešenie krízových situácií pre potreby ozbrojených síl a ekonomiky a </w:t>
      </w:r>
      <w:r>
        <w:rPr>
          <w:rFonts w:ascii="Arial Narrow" w:hAnsi="Arial Narrow" w:cs="Arial Narrow"/>
          <w:sz w:val="22"/>
          <w:szCs w:val="22"/>
        </w:rPr>
        <w:t>pri</w:t>
      </w:r>
      <w:r w:rsidRPr="00EA64AA">
        <w:rPr>
          <w:rFonts w:ascii="Arial Narrow" w:hAnsi="Arial Narrow" w:cs="Arial Narrow"/>
          <w:sz w:val="22"/>
          <w:szCs w:val="22"/>
        </w:rPr>
        <w:t xml:space="preserve"> pohotovostných zásob</w:t>
      </w:r>
      <w:r>
        <w:rPr>
          <w:rFonts w:ascii="Arial Narrow" w:hAnsi="Arial Narrow" w:cs="Arial Narrow"/>
          <w:sz w:val="22"/>
          <w:szCs w:val="22"/>
        </w:rPr>
        <w:t>ách</w:t>
      </w:r>
      <w:r w:rsidRPr="00EA64AA">
        <w:rPr>
          <w:rFonts w:ascii="Arial Narrow" w:hAnsi="Arial Narrow" w:cs="Arial Narrow"/>
          <w:sz w:val="22"/>
          <w:szCs w:val="22"/>
        </w:rPr>
        <w:t xml:space="preserve"> pre pomoc obyvateľstvu pri riešení krízových situácií a na poskytovanie humanitárnej pomoci. V medzirezortnom programe Podpora obrany sa zabezpečujú úlohy v oblasti mobilizačných rezerv v zmysle požiadaviek ozbrojených síl a v programe Hospodárska mobilizácia sú vytvorené podmienky pre zabezpečenie nevyhnutných potrieb pre riešenie krízových situácií. </w:t>
      </w:r>
    </w:p>
    <w:p w:rsidR="001E5B24" w:rsidP="001E5B24">
      <w:pPr>
        <w:bidi w:val="0"/>
        <w:jc w:val="both"/>
        <w:rPr>
          <w:rFonts w:ascii="Arial Narrow" w:hAnsi="Arial Narrow" w:cs="Arial Narrow"/>
          <w:sz w:val="22"/>
          <w:szCs w:val="22"/>
        </w:rPr>
      </w:pPr>
    </w:p>
    <w:tbl>
      <w:tblPr>
        <w:tblStyle w:val="TableNormal"/>
        <w:tblW w:w="4962" w:type="pct"/>
        <w:tblInd w:w="70" w:type="dxa"/>
        <w:tblCellMar>
          <w:left w:w="70" w:type="dxa"/>
          <w:right w:w="70" w:type="dxa"/>
        </w:tblCellMar>
      </w:tblPr>
      <w:tblGrid>
        <w:gridCol w:w="3387"/>
        <w:gridCol w:w="951"/>
        <w:gridCol w:w="951"/>
        <w:gridCol w:w="951"/>
        <w:gridCol w:w="951"/>
        <w:gridCol w:w="951"/>
        <w:gridCol w:w="1000"/>
      </w:tblGrid>
      <w:tr>
        <w:tblPrEx>
          <w:tblW w:w="4962" w:type="pct"/>
          <w:tblInd w:w="70" w:type="dxa"/>
          <w:tblCellMar>
            <w:left w:w="70" w:type="dxa"/>
            <w:right w:w="70" w:type="dxa"/>
          </w:tblCellMar>
        </w:tblPrEx>
        <w:trPr>
          <w:trHeight w:val="270"/>
        </w:trPr>
        <w:tc>
          <w:tcPr>
            <w:tcW w:w="1852" w:type="pct"/>
            <w:tcBorders>
              <w:top w:val="single" w:sz="4" w:space="0" w:color="auto"/>
              <w:left w:val="single" w:sz="4" w:space="0" w:color="auto"/>
              <w:bottom w:val="single" w:sz="4" w:space="0" w:color="auto"/>
              <w:right w:val="single" w:sz="4" w:space="0" w:color="auto"/>
            </w:tcBorders>
            <w:noWrap/>
            <w:textDirection w:val="lrTb"/>
            <w:vAlign w:val="bottom"/>
          </w:tcPr>
          <w:p w:rsidR="001E5B24" w:rsidRPr="00B2441D" w:rsidP="001E5B24">
            <w:pPr>
              <w:bidi w:val="0"/>
              <w:rPr>
                <w:rFonts w:ascii="Arial Narrow" w:hAnsi="Arial Narrow" w:cs="Arial Narrow"/>
                <w:b/>
                <w:bCs/>
                <w:sz w:val="16"/>
                <w:szCs w:val="16"/>
                <w:lang w:eastAsia="sk-SK"/>
              </w:rPr>
            </w:pPr>
            <w:r w:rsidRPr="00B2441D">
              <w:rPr>
                <w:rFonts w:ascii="Arial Narrow" w:hAnsi="Arial Narrow" w:cs="Arial Narrow"/>
                <w:b/>
                <w:bCs/>
                <w:sz w:val="16"/>
                <w:szCs w:val="16"/>
                <w:lang w:eastAsia="sk-SK"/>
              </w:rPr>
              <w:t> v tis. eur</w:t>
            </w:r>
          </w:p>
        </w:tc>
        <w:tc>
          <w:tcPr>
            <w:tcW w:w="520" w:type="pct"/>
            <w:tcBorders>
              <w:top w:val="single" w:sz="4" w:space="0" w:color="auto"/>
              <w:left w:val="nil"/>
              <w:bottom w:val="single" w:sz="4" w:space="0" w:color="auto"/>
              <w:right w:val="single" w:sz="4" w:space="0" w:color="auto"/>
            </w:tcBorders>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2008 S</w:t>
            </w:r>
          </w:p>
        </w:tc>
        <w:tc>
          <w:tcPr>
            <w:tcW w:w="520" w:type="pct"/>
            <w:tcBorders>
              <w:top w:val="single" w:sz="4" w:space="0" w:color="auto"/>
              <w:left w:val="nil"/>
              <w:bottom w:val="single" w:sz="4" w:space="0" w:color="auto"/>
              <w:right w:val="single" w:sz="4" w:space="0" w:color="auto"/>
            </w:tcBorders>
            <w:noWrap/>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2009 S</w:t>
            </w:r>
          </w:p>
        </w:tc>
        <w:tc>
          <w:tcPr>
            <w:tcW w:w="520" w:type="pct"/>
            <w:tcBorders>
              <w:top w:val="single" w:sz="4" w:space="0" w:color="auto"/>
              <w:left w:val="nil"/>
              <w:bottom w:val="single" w:sz="4" w:space="0" w:color="auto"/>
              <w:right w:val="single" w:sz="4" w:space="0" w:color="auto"/>
            </w:tcBorders>
            <w:noWrap/>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2010 R</w:t>
            </w:r>
          </w:p>
        </w:tc>
        <w:tc>
          <w:tcPr>
            <w:tcW w:w="520" w:type="pct"/>
            <w:tcBorders>
              <w:top w:val="single" w:sz="4" w:space="0" w:color="auto"/>
              <w:left w:val="nil"/>
              <w:bottom w:val="single" w:sz="4" w:space="0" w:color="auto"/>
              <w:right w:val="single" w:sz="4" w:space="0" w:color="auto"/>
            </w:tcBorders>
            <w:noWrap/>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2011 N</w:t>
            </w:r>
          </w:p>
        </w:tc>
        <w:tc>
          <w:tcPr>
            <w:tcW w:w="520" w:type="pct"/>
            <w:tcBorders>
              <w:top w:val="single" w:sz="4" w:space="0" w:color="auto"/>
              <w:left w:val="nil"/>
              <w:bottom w:val="single" w:sz="4" w:space="0" w:color="auto"/>
              <w:right w:val="single" w:sz="4" w:space="0" w:color="auto"/>
            </w:tcBorders>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2012 N</w:t>
            </w:r>
          </w:p>
        </w:tc>
        <w:tc>
          <w:tcPr>
            <w:tcW w:w="547" w:type="pct"/>
            <w:tcBorders>
              <w:top w:val="single" w:sz="4" w:space="0" w:color="auto"/>
              <w:left w:val="nil"/>
              <w:bottom w:val="single" w:sz="4" w:space="0" w:color="auto"/>
              <w:right w:val="single" w:sz="4" w:space="0" w:color="auto"/>
            </w:tcBorders>
            <w:noWrap/>
            <w:textDirection w:val="lrTb"/>
            <w:vAlign w:val="bottom"/>
          </w:tcPr>
          <w:p w:rsidR="001E5B24" w:rsidRPr="00B2441D" w:rsidP="001E5B24">
            <w:pPr>
              <w:bidi w:val="0"/>
              <w:jc w:val="center"/>
              <w:rPr>
                <w:rFonts w:ascii="Arial Narrow" w:hAnsi="Arial Narrow" w:cs="Arial Narrow"/>
                <w:b/>
                <w:bCs/>
                <w:sz w:val="16"/>
                <w:szCs w:val="16"/>
                <w:lang w:eastAsia="sk-SK"/>
              </w:rPr>
            </w:pPr>
            <w:r w:rsidRPr="00B2441D">
              <w:rPr>
                <w:rFonts w:ascii="Arial Narrow" w:hAnsi="Arial Narrow" w:cs="Arial Narrow"/>
                <w:b/>
                <w:bCs/>
                <w:sz w:val="16"/>
                <w:szCs w:val="16"/>
                <w:lang w:eastAsia="sk-SK"/>
              </w:rPr>
              <w:t>2013 N</w:t>
            </w:r>
          </w:p>
        </w:tc>
      </w:tr>
      <w:tr>
        <w:tblPrEx>
          <w:tblW w:w="4962" w:type="pct"/>
          <w:tblInd w:w="70" w:type="dxa"/>
          <w:tblCellMar>
            <w:left w:w="70" w:type="dxa"/>
            <w:right w:w="70" w:type="dxa"/>
          </w:tblCellMar>
        </w:tblPrEx>
        <w:trPr>
          <w:trHeight w:val="270"/>
        </w:trPr>
        <w:tc>
          <w:tcPr>
            <w:tcW w:w="1852" w:type="pct"/>
            <w:tcBorders>
              <w:top w:val="nil"/>
              <w:left w:val="single" w:sz="4" w:space="0" w:color="auto"/>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c>
          <w:tcPr>
            <w:tcW w:w="547" w:type="pct"/>
            <w:tcBorders>
              <w:top w:val="nil"/>
              <w:left w:val="nil"/>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color w:val="FFFFFF"/>
                <w:sz w:val="16"/>
                <w:szCs w:val="16"/>
                <w:lang w:eastAsia="sk-SK"/>
              </w:rPr>
            </w:pPr>
            <w:r w:rsidRPr="00C82C02">
              <w:rPr>
                <w:rFonts w:ascii="Arial Narrow" w:hAnsi="Arial Narrow" w:cs="Arial Narrow"/>
                <w:color w:val="FFFFFF"/>
                <w:sz w:val="16"/>
                <w:szCs w:val="16"/>
                <w:lang w:eastAsia="sk-SK"/>
              </w:rPr>
              <w:t> </w:t>
            </w:r>
          </w:p>
        </w:tc>
      </w:tr>
      <w:tr>
        <w:tblPrEx>
          <w:tblW w:w="4962" w:type="pct"/>
          <w:tblInd w:w="70" w:type="dxa"/>
          <w:tblCellMar>
            <w:left w:w="70" w:type="dxa"/>
            <w:right w:w="70" w:type="dxa"/>
          </w:tblCellMar>
        </w:tblPrEx>
        <w:trPr>
          <w:trHeight w:val="270"/>
        </w:trPr>
        <w:tc>
          <w:tcPr>
            <w:tcW w:w="1852"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1E5B24" w:rsidRPr="00950B03" w:rsidP="001E5B24">
            <w:pPr>
              <w:bidi w:val="0"/>
              <w:rPr>
                <w:rFonts w:ascii="Arial Narrow" w:hAnsi="Arial Narrow" w:cs="Arial Narrow"/>
                <w:b/>
                <w:bCs/>
                <w:sz w:val="16"/>
                <w:szCs w:val="16"/>
                <w:lang w:eastAsia="sk-SK"/>
              </w:rPr>
            </w:pPr>
            <w:r w:rsidRPr="00950B03">
              <w:rPr>
                <w:rFonts w:ascii="Arial Narrow" w:hAnsi="Arial Narrow" w:cs="Arial Narrow"/>
                <w:b/>
                <w:bCs/>
                <w:sz w:val="16"/>
                <w:szCs w:val="16"/>
                <w:lang w:eastAsia="sk-SK"/>
              </w:rPr>
              <w:t>Zdroje príslušnej kapitoly</w:t>
            </w:r>
          </w:p>
        </w:tc>
        <w:tc>
          <w:tcPr>
            <w:tcW w:w="520"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18 430</w:t>
            </w:r>
          </w:p>
        </w:tc>
        <w:tc>
          <w:tcPr>
            <w:tcW w:w="520"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20 287</w:t>
            </w:r>
          </w:p>
        </w:tc>
        <w:tc>
          <w:tcPr>
            <w:tcW w:w="520"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28 102</w:t>
            </w:r>
          </w:p>
        </w:tc>
        <w:tc>
          <w:tcPr>
            <w:tcW w:w="520"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42 384</w:t>
            </w:r>
          </w:p>
        </w:tc>
        <w:tc>
          <w:tcPr>
            <w:tcW w:w="520"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35 883</w:t>
            </w:r>
          </w:p>
        </w:tc>
        <w:tc>
          <w:tcPr>
            <w:tcW w:w="547" w:type="pct"/>
            <w:tcBorders>
              <w:top w:val="single" w:sz="4" w:space="0" w:color="auto"/>
              <w:left w:val="nil"/>
              <w:bottom w:val="single" w:sz="4" w:space="0" w:color="auto"/>
              <w:right w:val="single" w:sz="4" w:space="0" w:color="auto"/>
            </w:tcBorders>
            <w:shd w:val="clear" w:color="auto" w:fill="C0C0C0"/>
            <w:textDirection w:val="lrTb"/>
            <w:vAlign w:val="bottom"/>
          </w:tcPr>
          <w:p w:rsidR="001E5B24" w:rsidRPr="00950B03" w:rsidP="001E5B24">
            <w:pPr>
              <w:bidi w:val="0"/>
              <w:jc w:val="right"/>
              <w:rPr>
                <w:rFonts w:ascii="Arial Narrow" w:hAnsi="Arial Narrow" w:cs="Arial Narrow"/>
                <w:b/>
                <w:bCs/>
                <w:sz w:val="16"/>
                <w:szCs w:val="16"/>
                <w:lang w:eastAsia="sk-SK"/>
              </w:rPr>
            </w:pPr>
            <w:r w:rsidRPr="00950B03">
              <w:rPr>
                <w:rFonts w:ascii="Arial Narrow" w:hAnsi="Arial Narrow" w:cs="Arial Narrow"/>
                <w:b/>
                <w:bCs/>
                <w:sz w:val="16"/>
                <w:szCs w:val="16"/>
                <w:lang w:eastAsia="sk-SK"/>
              </w:rPr>
              <w:t>35 883</w:t>
            </w:r>
          </w:p>
        </w:tc>
      </w:tr>
      <w:tr>
        <w:tblPrEx>
          <w:tblW w:w="4962" w:type="pct"/>
          <w:tblInd w:w="70" w:type="dxa"/>
          <w:tblCellMar>
            <w:left w:w="70" w:type="dxa"/>
            <w:right w:w="70" w:type="dxa"/>
          </w:tblCellMar>
        </w:tblPrEx>
        <w:trPr>
          <w:trHeight w:val="270"/>
        </w:trPr>
        <w:tc>
          <w:tcPr>
            <w:tcW w:w="1852" w:type="pct"/>
            <w:tcBorders>
              <w:top w:val="nil"/>
              <w:left w:val="single" w:sz="4" w:space="0" w:color="auto"/>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sz w:val="16"/>
                <w:szCs w:val="16"/>
                <w:lang w:eastAsia="sk-SK"/>
              </w:rPr>
            </w:pPr>
            <w:r w:rsidRPr="00C82C02">
              <w:rPr>
                <w:rFonts w:ascii="Arial Narrow" w:hAnsi="Arial Narrow" w:cs="Arial Narrow"/>
                <w:sz w:val="16"/>
                <w:szCs w:val="16"/>
                <w:lang w:eastAsia="sk-SK"/>
              </w:rPr>
              <w:t>z toho:</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noWrap/>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c>
          <w:tcPr>
            <w:tcW w:w="547" w:type="pct"/>
            <w:tcBorders>
              <w:top w:val="nil"/>
              <w:left w:val="nil"/>
              <w:bottom w:val="single" w:sz="4" w:space="0" w:color="auto"/>
              <w:right w:val="single" w:sz="4" w:space="0" w:color="auto"/>
            </w:tcBorders>
            <w:noWrap/>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 </w:t>
            </w:r>
          </w:p>
        </w:tc>
      </w:tr>
      <w:tr>
        <w:tblPrEx>
          <w:tblW w:w="4962" w:type="pct"/>
          <w:tblInd w:w="70" w:type="dxa"/>
          <w:tblCellMar>
            <w:left w:w="70" w:type="dxa"/>
            <w:right w:w="70" w:type="dxa"/>
          </w:tblCellMar>
        </w:tblPrEx>
        <w:trPr>
          <w:trHeight w:val="270"/>
        </w:trPr>
        <w:tc>
          <w:tcPr>
            <w:tcW w:w="1852" w:type="pct"/>
            <w:tcBorders>
              <w:top w:val="nil"/>
              <w:left w:val="single" w:sz="4" w:space="0" w:color="auto"/>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sz w:val="16"/>
                <w:szCs w:val="16"/>
                <w:lang w:eastAsia="sk-SK"/>
              </w:rPr>
            </w:pPr>
            <w:r>
              <w:rPr>
                <w:rFonts w:ascii="Arial Narrow" w:hAnsi="Arial Narrow" w:cs="Arial Narrow"/>
                <w:sz w:val="16"/>
                <w:szCs w:val="16"/>
                <w:lang w:eastAsia="sk-SK"/>
              </w:rPr>
              <w:t>rozpočtové zdroje kapitoly</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18 364</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20 287</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28 102</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42 384</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35 883</w:t>
            </w:r>
          </w:p>
        </w:tc>
        <w:tc>
          <w:tcPr>
            <w:tcW w:w="547"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35 883</w:t>
            </w:r>
          </w:p>
        </w:tc>
      </w:tr>
      <w:tr>
        <w:tblPrEx>
          <w:tblW w:w="4962" w:type="pct"/>
          <w:tblInd w:w="70" w:type="dxa"/>
          <w:tblCellMar>
            <w:left w:w="70" w:type="dxa"/>
            <w:right w:w="70" w:type="dxa"/>
          </w:tblCellMar>
        </w:tblPrEx>
        <w:trPr>
          <w:trHeight w:val="270"/>
        </w:trPr>
        <w:tc>
          <w:tcPr>
            <w:tcW w:w="1852" w:type="pct"/>
            <w:tcBorders>
              <w:top w:val="nil"/>
              <w:left w:val="single" w:sz="4" w:space="0" w:color="auto"/>
              <w:bottom w:val="single" w:sz="4" w:space="0" w:color="auto"/>
              <w:right w:val="single" w:sz="4" w:space="0" w:color="auto"/>
            </w:tcBorders>
            <w:noWrap/>
            <w:textDirection w:val="lrTb"/>
            <w:vAlign w:val="bottom"/>
          </w:tcPr>
          <w:p w:rsidR="001E5B24" w:rsidRPr="00C82C02" w:rsidP="001E5B24">
            <w:pPr>
              <w:bidi w:val="0"/>
              <w:rPr>
                <w:rFonts w:ascii="Arial Narrow" w:hAnsi="Arial Narrow" w:cs="Arial Narrow"/>
                <w:sz w:val="16"/>
                <w:szCs w:val="16"/>
                <w:lang w:eastAsia="sk-SK"/>
              </w:rPr>
            </w:pPr>
            <w:r w:rsidRPr="00C82C02">
              <w:rPr>
                <w:rFonts w:ascii="Arial Narrow" w:hAnsi="Arial Narrow" w:cs="Arial Narrow"/>
                <w:sz w:val="16"/>
                <w:szCs w:val="16"/>
                <w:lang w:eastAsia="sk-SK"/>
              </w:rPr>
              <w:t>presun z min. rokov § 8</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sidRPr="00C82C02">
              <w:rPr>
                <w:rFonts w:ascii="Arial Narrow" w:hAnsi="Arial Narrow" w:cs="Arial Narrow"/>
                <w:sz w:val="16"/>
                <w:szCs w:val="16"/>
                <w:lang w:eastAsia="sk-SK"/>
              </w:rPr>
              <w:t>66</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r w:rsidRPr="00C82C02">
              <w:rPr>
                <w:rFonts w:ascii="Arial Narrow" w:hAnsi="Arial Narrow" w:cs="Arial Narrow"/>
                <w:sz w:val="16"/>
                <w:szCs w:val="16"/>
                <w:lang w:eastAsia="sk-SK"/>
              </w:rPr>
              <w:t> </w:t>
            </w:r>
          </w:p>
        </w:tc>
        <w:tc>
          <w:tcPr>
            <w:tcW w:w="520"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r w:rsidRPr="00C82C02">
              <w:rPr>
                <w:rFonts w:ascii="Arial Narrow" w:hAnsi="Arial Narrow" w:cs="Arial Narrow"/>
                <w:sz w:val="16"/>
                <w:szCs w:val="16"/>
                <w:lang w:eastAsia="sk-SK"/>
              </w:rPr>
              <w:t> </w:t>
            </w:r>
          </w:p>
        </w:tc>
        <w:tc>
          <w:tcPr>
            <w:tcW w:w="547" w:type="pct"/>
            <w:tcBorders>
              <w:top w:val="nil"/>
              <w:left w:val="nil"/>
              <w:bottom w:val="single" w:sz="4" w:space="0" w:color="auto"/>
              <w:right w:val="single" w:sz="4" w:space="0" w:color="auto"/>
            </w:tcBorders>
            <w:textDirection w:val="lrTb"/>
            <w:vAlign w:val="bottom"/>
          </w:tcPr>
          <w:p w:rsidR="001E5B24" w:rsidRPr="00C82C02" w:rsidP="001E5B24">
            <w:pPr>
              <w:bidi w:val="0"/>
              <w:jc w:val="right"/>
              <w:rPr>
                <w:rFonts w:ascii="Arial Narrow" w:hAnsi="Arial Narrow" w:cs="Arial Narrow"/>
                <w:sz w:val="16"/>
                <w:szCs w:val="16"/>
                <w:lang w:eastAsia="sk-SK"/>
              </w:rPr>
            </w:pPr>
            <w:r>
              <w:rPr>
                <w:rFonts w:ascii="Arial Narrow" w:hAnsi="Arial Narrow" w:cs="Arial Narrow"/>
                <w:sz w:val="16"/>
                <w:szCs w:val="16"/>
                <w:lang w:eastAsia="sk-SK"/>
              </w:rPr>
              <w:t>0</w:t>
            </w:r>
            <w:r w:rsidRPr="00C82C02">
              <w:rPr>
                <w:rFonts w:ascii="Arial Narrow" w:hAnsi="Arial Narrow" w:cs="Arial Narrow"/>
                <w:sz w:val="16"/>
                <w:szCs w:val="16"/>
                <w:lang w:eastAsia="sk-SK"/>
              </w:rPr>
              <w:t> </w:t>
            </w:r>
          </w:p>
        </w:tc>
      </w:tr>
    </w:tbl>
    <w:p w:rsidR="001E5B24" w:rsidRPr="00170164"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EA64AA">
        <w:rPr>
          <w:rFonts w:ascii="Arial Narrow" w:hAnsi="Arial Narrow" w:cs="Arial Narrow"/>
          <w:sz w:val="22"/>
          <w:szCs w:val="22"/>
        </w:rPr>
        <w:t xml:space="preserve">Celkové výdavky kapitoly </w:t>
      </w:r>
      <w:r>
        <w:rPr>
          <w:rFonts w:ascii="Arial Narrow" w:hAnsi="Arial Narrow" w:cs="Arial Narrow"/>
          <w:sz w:val="22"/>
          <w:szCs w:val="22"/>
        </w:rPr>
        <w:t xml:space="preserve">v roku 2011 </w:t>
      </w:r>
      <w:r w:rsidRPr="00EA64AA">
        <w:rPr>
          <w:rFonts w:ascii="Arial Narrow" w:hAnsi="Arial Narrow" w:cs="Arial Narrow"/>
          <w:sz w:val="22"/>
          <w:szCs w:val="22"/>
        </w:rPr>
        <w:t xml:space="preserve">rastú </w:t>
      </w:r>
      <w:r>
        <w:rPr>
          <w:rFonts w:ascii="Arial Narrow" w:hAnsi="Arial Narrow" w:cs="Arial Narrow"/>
          <w:sz w:val="22"/>
          <w:szCs w:val="22"/>
        </w:rPr>
        <w:t xml:space="preserve">oproti schválenému rozpočtu roka 2010 </w:t>
      </w:r>
      <w:r w:rsidRPr="00EA64AA">
        <w:rPr>
          <w:rFonts w:ascii="Arial Narrow" w:hAnsi="Arial Narrow" w:cs="Arial Narrow"/>
          <w:sz w:val="22"/>
          <w:szCs w:val="22"/>
        </w:rPr>
        <w:t>o</w:t>
      </w:r>
      <w:r>
        <w:rPr>
          <w:rFonts w:ascii="Arial Narrow" w:hAnsi="Arial Narrow" w:cs="Arial Narrow"/>
          <w:sz w:val="22"/>
          <w:szCs w:val="22"/>
        </w:rPr>
        <w:t> 14,3 mil. eur, čo predstavuje 50,8</w:t>
      </w:r>
      <w:r w:rsidRPr="00EA64AA">
        <w:rPr>
          <w:rFonts w:ascii="Arial Narrow" w:hAnsi="Arial Narrow" w:cs="Arial Narrow"/>
          <w:sz w:val="22"/>
          <w:szCs w:val="22"/>
        </w:rPr>
        <w:t>%</w:t>
      </w:r>
      <w:r>
        <w:rPr>
          <w:rFonts w:ascii="Arial Narrow" w:hAnsi="Arial Narrow" w:cs="Arial Narrow"/>
          <w:sz w:val="22"/>
          <w:szCs w:val="22"/>
        </w:rPr>
        <w:t xml:space="preserve"> zvýšenie</w:t>
      </w:r>
      <w:r w:rsidRPr="00EA64AA">
        <w:rPr>
          <w:rFonts w:ascii="Arial Narrow" w:hAnsi="Arial Narrow" w:cs="Arial Narrow"/>
          <w:sz w:val="22"/>
          <w:szCs w:val="22"/>
        </w:rPr>
        <w:t>.</w:t>
      </w:r>
      <w:r>
        <w:rPr>
          <w:rFonts w:ascii="Arial Narrow" w:hAnsi="Arial Narrow" w:cs="Arial Narrow"/>
          <w:sz w:val="22"/>
          <w:szCs w:val="22"/>
        </w:rPr>
        <w:t xml:space="preserve"> Uvedené zmeny súvisia </w:t>
      </w:r>
      <w:r w:rsidRPr="00EA64AA">
        <w:rPr>
          <w:rFonts w:ascii="Arial Narrow" w:hAnsi="Arial Narrow" w:cs="Arial Narrow"/>
          <w:sz w:val="22"/>
          <w:szCs w:val="22"/>
        </w:rPr>
        <w:t>s</w:t>
      </w:r>
      <w:r>
        <w:rPr>
          <w:rFonts w:ascii="Arial Narrow" w:hAnsi="Arial Narrow" w:cs="Arial Narrow"/>
          <w:sz w:val="22"/>
          <w:szCs w:val="22"/>
        </w:rPr>
        <w:t>o zvýšením</w:t>
      </w:r>
      <w:r w:rsidRPr="00EA64AA">
        <w:rPr>
          <w:rFonts w:ascii="Arial Narrow" w:hAnsi="Arial Narrow" w:cs="Arial Narrow"/>
          <w:sz w:val="22"/>
          <w:szCs w:val="22"/>
        </w:rPr>
        <w:t xml:space="preserve"> </w:t>
      </w:r>
      <w:r>
        <w:rPr>
          <w:rFonts w:ascii="Arial Narrow" w:hAnsi="Arial Narrow" w:cs="Arial Narrow"/>
          <w:sz w:val="22"/>
          <w:szCs w:val="22"/>
        </w:rPr>
        <w:t>platby</w:t>
      </w:r>
      <w:r w:rsidRPr="00EA64AA">
        <w:rPr>
          <w:rFonts w:ascii="Arial Narrow" w:hAnsi="Arial Narrow" w:cs="Arial Narrow"/>
          <w:sz w:val="22"/>
          <w:szCs w:val="22"/>
        </w:rPr>
        <w:t xml:space="preserve"> štátu za ochraňovanie a skladovanie ropy a ropných výrobkov</w:t>
      </w:r>
      <w:r>
        <w:rPr>
          <w:rFonts w:ascii="Arial Narrow" w:hAnsi="Arial Narrow" w:cs="Arial Narrow"/>
          <w:sz w:val="22"/>
          <w:szCs w:val="22"/>
        </w:rPr>
        <w:t xml:space="preserve"> v priebehu roka 2010, ktorej </w:t>
      </w:r>
      <w:r w:rsidRPr="00EA64AA">
        <w:rPr>
          <w:rFonts w:ascii="Arial Narrow" w:hAnsi="Arial Narrow" w:cs="Arial Narrow"/>
          <w:sz w:val="22"/>
          <w:szCs w:val="22"/>
        </w:rPr>
        <w:t>3-násobn</w:t>
      </w:r>
      <w:r>
        <w:rPr>
          <w:rFonts w:ascii="Arial Narrow" w:hAnsi="Arial Narrow" w:cs="Arial Narrow"/>
          <w:sz w:val="22"/>
          <w:szCs w:val="22"/>
        </w:rPr>
        <w:t>ý</w:t>
      </w:r>
      <w:r w:rsidRPr="00EA64AA">
        <w:rPr>
          <w:rFonts w:ascii="Arial Narrow" w:hAnsi="Arial Narrow" w:cs="Arial Narrow"/>
          <w:sz w:val="22"/>
          <w:szCs w:val="22"/>
        </w:rPr>
        <w:t xml:space="preserve"> nárast ceny skladovania a ochraňovania 1m</w:t>
      </w:r>
      <w:r w:rsidRPr="00EA64AA">
        <w:rPr>
          <w:rFonts w:ascii="Arial Narrow" w:hAnsi="Arial Narrow" w:cs="Arial Narrow"/>
          <w:sz w:val="22"/>
          <w:szCs w:val="22"/>
          <w:vertAlign w:val="superscript"/>
        </w:rPr>
        <w:t>3</w:t>
      </w:r>
      <w:r w:rsidRPr="00EA64AA">
        <w:rPr>
          <w:rFonts w:ascii="Arial Narrow" w:hAnsi="Arial Narrow" w:cs="Arial Narrow"/>
          <w:sz w:val="22"/>
          <w:szCs w:val="22"/>
        </w:rPr>
        <w:t xml:space="preserve"> pohonných hmôt</w:t>
      </w:r>
      <w:r>
        <w:rPr>
          <w:rFonts w:ascii="Arial Narrow" w:hAnsi="Arial Narrow" w:cs="Arial Narrow"/>
          <w:sz w:val="22"/>
          <w:szCs w:val="22"/>
        </w:rPr>
        <w:t xml:space="preserve"> nebol premietnutý</w:t>
      </w:r>
      <w:r w:rsidRPr="00EA64AA">
        <w:rPr>
          <w:rFonts w:ascii="Arial Narrow" w:hAnsi="Arial Narrow" w:cs="Arial Narrow"/>
          <w:sz w:val="22"/>
          <w:szCs w:val="22"/>
        </w:rPr>
        <w:t xml:space="preserve"> v schválenom rozpočte roka 2010</w:t>
      </w:r>
      <w:r>
        <w:rPr>
          <w:rFonts w:ascii="Arial Narrow" w:hAnsi="Arial Narrow" w:cs="Arial Narrow"/>
          <w:sz w:val="22"/>
          <w:szCs w:val="22"/>
        </w:rPr>
        <w:t xml:space="preserve"> ale až v upravenom rozpočte roka 2010. </w:t>
      </w:r>
    </w:p>
    <w:p w:rsidR="001E5B24" w:rsidP="001E5B24">
      <w:pPr>
        <w:bidi w:val="0"/>
        <w:ind w:firstLine="708"/>
        <w:jc w:val="both"/>
        <w:rPr>
          <w:rFonts w:ascii="Arial Narrow" w:hAnsi="Arial Narrow" w:cs="Arial Narrow"/>
          <w:sz w:val="22"/>
          <w:szCs w:val="22"/>
        </w:rPr>
      </w:pPr>
    </w:p>
    <w:p w:rsidR="001E5B24" w:rsidRPr="00EA64AA" w:rsidP="001E5B24">
      <w:pPr>
        <w:bidi w:val="0"/>
        <w:ind w:firstLine="708"/>
        <w:jc w:val="both"/>
        <w:rPr>
          <w:rFonts w:ascii="Arial Narrow" w:hAnsi="Arial Narrow" w:cs="Arial Narrow"/>
          <w:sz w:val="22"/>
          <w:szCs w:val="22"/>
        </w:rPr>
      </w:pPr>
      <w:r w:rsidRPr="00EA64AA">
        <w:rPr>
          <w:rFonts w:ascii="Arial Narrow" w:hAnsi="Arial Narrow" w:cs="Arial Narrow"/>
          <w:sz w:val="22"/>
          <w:szCs w:val="22"/>
        </w:rPr>
        <w:t>Objem osobných výdavkov sa pre rok 2011 rozpočtuje na úrovni 1,6 mil. eur, čo v porovnaní s rokom 2010 predstavuje pokles</w:t>
      </w:r>
      <w:r>
        <w:rPr>
          <w:rFonts w:ascii="Arial Narrow" w:hAnsi="Arial Narrow" w:cs="Arial Narrow"/>
          <w:sz w:val="22"/>
          <w:szCs w:val="22"/>
        </w:rPr>
        <w:t xml:space="preserve"> o</w:t>
      </w:r>
      <w:r w:rsidRPr="00EA64AA">
        <w:rPr>
          <w:rFonts w:ascii="Arial Narrow" w:hAnsi="Arial Narrow" w:cs="Arial Narrow"/>
          <w:sz w:val="22"/>
          <w:szCs w:val="22"/>
        </w:rPr>
        <w:t xml:space="preserve"> 9,66 % (171 tis. eur). Medziročný pokles osobných výdavkov je ovplyvnený viazaním osobných výdavkov na úrovni 10 % </w:t>
      </w:r>
      <w:r w:rsidR="00271764">
        <w:rPr>
          <w:rFonts w:ascii="Arial Narrow" w:hAnsi="Arial Narrow" w:cs="Arial Narrow"/>
          <w:sz w:val="22"/>
          <w:szCs w:val="22"/>
        </w:rPr>
        <w:t>pre</w:t>
      </w:r>
      <w:r w:rsidRPr="00EA64AA">
        <w:rPr>
          <w:rFonts w:ascii="Arial Narrow" w:hAnsi="Arial Narrow" w:cs="Arial Narrow"/>
          <w:sz w:val="22"/>
          <w:szCs w:val="22"/>
        </w:rPr>
        <w:t> štátnych zamestnancov a zamestnancov pri výkone práce vo verejnom záujme, pri zohľadnení dopočtu 1% valorizácie z roku 2010.</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EA64AA">
        <w:rPr>
          <w:rFonts w:ascii="Arial Narrow" w:hAnsi="Arial Narrow" w:cs="Arial Narrow"/>
          <w:sz w:val="22"/>
          <w:szCs w:val="22"/>
        </w:rPr>
        <w:t xml:space="preserve">Výdavky na tovary a služby </w:t>
      </w:r>
      <w:r>
        <w:rPr>
          <w:rFonts w:ascii="Arial Narrow" w:hAnsi="Arial Narrow" w:cs="Arial Narrow"/>
          <w:sz w:val="22"/>
          <w:szCs w:val="22"/>
        </w:rPr>
        <w:t>sú v návrhu rozpočtu na rok</w:t>
      </w:r>
      <w:r w:rsidRPr="00EA64AA">
        <w:rPr>
          <w:rFonts w:ascii="Arial Narrow" w:hAnsi="Arial Narrow" w:cs="Arial Narrow"/>
          <w:sz w:val="22"/>
          <w:szCs w:val="22"/>
        </w:rPr>
        <w:t xml:space="preserve"> 2011 v porovnaní s rok</w:t>
      </w:r>
      <w:r>
        <w:rPr>
          <w:rFonts w:ascii="Arial Narrow" w:hAnsi="Arial Narrow" w:cs="Arial Narrow"/>
          <w:sz w:val="22"/>
          <w:szCs w:val="22"/>
        </w:rPr>
        <w:t xml:space="preserve">om 2010 vyššie o 17,5 mil. eur, čo predstavuje 139% nárast, v porovnaní s upraveným rozpočtom roka 2010 sú vyššie o 306 tis. eur, čo je 1,02% zvýšenie. Zmena súvisí s vyššie uvedeným rozpočtovaním zdrojov na ochraňovanie a skladovanie, nezabezpečeným v schválenom rozpočte roka 2010. </w:t>
      </w:r>
      <w:r w:rsidRPr="00EA64AA">
        <w:rPr>
          <w:rFonts w:ascii="Arial Narrow" w:hAnsi="Arial Narrow" w:cs="Arial Narrow"/>
          <w:sz w:val="22"/>
          <w:szCs w:val="22"/>
        </w:rPr>
        <w:t xml:space="preserve"> </w:t>
      </w:r>
    </w:p>
    <w:p w:rsidR="001E5B24" w:rsidP="001E5B24">
      <w:pPr>
        <w:bidi w:val="0"/>
        <w:ind w:firstLine="708"/>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EA64AA">
        <w:rPr>
          <w:rFonts w:ascii="Arial Narrow" w:hAnsi="Arial Narrow" w:cs="Arial Narrow"/>
          <w:sz w:val="22"/>
          <w:szCs w:val="22"/>
        </w:rPr>
        <w:t xml:space="preserve">Bežné transfery sa rozpočtujú na úrovni roka 2010. </w:t>
      </w:r>
    </w:p>
    <w:p w:rsidR="001E5B24" w:rsidP="001E5B24">
      <w:pPr>
        <w:bidi w:val="0"/>
        <w:ind w:firstLine="708"/>
        <w:jc w:val="both"/>
        <w:rPr>
          <w:rFonts w:ascii="Arial Narrow" w:hAnsi="Arial Narrow" w:cs="Arial Narrow"/>
          <w:sz w:val="22"/>
          <w:szCs w:val="22"/>
        </w:rPr>
      </w:pPr>
    </w:p>
    <w:p w:rsidR="001E5B24" w:rsidRPr="00EA64AA" w:rsidP="001E5B24">
      <w:pPr>
        <w:bidi w:val="0"/>
        <w:ind w:firstLine="708"/>
        <w:jc w:val="both"/>
        <w:rPr>
          <w:rFonts w:ascii="Arial Narrow" w:hAnsi="Arial Narrow" w:cs="Arial Narrow"/>
          <w:sz w:val="22"/>
          <w:szCs w:val="22"/>
        </w:rPr>
      </w:pPr>
      <w:r w:rsidRPr="00EA64AA">
        <w:rPr>
          <w:rFonts w:ascii="Arial Narrow" w:hAnsi="Arial Narrow" w:cs="Arial Narrow"/>
          <w:sz w:val="22"/>
          <w:szCs w:val="22"/>
        </w:rPr>
        <w:t xml:space="preserve">Kapitálové výdavky </w:t>
      </w:r>
      <w:r>
        <w:rPr>
          <w:rFonts w:ascii="Arial Narrow" w:hAnsi="Arial Narrow" w:cs="Arial Narrow"/>
          <w:sz w:val="22"/>
          <w:szCs w:val="22"/>
        </w:rPr>
        <w:t>v roku 2011 klesajú v porovnaní so schváleným rozpočtom roka</w:t>
      </w:r>
      <w:r w:rsidRPr="00EA64AA">
        <w:rPr>
          <w:rFonts w:ascii="Arial Narrow" w:hAnsi="Arial Narrow" w:cs="Arial Narrow"/>
          <w:sz w:val="22"/>
          <w:szCs w:val="22"/>
        </w:rPr>
        <w:t xml:space="preserve"> 2010 o</w:t>
      </w:r>
      <w:r>
        <w:rPr>
          <w:rFonts w:ascii="Arial Narrow" w:hAnsi="Arial Narrow" w:cs="Arial Narrow"/>
          <w:sz w:val="22"/>
          <w:szCs w:val="22"/>
        </w:rPr>
        <w:t> 3,09 mil. </w:t>
      </w:r>
      <w:r w:rsidRPr="00EA64AA">
        <w:rPr>
          <w:rFonts w:ascii="Arial Narrow" w:hAnsi="Arial Narrow" w:cs="Arial Narrow"/>
          <w:sz w:val="22"/>
          <w:szCs w:val="22"/>
        </w:rPr>
        <w:t>eur</w:t>
      </w:r>
      <w:r>
        <w:rPr>
          <w:rFonts w:ascii="Arial Narrow" w:hAnsi="Arial Narrow" w:cs="Arial Narrow"/>
          <w:sz w:val="22"/>
          <w:szCs w:val="22"/>
        </w:rPr>
        <w:t xml:space="preserve">, čo predstavuje </w:t>
      </w:r>
      <w:r w:rsidRPr="00EA64AA">
        <w:rPr>
          <w:rFonts w:ascii="Arial Narrow" w:hAnsi="Arial Narrow" w:cs="Arial Narrow"/>
          <w:sz w:val="22"/>
          <w:szCs w:val="22"/>
        </w:rPr>
        <w:t>22,6%</w:t>
      </w:r>
      <w:r>
        <w:rPr>
          <w:rFonts w:ascii="Arial Narrow" w:hAnsi="Arial Narrow" w:cs="Arial Narrow"/>
          <w:sz w:val="22"/>
          <w:szCs w:val="22"/>
        </w:rPr>
        <w:t xml:space="preserve"> zníženie. Pokles sa prejavil v nižšej alokácii</w:t>
      </w:r>
      <w:r w:rsidRPr="00EA64AA">
        <w:rPr>
          <w:rFonts w:ascii="Arial Narrow" w:hAnsi="Arial Narrow" w:cs="Arial Narrow"/>
          <w:sz w:val="22"/>
          <w:szCs w:val="22"/>
        </w:rPr>
        <w:t xml:space="preserve"> prostriedkov na obmenu a dopĺňanie mobilizačných rezerv a rekonštrukcie a modernizácie budov v správe kapitoly.</w:t>
      </w:r>
    </w:p>
    <w:p w:rsidR="001E5B24" w:rsidP="001E5B24">
      <w:pPr>
        <w:bidi w:val="0"/>
        <w:ind w:firstLine="708"/>
        <w:jc w:val="both"/>
        <w:rPr>
          <w:rFonts w:ascii="Arial Narrow" w:hAnsi="Arial Narrow" w:cs="Arial Narrow"/>
          <w:sz w:val="22"/>
          <w:szCs w:val="22"/>
        </w:rPr>
      </w:pPr>
    </w:p>
    <w:p w:rsidR="001E5B24" w:rsidRPr="001F30F9" w:rsidP="001E5B24">
      <w:pPr>
        <w:bidi w:val="0"/>
        <w:ind w:firstLine="708"/>
        <w:jc w:val="both"/>
        <w:rPr>
          <w:rFonts w:ascii="Arial Narrow" w:hAnsi="Arial Narrow" w:cs="Arial Narrow"/>
          <w:sz w:val="22"/>
          <w:szCs w:val="22"/>
        </w:rPr>
      </w:pPr>
    </w:p>
    <w:p w:rsidR="001E5B24" w:rsidRPr="001F30F9" w:rsidP="001E5B24">
      <w:pPr>
        <w:pBdr>
          <w:bottom w:val="single" w:sz="4" w:space="1" w:color="auto"/>
        </w:pBdr>
        <w:bidi w:val="0"/>
        <w:jc w:val="both"/>
        <w:rPr>
          <w:rFonts w:ascii="Arial Narrow" w:hAnsi="Arial Narrow" w:cs="Arial Narrow"/>
          <w:b/>
          <w:bCs/>
          <w:sz w:val="22"/>
          <w:szCs w:val="22"/>
        </w:rPr>
      </w:pPr>
      <w:r w:rsidRPr="001F30F9">
        <w:rPr>
          <w:rFonts w:ascii="Arial Narrow" w:hAnsi="Arial Narrow" w:cs="Arial Narrow"/>
          <w:b/>
          <w:bCs/>
          <w:sz w:val="22"/>
          <w:szCs w:val="22"/>
        </w:rPr>
        <w:t>Slovenská akadémia vied</w:t>
      </w:r>
    </w:p>
    <w:p w:rsidR="001E5B24" w:rsidRPr="001F30F9" w:rsidP="001E5B24">
      <w:pPr>
        <w:bidi w:val="0"/>
        <w:jc w:val="both"/>
        <w:rPr>
          <w:rFonts w:ascii="Arial Narrow" w:hAnsi="Arial Narrow" w:cs="Arial Narrow"/>
          <w:b/>
          <w:bCs/>
          <w:sz w:val="22"/>
          <w:szCs w:val="22"/>
        </w:rPr>
      </w:pPr>
    </w:p>
    <w:tbl>
      <w:tblPr>
        <w:tblStyle w:val="TableNormal"/>
        <w:tblW w:w="9053" w:type="dxa"/>
        <w:tblInd w:w="55" w:type="dxa"/>
        <w:tblLayout w:type="fixed"/>
        <w:tblCellMar>
          <w:left w:w="70" w:type="dxa"/>
          <w:right w:w="70" w:type="dxa"/>
        </w:tblCellMar>
        <w:tblLook w:val="00A0"/>
      </w:tblPr>
      <w:tblGrid>
        <w:gridCol w:w="3417"/>
        <w:gridCol w:w="939"/>
        <w:gridCol w:w="939"/>
        <w:gridCol w:w="940"/>
        <w:gridCol w:w="939"/>
        <w:gridCol w:w="939"/>
        <w:gridCol w:w="940"/>
      </w:tblGrid>
      <w:tr>
        <w:tblPrEx>
          <w:tblW w:w="9053" w:type="dxa"/>
          <w:tblInd w:w="55" w:type="dxa"/>
          <w:tblLayout w:type="fixed"/>
          <w:tblCellMar>
            <w:left w:w="70" w:type="dxa"/>
            <w:right w:w="70" w:type="dxa"/>
          </w:tblCellMar>
          <w:tblLook w:val="00A0"/>
        </w:tblPrEx>
        <w:trPr>
          <w:trHeight w:val="230"/>
        </w:trPr>
        <w:tc>
          <w:tcPr>
            <w:tcW w:w="3417" w:type="dxa"/>
            <w:tcBorders>
              <w:top w:val="single" w:sz="4" w:space="0" w:color="auto"/>
              <w:left w:val="single" w:sz="4" w:space="0" w:color="auto"/>
              <w:bottom w:val="single" w:sz="4" w:space="0" w:color="auto"/>
              <w:right w:val="single" w:sz="4" w:space="0" w:color="auto"/>
            </w:tcBorders>
            <w:noWrap/>
            <w:textDirection w:val="lrTb"/>
            <w:vAlign w:val="bottom"/>
          </w:tcPr>
          <w:p w:rsidR="001E5B24" w:rsidRPr="00813904" w:rsidP="001E5B24">
            <w:pPr>
              <w:bidi w:val="0"/>
              <w:rPr>
                <w:rFonts w:ascii="Arial Narrow" w:hAnsi="Arial Narrow" w:cs="Arial Narrow"/>
                <w:b/>
                <w:bCs/>
                <w:sz w:val="16"/>
                <w:szCs w:val="16"/>
              </w:rPr>
            </w:pPr>
            <w:r w:rsidRPr="00813904">
              <w:rPr>
                <w:rFonts w:ascii="Arial Narrow" w:hAnsi="Arial Narrow" w:cs="Arial Narrow"/>
                <w:b/>
                <w:bCs/>
                <w:sz w:val="16"/>
                <w:szCs w:val="16"/>
              </w:rPr>
              <w:t>v</w:t>
            </w:r>
            <w:r>
              <w:rPr>
                <w:rFonts w:ascii="Arial Narrow" w:hAnsi="Arial Narrow" w:cs="Arial Narrow"/>
                <w:b/>
                <w:bCs/>
                <w:sz w:val="16"/>
                <w:szCs w:val="16"/>
              </w:rPr>
              <w:t xml:space="preserve"> tis. </w:t>
            </w:r>
            <w:r w:rsidRPr="00813904">
              <w:rPr>
                <w:rFonts w:ascii="Arial Narrow" w:hAnsi="Arial Narrow" w:cs="Arial Narrow"/>
                <w:b/>
                <w:bCs/>
                <w:sz w:val="16"/>
                <w:szCs w:val="16"/>
              </w:rPr>
              <w:t>eur</w:t>
            </w:r>
          </w:p>
        </w:tc>
        <w:tc>
          <w:tcPr>
            <w:tcW w:w="939"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2008 S</w:t>
            </w:r>
          </w:p>
        </w:tc>
        <w:tc>
          <w:tcPr>
            <w:tcW w:w="939"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2009 S</w:t>
            </w:r>
          </w:p>
        </w:tc>
        <w:tc>
          <w:tcPr>
            <w:tcW w:w="940"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2010 R</w:t>
            </w:r>
          </w:p>
        </w:tc>
        <w:tc>
          <w:tcPr>
            <w:tcW w:w="939"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2011 N</w:t>
            </w:r>
          </w:p>
        </w:tc>
        <w:tc>
          <w:tcPr>
            <w:tcW w:w="939"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2012 N</w:t>
            </w:r>
          </w:p>
        </w:tc>
        <w:tc>
          <w:tcPr>
            <w:tcW w:w="940" w:type="dxa"/>
            <w:tcBorders>
              <w:top w:val="single" w:sz="4" w:space="0" w:color="auto"/>
              <w:left w:val="nil"/>
              <w:bottom w:val="single" w:sz="4" w:space="0" w:color="auto"/>
              <w:right w:val="single" w:sz="4" w:space="0" w:color="auto"/>
            </w:tcBorders>
            <w:noWrap/>
            <w:textDirection w:val="lrTb"/>
            <w:vAlign w:val="bottom"/>
          </w:tcPr>
          <w:p w:rsidR="001E5B24" w:rsidRPr="00813904" w:rsidP="001E5B24">
            <w:pPr>
              <w:bidi w:val="0"/>
              <w:jc w:val="center"/>
              <w:rPr>
                <w:rFonts w:ascii="Arial Narrow" w:hAnsi="Arial Narrow" w:cs="Arial Narrow"/>
                <w:b/>
                <w:bCs/>
                <w:sz w:val="16"/>
                <w:szCs w:val="16"/>
              </w:rPr>
            </w:pPr>
            <w:r w:rsidRPr="00813904">
              <w:rPr>
                <w:rFonts w:ascii="Arial Narrow" w:hAnsi="Arial Narrow" w:cs="Arial Narrow"/>
                <w:b/>
                <w:bCs/>
                <w:sz w:val="16"/>
                <w:szCs w:val="16"/>
              </w:rPr>
              <w:t>2013 N</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shd w:val="clear" w:color="000000" w:fill="C0C0C0"/>
            <w:textDirection w:val="lrTb"/>
            <w:vAlign w:val="bottom"/>
          </w:tcPr>
          <w:p w:rsidR="001E5B24" w:rsidRPr="001D0449" w:rsidP="001E5B24">
            <w:pPr>
              <w:bidi w:val="0"/>
              <w:rPr>
                <w:rFonts w:ascii="Arial Narrow" w:hAnsi="Arial Narrow" w:cs="Arial Narrow"/>
                <w:b/>
                <w:bCs/>
                <w:color w:val="000000"/>
                <w:sz w:val="16"/>
                <w:szCs w:val="16"/>
              </w:rPr>
            </w:pPr>
            <w:r w:rsidRPr="001D0449">
              <w:rPr>
                <w:rFonts w:ascii="Arial Narrow" w:hAnsi="Arial Narrow" w:cs="Arial Narrow"/>
                <w:b/>
                <w:bCs/>
                <w:color w:val="000000"/>
                <w:sz w:val="16"/>
                <w:szCs w:val="16"/>
              </w:rPr>
              <w:t>Zdroje príslušnej kapitoly</w:t>
            </w:r>
          </w:p>
        </w:tc>
        <w:tc>
          <w:tcPr>
            <w:tcW w:w="939"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71 986</w:t>
            </w:r>
          </w:p>
        </w:tc>
        <w:tc>
          <w:tcPr>
            <w:tcW w:w="939"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72 874</w:t>
            </w:r>
          </w:p>
        </w:tc>
        <w:tc>
          <w:tcPr>
            <w:tcW w:w="940"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65 909</w:t>
            </w:r>
          </w:p>
        </w:tc>
        <w:tc>
          <w:tcPr>
            <w:tcW w:w="939"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59 964</w:t>
            </w:r>
          </w:p>
        </w:tc>
        <w:tc>
          <w:tcPr>
            <w:tcW w:w="939"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58 616</w:t>
            </w:r>
          </w:p>
        </w:tc>
        <w:tc>
          <w:tcPr>
            <w:tcW w:w="940" w:type="dxa"/>
            <w:tcBorders>
              <w:top w:val="nil"/>
              <w:left w:val="nil"/>
              <w:bottom w:val="single" w:sz="4" w:space="0" w:color="auto"/>
              <w:right w:val="single" w:sz="4" w:space="0" w:color="auto"/>
            </w:tcBorders>
            <w:shd w:val="clear" w:color="000000" w:fill="C0C0C0"/>
            <w:textDirection w:val="lrTb"/>
            <w:vAlign w:val="bottom"/>
          </w:tcPr>
          <w:p w:rsidR="001E5B24" w:rsidRPr="001D0449" w:rsidP="001E5B24">
            <w:pPr>
              <w:bidi w:val="0"/>
              <w:jc w:val="right"/>
              <w:rPr>
                <w:rFonts w:ascii="Arial Narrow" w:hAnsi="Arial Narrow" w:cs="Arial Narrow"/>
                <w:b/>
                <w:bCs/>
                <w:color w:val="000000"/>
                <w:sz w:val="16"/>
                <w:szCs w:val="16"/>
              </w:rPr>
            </w:pPr>
            <w:r w:rsidRPr="001D0449">
              <w:rPr>
                <w:rFonts w:ascii="Arial Narrow" w:hAnsi="Arial Narrow" w:cs="Arial Narrow"/>
                <w:b/>
                <w:bCs/>
                <w:color w:val="000000"/>
                <w:sz w:val="16"/>
                <w:szCs w:val="16"/>
              </w:rPr>
              <w:t>58 449</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z toho:</w:t>
            </w:r>
          </w:p>
        </w:tc>
        <w:tc>
          <w:tcPr>
            <w:tcW w:w="939"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c>
          <w:tcPr>
            <w:tcW w:w="939"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c>
          <w:tcPr>
            <w:tcW w:w="940"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c>
          <w:tcPr>
            <w:tcW w:w="939"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c>
          <w:tcPr>
            <w:tcW w:w="939"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c>
          <w:tcPr>
            <w:tcW w:w="940" w:type="dxa"/>
            <w:tcBorders>
              <w:top w:val="nil"/>
              <w:left w:val="nil"/>
              <w:bottom w:val="single" w:sz="4" w:space="0" w:color="auto"/>
              <w:right w:val="single" w:sz="4" w:space="0" w:color="auto"/>
            </w:tcBorders>
            <w:noWrap/>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 </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 xml:space="preserve">rozpočtové zdroje kapitoly </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61 949</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64 439</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65 326</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59 551</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58 616</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58 449</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presun z min.rokov (§8)</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1 328</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99</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EÚ prostriedky</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349</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1 399</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 xml:space="preserve">spolufinancovanie </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349</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315</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r>
      <w:tr>
        <w:tblPrEx>
          <w:tblW w:w="9053" w:type="dxa"/>
          <w:tblInd w:w="55" w:type="dxa"/>
          <w:tblLayout w:type="fixed"/>
          <w:tblCellMar>
            <w:left w:w="70" w:type="dxa"/>
            <w:right w:w="70" w:type="dxa"/>
          </w:tblCellMar>
          <w:tblLook w:val="00A0"/>
        </w:tblPrEx>
        <w:trPr>
          <w:trHeight w:val="230"/>
        </w:trPr>
        <w:tc>
          <w:tcPr>
            <w:tcW w:w="3417" w:type="dxa"/>
            <w:tcBorders>
              <w:top w:val="nil"/>
              <w:left w:val="single" w:sz="4" w:space="0" w:color="auto"/>
              <w:bottom w:val="single" w:sz="4" w:space="0" w:color="auto"/>
              <w:right w:val="single" w:sz="4" w:space="0" w:color="auto"/>
            </w:tcBorders>
            <w:noWrap/>
            <w:textDirection w:val="lrTb"/>
            <w:vAlign w:val="bottom"/>
          </w:tcPr>
          <w:p w:rsidR="001E5B24" w:rsidRPr="001D0449" w:rsidP="001E5B24">
            <w:pPr>
              <w:bidi w:val="0"/>
              <w:rPr>
                <w:rFonts w:ascii="Arial Narrow" w:hAnsi="Arial Narrow" w:cs="Arial Narrow"/>
                <w:color w:val="000000"/>
                <w:sz w:val="16"/>
                <w:szCs w:val="16"/>
              </w:rPr>
            </w:pPr>
            <w:r w:rsidRPr="001D0449">
              <w:rPr>
                <w:rFonts w:ascii="Arial Narrow" w:hAnsi="Arial Narrow" w:cs="Arial Narrow"/>
                <w:color w:val="000000"/>
                <w:sz w:val="16"/>
                <w:szCs w:val="16"/>
              </w:rPr>
              <w:t>iné zdroje*</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8 011</w:t>
            </w:r>
          </w:p>
        </w:tc>
        <w:tc>
          <w:tcPr>
            <w:tcW w:w="939" w:type="dxa"/>
            <w:tcBorders>
              <w:top w:val="nil"/>
              <w:left w:val="nil"/>
              <w:bottom w:val="single" w:sz="4" w:space="0" w:color="auto"/>
              <w:right w:val="single" w:sz="4" w:space="0" w:color="auto"/>
            </w:tcBorders>
            <w:shd w:val="clear" w:color="000000" w:fill="FFFFFF"/>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6 622</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583</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413</w:t>
            </w:r>
          </w:p>
        </w:tc>
        <w:tc>
          <w:tcPr>
            <w:tcW w:w="939"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c>
          <w:tcPr>
            <w:tcW w:w="940" w:type="dxa"/>
            <w:tcBorders>
              <w:top w:val="nil"/>
              <w:left w:val="nil"/>
              <w:bottom w:val="single" w:sz="4" w:space="0" w:color="auto"/>
              <w:right w:val="single" w:sz="4" w:space="0" w:color="auto"/>
            </w:tcBorders>
            <w:textDirection w:val="lrTb"/>
            <w:vAlign w:val="bottom"/>
          </w:tcPr>
          <w:p w:rsidR="001E5B24" w:rsidRPr="001D0449" w:rsidP="001E5B24">
            <w:pPr>
              <w:bidi w:val="0"/>
              <w:jc w:val="right"/>
              <w:rPr>
                <w:rFonts w:ascii="Arial Narrow" w:hAnsi="Arial Narrow" w:cs="Arial Narrow"/>
                <w:color w:val="000000"/>
                <w:sz w:val="16"/>
                <w:szCs w:val="16"/>
              </w:rPr>
            </w:pPr>
            <w:r w:rsidRPr="001D0449">
              <w:rPr>
                <w:rFonts w:ascii="Arial Narrow" w:hAnsi="Arial Narrow" w:cs="Arial Narrow"/>
                <w:color w:val="000000"/>
                <w:sz w:val="16"/>
                <w:szCs w:val="16"/>
              </w:rPr>
              <w:t>0</w:t>
            </w:r>
          </w:p>
        </w:tc>
      </w:tr>
    </w:tbl>
    <w:p w:rsidR="001E5B24" w:rsidRPr="001F30F9" w:rsidP="001E5B24">
      <w:pPr>
        <w:bidi w:val="0"/>
        <w:jc w:val="both"/>
        <w:rPr>
          <w:rFonts w:ascii="Arial Narrow" w:hAnsi="Arial Narrow" w:cs="Arial Narrow"/>
          <w:color w:val="000000"/>
          <w:sz w:val="16"/>
          <w:szCs w:val="16"/>
        </w:rPr>
      </w:pPr>
      <w:r w:rsidRPr="001F30F9">
        <w:rPr>
          <w:rFonts w:ascii="Arial Narrow" w:hAnsi="Arial Narrow" w:cs="Arial Narrow"/>
          <w:color w:val="000000"/>
          <w:sz w:val="16"/>
          <w:szCs w:val="16"/>
        </w:rPr>
        <w:t>* EHP, NFM vr. spolufinancovania, zdroje zo zahraničia (nenávratné), iné zdroje, zdroje z ostatných rozpočtových kapitol, napr. verejno-prospešné práce</w:t>
      </w:r>
    </w:p>
    <w:p w:rsidR="001E5B24" w:rsidRPr="005F3B4A" w:rsidP="001E5B24">
      <w:pPr>
        <w:bidi w:val="0"/>
        <w:jc w:val="both"/>
        <w:rPr>
          <w:rFonts w:ascii="Arial" w:hAnsi="Arial" w:cs="Arial"/>
          <w:sz w:val="16"/>
          <w:szCs w:val="16"/>
        </w:rPr>
      </w:pPr>
      <w:r w:rsidRPr="00817175">
        <w:rPr>
          <w:rFonts w:ascii="Arial" w:hAnsi="Arial" w:cs="Arial"/>
          <w:sz w:val="16"/>
          <w:szCs w:val="16"/>
        </w:rPr>
        <w:t xml:space="preserve">                                                                                                                                                                   </w:t>
      </w:r>
      <w:r>
        <w:rPr>
          <w:rFonts w:ascii="Arial" w:hAnsi="Arial" w:cs="Arial"/>
          <w:sz w:val="16"/>
          <w:szCs w:val="16"/>
        </w:rPr>
        <w:t xml:space="preserve">                          </w:t>
      </w:r>
      <w:r w:rsidRPr="00817175">
        <w:rPr>
          <w:rFonts w:ascii="Arial" w:hAnsi="Arial" w:cs="Arial"/>
          <w:sz w:val="16"/>
          <w:szCs w:val="16"/>
        </w:rPr>
        <w:t xml:space="preserve"> </w:t>
      </w:r>
    </w:p>
    <w:p w:rsidR="001E5B24" w:rsidRPr="00AB653C" w:rsidP="001E5B24">
      <w:pPr>
        <w:bidi w:val="0"/>
        <w:ind w:firstLine="708"/>
        <w:jc w:val="both"/>
        <w:rPr>
          <w:rFonts w:ascii="Arial Narrow" w:hAnsi="Arial Narrow" w:cs="Arial Narrow"/>
          <w:sz w:val="22"/>
          <w:szCs w:val="22"/>
        </w:rPr>
      </w:pPr>
      <w:r w:rsidRPr="00AB653C">
        <w:rPr>
          <w:rFonts w:ascii="Arial Narrow" w:hAnsi="Arial Narrow" w:cs="Arial Narrow"/>
          <w:sz w:val="22"/>
          <w:szCs w:val="22"/>
        </w:rPr>
        <w:t>Celkové zdroje SAV na rok 2011 oproti roku 2010 klesajú o 9,02 %</w:t>
      </w:r>
      <w:r>
        <w:rPr>
          <w:rFonts w:ascii="Arial Narrow" w:hAnsi="Arial Narrow" w:cs="Arial Narrow"/>
          <w:sz w:val="22"/>
          <w:szCs w:val="22"/>
        </w:rPr>
        <w:t>.</w:t>
      </w:r>
      <w:r w:rsidRPr="00AB653C">
        <w:rPr>
          <w:rFonts w:ascii="Arial Narrow" w:hAnsi="Arial Narrow" w:cs="Arial Narrow"/>
          <w:sz w:val="22"/>
          <w:szCs w:val="22"/>
        </w:rPr>
        <w:t xml:space="preserve"> Rozpočtové zdroje kapit</w:t>
      </w:r>
      <w:r>
        <w:rPr>
          <w:rFonts w:ascii="Arial Narrow" w:hAnsi="Arial Narrow" w:cs="Arial Narrow"/>
          <w:sz w:val="22"/>
          <w:szCs w:val="22"/>
        </w:rPr>
        <w:t>oly medziročne klesajú o 8,84%.</w:t>
      </w:r>
    </w:p>
    <w:p w:rsidR="001E5B24" w:rsidP="001E5B24">
      <w:pPr>
        <w:bidi w:val="0"/>
        <w:jc w:val="both"/>
        <w:rPr>
          <w:rFonts w:ascii="Arial Narrow" w:hAnsi="Arial Narrow" w:cs="Arial Narrow"/>
          <w:sz w:val="22"/>
          <w:szCs w:val="22"/>
        </w:rPr>
      </w:pPr>
    </w:p>
    <w:p w:rsidR="001E5B24" w:rsidRPr="003E59EB" w:rsidP="001E5B24">
      <w:pPr>
        <w:bidi w:val="0"/>
        <w:ind w:firstLine="708"/>
        <w:jc w:val="both"/>
        <w:rPr>
          <w:rFonts w:ascii="Arial Narrow" w:hAnsi="Arial Narrow" w:cs="Arial Narrow"/>
          <w:sz w:val="22"/>
          <w:szCs w:val="22"/>
        </w:rPr>
      </w:pPr>
      <w:r w:rsidRPr="003E59EB">
        <w:rPr>
          <w:rFonts w:ascii="Arial Narrow" w:hAnsi="Arial Narrow" w:cs="Arial Narrow"/>
          <w:sz w:val="22"/>
          <w:szCs w:val="22"/>
        </w:rPr>
        <w:t xml:space="preserve">Objem osobných výdavkov sa </w:t>
      </w:r>
      <w:r>
        <w:rPr>
          <w:rFonts w:ascii="Arial Narrow" w:hAnsi="Arial Narrow" w:cs="Arial Narrow"/>
          <w:sz w:val="22"/>
          <w:szCs w:val="22"/>
        </w:rPr>
        <w:t>na</w:t>
      </w:r>
      <w:r w:rsidRPr="003E59EB">
        <w:rPr>
          <w:rFonts w:ascii="Arial Narrow" w:hAnsi="Arial Narrow" w:cs="Arial Narrow"/>
          <w:sz w:val="22"/>
          <w:szCs w:val="22"/>
        </w:rPr>
        <w:t xml:space="preserve"> rok 2011 rozpočtuje na úrovni 25,6 mil. </w:t>
      </w:r>
      <w:r w:rsidR="00271764">
        <w:rPr>
          <w:rFonts w:ascii="Arial Narrow" w:hAnsi="Arial Narrow" w:cs="Arial Narrow"/>
          <w:sz w:val="22"/>
          <w:szCs w:val="22"/>
        </w:rPr>
        <w:t>eur</w:t>
      </w:r>
      <w:r w:rsidRPr="003E59EB">
        <w:rPr>
          <w:rFonts w:ascii="Arial Narrow" w:hAnsi="Arial Narrow" w:cs="Arial Narrow"/>
          <w:sz w:val="22"/>
          <w:szCs w:val="22"/>
        </w:rPr>
        <w:t xml:space="preserve">, čo v porovnaní so schváleným </w:t>
      </w:r>
      <w:r>
        <w:rPr>
          <w:rFonts w:ascii="Arial Narrow" w:hAnsi="Arial Narrow" w:cs="Arial Narrow"/>
          <w:sz w:val="22"/>
          <w:szCs w:val="22"/>
        </w:rPr>
        <w:t>rozpočtom na rok</w:t>
      </w:r>
      <w:r w:rsidRPr="00D269FC">
        <w:rPr>
          <w:rFonts w:ascii="Arial Narrow" w:hAnsi="Arial Narrow" w:cs="Arial Narrow"/>
          <w:sz w:val="22"/>
          <w:szCs w:val="22"/>
        </w:rPr>
        <w:t xml:space="preserve"> </w:t>
      </w:r>
      <w:r w:rsidRPr="003E59EB">
        <w:rPr>
          <w:rFonts w:ascii="Arial Narrow" w:hAnsi="Arial Narrow" w:cs="Arial Narrow"/>
          <w:sz w:val="22"/>
          <w:szCs w:val="22"/>
        </w:rPr>
        <w:t xml:space="preserve">2010 predstavuje pokles 4,92 % (1,32 mil. </w:t>
      </w:r>
      <w:r w:rsidR="00271764">
        <w:rPr>
          <w:rFonts w:ascii="Arial Narrow" w:hAnsi="Arial Narrow" w:cs="Arial Narrow"/>
          <w:sz w:val="22"/>
          <w:szCs w:val="22"/>
        </w:rPr>
        <w:t>eur</w:t>
      </w:r>
      <w:r w:rsidRPr="003E59EB">
        <w:rPr>
          <w:rFonts w:ascii="Arial Narrow" w:hAnsi="Arial Narrow" w:cs="Arial Narrow"/>
          <w:sz w:val="22"/>
          <w:szCs w:val="22"/>
        </w:rPr>
        <w:t xml:space="preserve">). Medziročný pokles osobných výdavkov je ovplyvnený viazaním osobných výdavkov zamestnancov na úrovni 10 % so zohľadnením zmiernenia zníženia v organizáciách SAV v sume 1,00 mil. </w:t>
      </w:r>
      <w:r w:rsidR="00271764">
        <w:rPr>
          <w:rFonts w:ascii="Arial Narrow" w:hAnsi="Arial Narrow" w:cs="Arial Narrow"/>
          <w:sz w:val="22"/>
          <w:szCs w:val="22"/>
        </w:rPr>
        <w:t>eur</w:t>
      </w:r>
      <w:r w:rsidRPr="003E59EB">
        <w:rPr>
          <w:rFonts w:ascii="Arial Narrow" w:hAnsi="Arial Narrow" w:cs="Arial Narrow"/>
          <w:sz w:val="22"/>
          <w:szCs w:val="22"/>
        </w:rPr>
        <w:t xml:space="preserve"> pri súčasnom zohľadnení dopočtu 1% valorizácie z roku 2010.</w:t>
      </w:r>
      <w:r w:rsidRPr="001E397B">
        <w:rPr>
          <w:rFonts w:ascii="Arial Narrow" w:hAnsi="Arial Narrow" w:cs="Arial Narrow"/>
          <w:sz w:val="22"/>
          <w:szCs w:val="22"/>
        </w:rPr>
        <w:t xml:space="preserve"> </w:t>
      </w:r>
      <w:r w:rsidRPr="00087B0A">
        <w:rPr>
          <w:rFonts w:ascii="Arial Narrow" w:hAnsi="Arial Narrow" w:cs="Arial Narrow"/>
          <w:sz w:val="22"/>
          <w:szCs w:val="22"/>
        </w:rPr>
        <w:t xml:space="preserve">Po odpočítaní </w:t>
      </w:r>
      <w:r>
        <w:rPr>
          <w:rFonts w:ascii="Arial Narrow" w:hAnsi="Arial Narrow" w:cs="Arial Narrow"/>
          <w:sz w:val="22"/>
          <w:szCs w:val="22"/>
        </w:rPr>
        <w:t xml:space="preserve">uvedeného zmiernenia </w:t>
      </w:r>
      <w:r w:rsidRPr="00087B0A">
        <w:rPr>
          <w:rFonts w:ascii="Arial Narrow" w:hAnsi="Arial Narrow" w:cs="Arial Narrow"/>
          <w:sz w:val="22"/>
          <w:szCs w:val="22"/>
        </w:rPr>
        <w:t>by osobné výdavky v porovnaní so schváleným rozpočtom roku 2010 klesali o 9,1 %.</w:t>
      </w:r>
    </w:p>
    <w:p w:rsidR="001E5B24" w:rsidRPr="00AB653C" w:rsidP="001E5B24">
      <w:pPr>
        <w:bidi w:val="0"/>
        <w:jc w:val="both"/>
        <w:rPr>
          <w:rFonts w:ascii="Arial Narrow" w:hAnsi="Arial Narrow" w:cs="Arial Narrow"/>
          <w:sz w:val="22"/>
          <w:szCs w:val="22"/>
        </w:rPr>
      </w:pPr>
    </w:p>
    <w:p w:rsidR="001E5B24" w:rsidP="001E5B24">
      <w:pPr>
        <w:bidi w:val="0"/>
        <w:ind w:firstLine="708"/>
        <w:jc w:val="both"/>
        <w:rPr>
          <w:rFonts w:ascii="Arial Narrow" w:hAnsi="Arial Narrow" w:cs="Arial Narrow"/>
          <w:sz w:val="22"/>
          <w:szCs w:val="22"/>
        </w:rPr>
      </w:pPr>
      <w:r w:rsidRPr="00AB653C">
        <w:rPr>
          <w:rFonts w:ascii="Arial Narrow" w:hAnsi="Arial Narrow" w:cs="Arial Narrow"/>
          <w:sz w:val="22"/>
          <w:szCs w:val="22"/>
        </w:rPr>
        <w:t xml:space="preserve">Výdavky na </w:t>
      </w:r>
      <w:r w:rsidRPr="00AB74A6">
        <w:rPr>
          <w:rFonts w:ascii="Arial Narrow" w:hAnsi="Arial Narrow" w:cs="Arial Narrow"/>
          <w:sz w:val="22"/>
          <w:szCs w:val="22"/>
        </w:rPr>
        <w:t>tovary a služby</w:t>
      </w:r>
      <w:r w:rsidRPr="00AB653C">
        <w:rPr>
          <w:rFonts w:ascii="Arial Narrow" w:hAnsi="Arial Narrow" w:cs="Arial Narrow"/>
          <w:sz w:val="22"/>
          <w:szCs w:val="22"/>
        </w:rPr>
        <w:t xml:space="preserve"> sú rozpočtované na úrovni o 3,45% vyššej ako v roku 2010. Uvedený rast je spôsobený posilnením prevádzkových nákladov rozpočtových </w:t>
      </w:r>
      <w:r>
        <w:rPr>
          <w:rFonts w:ascii="Arial Narrow" w:hAnsi="Arial Narrow" w:cs="Arial Narrow"/>
          <w:sz w:val="22"/>
          <w:szCs w:val="22"/>
        </w:rPr>
        <w:t xml:space="preserve">organizácií </w:t>
      </w:r>
      <w:r w:rsidRPr="00AB653C">
        <w:rPr>
          <w:rFonts w:ascii="Arial Narrow" w:hAnsi="Arial Narrow" w:cs="Arial Narrow"/>
          <w:sz w:val="22"/>
          <w:szCs w:val="22"/>
        </w:rPr>
        <w:t xml:space="preserve">SAV v sume </w:t>
      </w:r>
      <w:r>
        <w:rPr>
          <w:rFonts w:ascii="Arial Narrow" w:hAnsi="Arial Narrow" w:cs="Arial Narrow"/>
          <w:sz w:val="22"/>
          <w:szCs w:val="22"/>
        </w:rPr>
        <w:t>4,67 mil. eur za účelom podpory výskumu a vývoja.</w:t>
      </w:r>
    </w:p>
    <w:p w:rsidR="001E5B24" w:rsidP="001E5B24">
      <w:pPr>
        <w:bidi w:val="0"/>
        <w:ind w:firstLine="708"/>
        <w:jc w:val="both"/>
        <w:rPr>
          <w:rFonts w:ascii="Arial Narrow" w:hAnsi="Arial Narrow" w:cs="Arial Narrow"/>
          <w:sz w:val="22"/>
          <w:szCs w:val="22"/>
        </w:rPr>
      </w:pPr>
    </w:p>
    <w:p w:rsidR="001E5B24" w:rsidRPr="00AB653C" w:rsidP="001E5B24">
      <w:pPr>
        <w:bidi w:val="0"/>
        <w:ind w:firstLine="708"/>
        <w:jc w:val="both"/>
        <w:rPr>
          <w:rFonts w:ascii="Arial Narrow" w:hAnsi="Arial Narrow" w:cs="Arial Narrow"/>
          <w:sz w:val="22"/>
          <w:szCs w:val="22"/>
        </w:rPr>
      </w:pPr>
      <w:r w:rsidRPr="00AB653C">
        <w:rPr>
          <w:rFonts w:ascii="Arial Narrow" w:hAnsi="Arial Narrow" w:cs="Arial Narrow"/>
          <w:sz w:val="22"/>
          <w:szCs w:val="22"/>
        </w:rPr>
        <w:t xml:space="preserve">Rozpočtovaná úroveň transferov </w:t>
      </w:r>
      <w:r>
        <w:rPr>
          <w:rFonts w:ascii="Arial Narrow" w:hAnsi="Arial Narrow" w:cs="Arial Narrow"/>
          <w:sz w:val="22"/>
          <w:szCs w:val="22"/>
        </w:rPr>
        <w:t xml:space="preserve"> pre rok 2011 je medziročne vyššia o 0,65%. Prostriedky sú určené pre podporu výskumnej činnosti príspevkových organizácií SAV.</w:t>
      </w:r>
    </w:p>
    <w:p w:rsidR="001E5B24" w:rsidRPr="00AB653C" w:rsidP="001E5B24">
      <w:pPr>
        <w:bidi w:val="0"/>
        <w:jc w:val="both"/>
        <w:rPr>
          <w:rFonts w:ascii="Arial Narrow" w:hAnsi="Arial Narrow" w:cs="Arial Narrow"/>
          <w:sz w:val="22"/>
          <w:szCs w:val="22"/>
        </w:rPr>
      </w:pPr>
    </w:p>
    <w:p w:rsidR="001E5B24" w:rsidRPr="00AB653C" w:rsidP="001E5B24">
      <w:pPr>
        <w:bidi w:val="0"/>
        <w:ind w:firstLine="708"/>
        <w:jc w:val="both"/>
        <w:rPr>
          <w:rFonts w:ascii="Arial Narrow" w:hAnsi="Arial Narrow" w:cs="Arial Narrow"/>
          <w:sz w:val="22"/>
          <w:szCs w:val="22"/>
        </w:rPr>
      </w:pPr>
      <w:r w:rsidRPr="00AB653C">
        <w:rPr>
          <w:rFonts w:ascii="Arial Narrow" w:hAnsi="Arial Narrow" w:cs="Arial Narrow"/>
          <w:sz w:val="22"/>
          <w:szCs w:val="22"/>
        </w:rPr>
        <w:t>Na znížení celkových výdavkov kapitoly sa výrazne podieľajú kapitálové výdavky, ktoré sa znižujú o 90,2%</w:t>
      </w:r>
      <w:r>
        <w:rPr>
          <w:rFonts w:ascii="Arial Narrow" w:hAnsi="Arial Narrow" w:cs="Arial Narrow"/>
          <w:sz w:val="22"/>
          <w:szCs w:val="22"/>
        </w:rPr>
        <w:t>.</w:t>
      </w:r>
    </w:p>
    <w:p w:rsidR="001E5B24" w:rsidRPr="00F94A10" w:rsidP="001E5B24">
      <w:pPr>
        <w:bidi w:val="0"/>
        <w:jc w:val="both"/>
        <w:rPr>
          <w:sz w:val="22"/>
          <w:szCs w:val="22"/>
        </w:rPr>
      </w:pPr>
    </w:p>
    <w:p w:rsidR="00DE1A34" w:rsidP="00DE1A34">
      <w:pPr>
        <w:bidi w:val="0"/>
        <w:jc w:val="both"/>
        <w:rPr>
          <w:sz w:val="22"/>
          <w:szCs w:val="22"/>
        </w:rPr>
      </w:pPr>
    </w:p>
    <w:p w:rsidR="009B226A" w:rsidRPr="00F94A10" w:rsidP="00DE1A34">
      <w:pPr>
        <w:bidi w:val="0"/>
        <w:jc w:val="both"/>
        <w:rPr>
          <w:sz w:val="22"/>
          <w:szCs w:val="22"/>
        </w:rPr>
      </w:pPr>
      <w:r>
        <w:rPr>
          <w:sz w:val="22"/>
          <w:szCs w:val="22"/>
        </w:rPr>
        <w:br w:type="page"/>
      </w:r>
    </w:p>
    <w:p w:rsidR="00DE1A34" w:rsidRPr="00D53C2F" w:rsidP="00C358D5">
      <w:pPr>
        <w:pBdr>
          <w:bottom w:val="single" w:sz="4" w:space="1" w:color="auto"/>
        </w:pBdr>
        <w:bidi w:val="0"/>
        <w:jc w:val="both"/>
        <w:rPr>
          <w:rFonts w:ascii="Arial Narrow" w:hAnsi="Arial Narrow" w:cs="Arial Narrow"/>
          <w:b/>
          <w:bCs/>
          <w:sz w:val="22"/>
          <w:szCs w:val="22"/>
        </w:rPr>
      </w:pPr>
      <w:bookmarkStart w:id="69" w:name="_Toc273979631"/>
      <w:r w:rsidRPr="00C358D5">
        <w:rPr>
          <w:rFonts w:ascii="Arial Narrow" w:hAnsi="Arial Narrow" w:cs="Arial Narrow"/>
          <w:b/>
          <w:bCs/>
          <w:sz w:val="22"/>
          <w:szCs w:val="22"/>
        </w:rPr>
        <w:t>Všeobecná pokladničná správa</w:t>
      </w:r>
      <w:bookmarkEnd w:id="69"/>
    </w:p>
    <w:p w:rsidR="00DE1A34" w:rsidP="00DE1A34">
      <w:pPr>
        <w:bidi w:val="0"/>
        <w:jc w:val="both"/>
        <w:rPr>
          <w:rFonts w:ascii="Arial Narrow" w:hAnsi="Arial Narrow" w:cs="Arial Narrow"/>
          <w:sz w:val="22"/>
          <w:szCs w:val="22"/>
        </w:rPr>
      </w:pPr>
    </w:p>
    <w:p w:rsidR="009B226A" w:rsidP="009B226A">
      <w:pPr>
        <w:pStyle w:val="BodyTextIndent2"/>
        <w:bidi w:val="0"/>
        <w:spacing w:after="0" w:line="240" w:lineRule="auto"/>
        <w:ind w:left="0" w:firstLine="709"/>
        <w:jc w:val="both"/>
        <w:rPr>
          <w:rFonts w:ascii="Arial Narrow" w:hAnsi="Arial Narrow"/>
          <w:sz w:val="22"/>
          <w:szCs w:val="22"/>
        </w:rPr>
      </w:pPr>
      <w:bookmarkStart w:id="70" w:name="_Toc142906518"/>
    </w:p>
    <w:p w:rsidR="009B226A" w:rsidRPr="00F86134" w:rsidP="009B226A">
      <w:pPr>
        <w:pStyle w:val="BodyTextIndent2"/>
        <w:bidi w:val="0"/>
        <w:spacing w:after="0" w:line="240" w:lineRule="auto"/>
        <w:ind w:left="0" w:firstLine="709"/>
        <w:jc w:val="both"/>
        <w:rPr>
          <w:rFonts w:ascii="Arial Narrow" w:hAnsi="Arial Narrow"/>
          <w:sz w:val="22"/>
          <w:szCs w:val="22"/>
        </w:rPr>
      </w:pPr>
      <w:r>
        <w:rPr>
          <w:rFonts w:ascii="Arial Narrow" w:hAnsi="Arial Narrow"/>
          <w:sz w:val="22"/>
          <w:szCs w:val="22"/>
        </w:rPr>
        <w:t xml:space="preserve">V kapitole sú obsiahnuté výdavky </w:t>
      </w:r>
      <w:r w:rsidRPr="00F86134">
        <w:rPr>
          <w:rFonts w:ascii="Arial Narrow" w:hAnsi="Arial Narrow"/>
          <w:sz w:val="22"/>
          <w:szCs w:val="22"/>
        </w:rPr>
        <w:t xml:space="preserve">štátneho rozpočtu, ktoré nesúvisia s  výdavkami ostatných kapitol, vrátane výdavkov spojených so správou štátneho dlhu. V rámci kapitoly sú rozpočtované </w:t>
      </w:r>
      <w:r>
        <w:rPr>
          <w:rFonts w:ascii="Arial Narrow" w:hAnsi="Arial Narrow"/>
          <w:sz w:val="22"/>
          <w:szCs w:val="22"/>
        </w:rPr>
        <w:t xml:space="preserve">i prostriedky </w:t>
      </w:r>
      <w:r w:rsidRPr="00F86134">
        <w:rPr>
          <w:rFonts w:ascii="Arial Narrow" w:hAnsi="Arial Narrow"/>
          <w:sz w:val="22"/>
          <w:szCs w:val="22"/>
        </w:rPr>
        <w:t>súvisiace s činnosťou Kancelári</w:t>
      </w:r>
      <w:r>
        <w:rPr>
          <w:rFonts w:ascii="Arial Narrow" w:hAnsi="Arial Narrow"/>
          <w:sz w:val="22"/>
          <w:szCs w:val="22"/>
        </w:rPr>
        <w:t>e</w:t>
      </w:r>
      <w:r w:rsidRPr="00F86134">
        <w:rPr>
          <w:rFonts w:ascii="Arial Narrow" w:hAnsi="Arial Narrow"/>
          <w:sz w:val="22"/>
          <w:szCs w:val="22"/>
        </w:rPr>
        <w:t xml:space="preserve"> verejného ochrancu práv</w:t>
      </w:r>
      <w:r>
        <w:rPr>
          <w:rFonts w:ascii="Arial Narrow" w:hAnsi="Arial Narrow"/>
          <w:sz w:val="22"/>
          <w:szCs w:val="22"/>
        </w:rPr>
        <w:t>,</w:t>
      </w:r>
      <w:r w:rsidRPr="00F86134">
        <w:rPr>
          <w:rFonts w:ascii="Arial Narrow" w:hAnsi="Arial Narrow"/>
          <w:sz w:val="22"/>
          <w:szCs w:val="22"/>
        </w:rPr>
        <w:t> Rad</w:t>
      </w:r>
      <w:r>
        <w:rPr>
          <w:rFonts w:ascii="Arial Narrow" w:hAnsi="Arial Narrow"/>
          <w:sz w:val="22"/>
          <w:szCs w:val="22"/>
        </w:rPr>
        <w:t>y</w:t>
      </w:r>
      <w:r w:rsidRPr="00F86134">
        <w:rPr>
          <w:rFonts w:ascii="Arial Narrow" w:hAnsi="Arial Narrow"/>
          <w:sz w:val="22"/>
          <w:szCs w:val="22"/>
        </w:rPr>
        <w:t xml:space="preserve"> pre vysielanie a</w:t>
      </w:r>
      <w:r>
        <w:rPr>
          <w:rFonts w:ascii="Arial Narrow" w:hAnsi="Arial Narrow"/>
          <w:sz w:val="22"/>
          <w:szCs w:val="22"/>
        </w:rPr>
        <w:t> </w:t>
      </w:r>
      <w:r w:rsidRPr="00F86134">
        <w:rPr>
          <w:rFonts w:ascii="Arial Narrow" w:hAnsi="Arial Narrow"/>
          <w:sz w:val="22"/>
          <w:szCs w:val="22"/>
        </w:rPr>
        <w:t>retransmisiu</w:t>
      </w:r>
      <w:r>
        <w:rPr>
          <w:rFonts w:ascii="Arial Narrow" w:hAnsi="Arial Narrow"/>
          <w:sz w:val="22"/>
          <w:szCs w:val="22"/>
        </w:rPr>
        <w:t xml:space="preserve"> a Úradu na ochranu osobných údajov</w:t>
      </w:r>
      <w:r w:rsidRPr="00F86134">
        <w:rPr>
          <w:rFonts w:ascii="Arial Narrow" w:hAnsi="Arial Narrow"/>
          <w:sz w:val="22"/>
          <w:szCs w:val="22"/>
        </w:rPr>
        <w:t xml:space="preserve">. Zahrnuté sú tu aj </w:t>
      </w:r>
      <w:r>
        <w:rPr>
          <w:rFonts w:ascii="Arial Narrow" w:hAnsi="Arial Narrow"/>
          <w:sz w:val="22"/>
          <w:szCs w:val="22"/>
        </w:rPr>
        <w:t>transfery</w:t>
      </w:r>
      <w:r w:rsidRPr="00F86134">
        <w:rPr>
          <w:rFonts w:ascii="Arial Narrow" w:hAnsi="Arial Narrow"/>
          <w:sz w:val="22"/>
          <w:szCs w:val="22"/>
        </w:rPr>
        <w:t xml:space="preserve"> na činnosť Ústavu pamäti národa a Slovenského národného strediska pre ľudské práva.</w:t>
      </w:r>
    </w:p>
    <w:p w:rsidR="009B226A" w:rsidP="009B226A">
      <w:pPr>
        <w:bidi w:val="0"/>
        <w:ind w:firstLine="709"/>
        <w:jc w:val="both"/>
        <w:rPr>
          <w:rFonts w:ascii="Arial Narrow" w:hAnsi="Arial Narrow"/>
        </w:rPr>
      </w:pPr>
    </w:p>
    <w:p w:rsidR="009B226A" w:rsidP="009B226A">
      <w:pPr>
        <w:bidi w:val="0"/>
        <w:ind w:firstLine="709"/>
        <w:jc w:val="both"/>
        <w:rPr>
          <w:rFonts w:ascii="Arial Narrow" w:hAnsi="Arial Narrow"/>
          <w:sz w:val="22"/>
          <w:szCs w:val="22"/>
        </w:rPr>
      </w:pPr>
      <w:r>
        <w:rPr>
          <w:rFonts w:ascii="Arial Narrow" w:hAnsi="Arial Narrow"/>
          <w:sz w:val="22"/>
          <w:szCs w:val="22"/>
        </w:rPr>
        <w:t xml:space="preserve">Výdavky </w:t>
      </w:r>
      <w:r w:rsidRPr="00A50940">
        <w:rPr>
          <w:rFonts w:ascii="Arial Narrow" w:hAnsi="Arial Narrow"/>
          <w:sz w:val="22"/>
          <w:szCs w:val="22"/>
        </w:rPr>
        <w:t>kapitoly</w:t>
      </w:r>
      <w:r>
        <w:rPr>
          <w:rFonts w:ascii="Arial Narrow" w:hAnsi="Arial Narrow"/>
          <w:sz w:val="22"/>
          <w:szCs w:val="22"/>
        </w:rPr>
        <w:t xml:space="preserve">  na rok 2011 predstavujú 3,6 mld. eur, čo je  v porovnaní so schváleným rozpočtom na rok 2010 menej o 2,7 %.</w:t>
      </w:r>
    </w:p>
    <w:p w:rsidR="009B226A" w:rsidP="009B226A">
      <w:pPr>
        <w:bidi w:val="0"/>
        <w:ind w:firstLine="709"/>
        <w:jc w:val="both"/>
        <w:rPr>
          <w:rFonts w:ascii="Arial Narrow" w:hAnsi="Arial Narrow"/>
          <w:sz w:val="22"/>
          <w:szCs w:val="22"/>
        </w:rPr>
      </w:pPr>
    </w:p>
    <w:tbl>
      <w:tblPr>
        <w:tblStyle w:val="TableNormal"/>
        <w:tblW w:w="9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00"/>
        <w:gridCol w:w="1180"/>
        <w:gridCol w:w="1180"/>
        <w:gridCol w:w="1180"/>
        <w:gridCol w:w="1180"/>
        <w:gridCol w:w="1180"/>
        <w:gridCol w:w="1180"/>
      </w:tblGrid>
      <w:tr>
        <w:tblPrEx>
          <w:tblW w:w="9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bCs/>
                <w:sz w:val="16"/>
                <w:szCs w:val="16"/>
                <w:lang w:eastAsia="sk-SK"/>
              </w:rPr>
            </w:pPr>
            <w:r w:rsidRPr="00C81BE8">
              <w:rPr>
                <w:rFonts w:ascii="Arial Narrow" w:hAnsi="Arial Narrow" w:cs="Arial"/>
                <w:b/>
                <w:bCs/>
                <w:sz w:val="16"/>
                <w:szCs w:val="16"/>
                <w:lang w:eastAsia="sk-SK"/>
              </w:rPr>
              <w:t>v tis. eur</w:t>
            </w:r>
          </w:p>
        </w:tc>
        <w:tc>
          <w:tcPr>
            <w:tcW w:w="1180" w:type="dxa"/>
            <w:tcBorders>
              <w:top w:val="single" w:sz="4" w:space="0" w:color="auto"/>
              <w:left w:val="single" w:sz="4" w:space="0" w:color="auto"/>
              <w:bottom w:val="single" w:sz="4" w:space="0" w:color="auto"/>
              <w:right w:val="single" w:sz="4" w:space="0" w:color="auto"/>
            </w:tcBorders>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2008 S</w:t>
            </w:r>
          </w:p>
        </w:tc>
        <w:tc>
          <w:tcPr>
            <w:tcW w:w="118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2009 S</w:t>
            </w:r>
          </w:p>
        </w:tc>
        <w:tc>
          <w:tcPr>
            <w:tcW w:w="118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2010 R</w:t>
            </w:r>
          </w:p>
        </w:tc>
        <w:tc>
          <w:tcPr>
            <w:tcW w:w="118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2011 N</w:t>
            </w:r>
          </w:p>
        </w:tc>
        <w:tc>
          <w:tcPr>
            <w:tcW w:w="118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2012 N</w:t>
            </w:r>
          </w:p>
        </w:tc>
        <w:tc>
          <w:tcPr>
            <w:tcW w:w="118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2013 N</w:t>
            </w:r>
          </w:p>
        </w:tc>
      </w:tr>
      <w:tr>
        <w:tblPrEx>
          <w:tblW w:w="9480" w:type="dxa"/>
          <w:tblInd w:w="55" w:type="dxa"/>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A50940" w:rsidP="009A4FED">
            <w:pPr>
              <w:bidi w:val="0"/>
              <w:jc w:val="center"/>
              <w:rPr>
                <w:rFonts w:ascii="Arial Narrow" w:hAnsi="Arial Narrow" w:cs="Arial"/>
                <w:b/>
                <w:bCs/>
                <w:sz w:val="16"/>
                <w:szCs w:val="16"/>
                <w:lang w:eastAsia="sk-SK"/>
              </w:rPr>
            </w:pPr>
            <w:r w:rsidRPr="00A50940">
              <w:rPr>
                <w:rFonts w:ascii="Arial Narrow" w:hAnsi="Arial Narrow" w:cs="Arial"/>
                <w:b/>
                <w:bCs/>
                <w:sz w:val="16"/>
                <w:szCs w:val="16"/>
                <w:lang w:eastAsia="sk-SK"/>
              </w:rPr>
              <w:t>VÝDAVKY SPOLU</w:t>
            </w:r>
          </w:p>
        </w:tc>
        <w:tc>
          <w:tcPr>
            <w:tcW w:w="1180" w:type="dxa"/>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1 506 864</w:t>
            </w:r>
          </w:p>
        </w:tc>
        <w:tc>
          <w:tcPr>
            <w:tcW w:w="118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1 555 096</w:t>
            </w:r>
          </w:p>
        </w:tc>
        <w:tc>
          <w:tcPr>
            <w:tcW w:w="118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3 704 817</w:t>
            </w:r>
          </w:p>
        </w:tc>
        <w:tc>
          <w:tcPr>
            <w:tcW w:w="118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3 6</w:t>
            </w:r>
            <w:r>
              <w:rPr>
                <w:rFonts w:ascii="Arial Narrow" w:hAnsi="Arial Narrow" w:cs="Arial"/>
                <w:b/>
                <w:sz w:val="16"/>
                <w:szCs w:val="16"/>
                <w:lang w:eastAsia="sk-SK"/>
              </w:rPr>
              <w:t>04</w:t>
            </w:r>
            <w:r w:rsidRPr="00E83DC3">
              <w:rPr>
                <w:rFonts w:ascii="Arial Narrow" w:hAnsi="Arial Narrow" w:cs="Arial"/>
                <w:b/>
                <w:sz w:val="16"/>
                <w:szCs w:val="16"/>
                <w:lang w:eastAsia="sk-SK"/>
              </w:rPr>
              <w:t> </w:t>
            </w:r>
            <w:r>
              <w:rPr>
                <w:rFonts w:ascii="Arial Narrow" w:hAnsi="Arial Narrow" w:cs="Arial"/>
                <w:b/>
                <w:sz w:val="16"/>
                <w:szCs w:val="16"/>
                <w:lang w:eastAsia="sk-SK"/>
              </w:rPr>
              <w:t>955</w:t>
            </w:r>
          </w:p>
        </w:tc>
        <w:tc>
          <w:tcPr>
            <w:tcW w:w="118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4 12</w:t>
            </w:r>
            <w:r>
              <w:rPr>
                <w:rFonts w:ascii="Arial Narrow" w:hAnsi="Arial Narrow" w:cs="Arial"/>
                <w:b/>
                <w:sz w:val="16"/>
                <w:szCs w:val="16"/>
                <w:lang w:eastAsia="sk-SK"/>
              </w:rPr>
              <w:t>8</w:t>
            </w:r>
            <w:r w:rsidRPr="00E83DC3">
              <w:rPr>
                <w:rFonts w:ascii="Arial Narrow" w:hAnsi="Arial Narrow" w:cs="Arial"/>
                <w:b/>
                <w:sz w:val="16"/>
                <w:szCs w:val="16"/>
                <w:lang w:eastAsia="sk-SK"/>
              </w:rPr>
              <w:t xml:space="preserve"> </w:t>
            </w:r>
            <w:r>
              <w:rPr>
                <w:rFonts w:ascii="Arial Narrow" w:hAnsi="Arial Narrow" w:cs="Arial"/>
                <w:b/>
                <w:sz w:val="16"/>
                <w:szCs w:val="16"/>
                <w:lang w:eastAsia="sk-SK"/>
              </w:rPr>
              <w:t>597</w:t>
            </w:r>
          </w:p>
        </w:tc>
        <w:tc>
          <w:tcPr>
            <w:tcW w:w="118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tcPr>
          <w:p w:rsidR="009B226A" w:rsidRPr="00E83DC3" w:rsidP="009A4FED">
            <w:pPr>
              <w:bidi w:val="0"/>
              <w:jc w:val="right"/>
              <w:rPr>
                <w:rFonts w:ascii="Arial Narrow" w:hAnsi="Arial Narrow" w:cs="Arial"/>
                <w:b/>
                <w:sz w:val="16"/>
                <w:szCs w:val="16"/>
                <w:lang w:eastAsia="sk-SK"/>
              </w:rPr>
            </w:pPr>
            <w:r w:rsidRPr="00E83DC3">
              <w:rPr>
                <w:rFonts w:ascii="Arial Narrow" w:hAnsi="Arial Narrow" w:cs="Arial"/>
                <w:b/>
                <w:sz w:val="16"/>
                <w:szCs w:val="16"/>
                <w:lang w:eastAsia="sk-SK"/>
              </w:rPr>
              <w:t>4 19</w:t>
            </w:r>
            <w:r>
              <w:rPr>
                <w:rFonts w:ascii="Arial Narrow" w:hAnsi="Arial Narrow" w:cs="Arial"/>
                <w:b/>
                <w:sz w:val="16"/>
                <w:szCs w:val="16"/>
                <w:lang w:eastAsia="sk-SK"/>
              </w:rPr>
              <w:t>8</w:t>
            </w:r>
            <w:r w:rsidRPr="00E83DC3">
              <w:rPr>
                <w:rFonts w:ascii="Arial Narrow" w:hAnsi="Arial Narrow" w:cs="Arial"/>
                <w:b/>
                <w:sz w:val="16"/>
                <w:szCs w:val="16"/>
                <w:lang w:eastAsia="sk-SK"/>
              </w:rPr>
              <w:t xml:space="preserve"> </w:t>
            </w:r>
            <w:r>
              <w:rPr>
                <w:rFonts w:ascii="Arial Narrow" w:hAnsi="Arial Narrow" w:cs="Arial"/>
                <w:b/>
                <w:sz w:val="16"/>
                <w:szCs w:val="16"/>
                <w:lang w:eastAsia="sk-SK"/>
              </w:rPr>
              <w:t>518</w:t>
            </w:r>
          </w:p>
        </w:tc>
      </w:tr>
    </w:tbl>
    <w:p w:rsidR="009B226A" w:rsidRPr="009B226A" w:rsidP="009B226A">
      <w:pPr>
        <w:bidi w:val="0"/>
        <w:ind w:firstLine="709"/>
        <w:jc w:val="both"/>
        <w:rPr>
          <w:rFonts w:ascii="Arial Narrow" w:hAnsi="Arial Narrow"/>
          <w:sz w:val="22"/>
          <w:szCs w:val="22"/>
        </w:rPr>
      </w:pPr>
    </w:p>
    <w:p w:rsidR="009B226A" w:rsidRPr="009B226A" w:rsidP="009B226A">
      <w:pPr>
        <w:bidi w:val="0"/>
        <w:ind w:firstLine="709"/>
        <w:jc w:val="both"/>
        <w:rPr>
          <w:rFonts w:ascii="Arial Narrow" w:hAnsi="Arial Narrow"/>
          <w:sz w:val="22"/>
          <w:szCs w:val="22"/>
        </w:rPr>
      </w:pPr>
      <w:r w:rsidRPr="009B226A">
        <w:rPr>
          <w:rFonts w:ascii="Arial Narrow" w:hAnsi="Arial Narrow"/>
          <w:sz w:val="22"/>
          <w:szCs w:val="22"/>
        </w:rPr>
        <w:t xml:space="preserve">Výdavky kapitoly možno rozčleniť do štyroch základných skupín. </w:t>
      </w:r>
    </w:p>
    <w:p w:rsidR="009B226A" w:rsidRPr="009B226A" w:rsidP="009B226A">
      <w:pPr>
        <w:bidi w:val="0"/>
        <w:ind w:firstLine="709"/>
        <w:jc w:val="both"/>
        <w:rPr>
          <w:rFonts w:ascii="Arial Narrow" w:hAnsi="Arial Narrow"/>
          <w:sz w:val="22"/>
          <w:szCs w:val="22"/>
        </w:rPr>
      </w:pPr>
    </w:p>
    <w:p w:rsidR="009B226A" w:rsidRPr="009B226A" w:rsidP="009B226A">
      <w:pPr>
        <w:bidi w:val="0"/>
        <w:jc w:val="both"/>
        <w:rPr>
          <w:rFonts w:ascii="Arial Narrow" w:hAnsi="Arial Narrow"/>
          <w:iCs/>
          <w:sz w:val="22"/>
          <w:szCs w:val="22"/>
        </w:rPr>
      </w:pPr>
      <w:r w:rsidRPr="009B226A">
        <w:rPr>
          <w:rFonts w:ascii="Arial Narrow" w:hAnsi="Arial Narrow"/>
          <w:iCs/>
          <w:sz w:val="22"/>
          <w:szCs w:val="22"/>
        </w:rPr>
        <w:t>Rezervy</w:t>
      </w:r>
    </w:p>
    <w:p w:rsidR="009B226A" w:rsidP="009B226A">
      <w:pPr>
        <w:bidi w:val="0"/>
        <w:ind w:firstLine="709"/>
        <w:jc w:val="both"/>
        <w:rPr>
          <w:rFonts w:ascii="Arial Narrow" w:hAnsi="Arial Narrow"/>
          <w:sz w:val="22"/>
          <w:szCs w:val="22"/>
        </w:rPr>
      </w:pPr>
    </w:p>
    <w:tbl>
      <w:tblPr>
        <w:tblStyle w:val="TableNormal"/>
        <w:tblW w:w="9480" w:type="dxa"/>
        <w:tblInd w:w="55" w:type="dxa"/>
        <w:tblCellMar>
          <w:left w:w="70" w:type="dxa"/>
          <w:right w:w="70" w:type="dxa"/>
        </w:tblCellMar>
        <w:tblLook w:val="04A0"/>
      </w:tblPr>
      <w:tblGrid>
        <w:gridCol w:w="2400"/>
        <w:gridCol w:w="1180"/>
        <w:gridCol w:w="1180"/>
        <w:gridCol w:w="1180"/>
        <w:gridCol w:w="1180"/>
        <w:gridCol w:w="1180"/>
        <w:gridCol w:w="1180"/>
      </w:tblGrid>
      <w:tr>
        <w:tblPrEx>
          <w:tblW w:w="9480" w:type="dxa"/>
          <w:tblInd w:w="55" w:type="dxa"/>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bCs/>
                <w:sz w:val="16"/>
                <w:szCs w:val="16"/>
                <w:lang w:eastAsia="sk-SK"/>
              </w:rPr>
            </w:pPr>
            <w:r w:rsidRPr="00C81BE8">
              <w:rPr>
                <w:rFonts w:ascii="Arial Narrow" w:hAnsi="Arial Narrow" w:cs="Arial"/>
                <w:b/>
                <w:bCs/>
                <w:sz w:val="16"/>
                <w:szCs w:val="16"/>
                <w:lang w:eastAsia="sk-SK"/>
              </w:rPr>
              <w:t>v tis. eur</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2008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2009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2010 R</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2011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2012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2013 N</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9B226A" w:rsidRPr="00A50940" w:rsidP="009A4FED">
            <w:pPr>
              <w:bidi w:val="0"/>
              <w:rPr>
                <w:rFonts w:ascii="Arial Narrow" w:hAnsi="Arial Narrow" w:cs="Arial"/>
                <w:b/>
                <w:bCs/>
                <w:sz w:val="16"/>
                <w:szCs w:val="16"/>
                <w:lang w:eastAsia="sk-SK"/>
              </w:rPr>
            </w:pPr>
            <w:r w:rsidRPr="00A50940">
              <w:rPr>
                <w:rFonts w:ascii="Arial Narrow" w:hAnsi="Arial Narrow" w:cs="Arial"/>
                <w:b/>
                <w:bCs/>
                <w:sz w:val="16"/>
                <w:szCs w:val="16"/>
                <w:lang w:eastAsia="sk-SK"/>
              </w:rPr>
              <w:t>Rezervy</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sidRPr="00A50940">
              <w:rPr>
                <w:rFonts w:ascii="Arial Narrow" w:hAnsi="Arial Narrow" w:cs="Arial"/>
                <w:b/>
                <w:bCs/>
                <w:sz w:val="16"/>
                <w:szCs w:val="16"/>
                <w:lang w:eastAsia="sk-SK"/>
              </w:rPr>
              <w:t>9 055</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sidRPr="00A50940">
              <w:rPr>
                <w:rFonts w:ascii="Arial Narrow" w:hAnsi="Arial Narrow" w:cs="Arial"/>
                <w:b/>
                <w:bCs/>
                <w:sz w:val="16"/>
                <w:szCs w:val="16"/>
                <w:lang w:eastAsia="sk-SK"/>
              </w:rPr>
              <w:t>13 593</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sidRPr="00A50940">
              <w:rPr>
                <w:rFonts w:ascii="Arial Narrow" w:hAnsi="Arial Narrow" w:cs="Arial"/>
                <w:b/>
                <w:bCs/>
                <w:sz w:val="16"/>
                <w:szCs w:val="16"/>
                <w:lang w:eastAsia="sk-SK"/>
              </w:rPr>
              <w:t xml:space="preserve">115 874 </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Pr>
                <w:rFonts w:ascii="Arial Narrow" w:hAnsi="Arial Narrow" w:cs="Arial"/>
                <w:b/>
                <w:bCs/>
                <w:sz w:val="16"/>
                <w:szCs w:val="16"/>
                <w:lang w:eastAsia="sk-SK"/>
              </w:rPr>
              <w:t>50 918</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Pr>
                <w:rFonts w:ascii="Arial Narrow" w:hAnsi="Arial Narrow" w:cs="Arial"/>
                <w:b/>
                <w:bCs/>
                <w:sz w:val="16"/>
                <w:szCs w:val="16"/>
                <w:lang w:eastAsia="sk-SK"/>
              </w:rPr>
              <w:t>42 734</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A50940" w:rsidP="009A4FED">
            <w:pPr>
              <w:bidi w:val="0"/>
              <w:jc w:val="right"/>
              <w:rPr>
                <w:rFonts w:ascii="Arial Narrow" w:hAnsi="Arial Narrow" w:cs="Arial"/>
                <w:b/>
                <w:bCs/>
                <w:sz w:val="16"/>
                <w:szCs w:val="16"/>
                <w:lang w:eastAsia="sk-SK"/>
              </w:rPr>
            </w:pPr>
            <w:r>
              <w:rPr>
                <w:rFonts w:ascii="Arial Narrow" w:hAnsi="Arial Narrow" w:cs="Arial"/>
                <w:b/>
                <w:bCs/>
                <w:sz w:val="16"/>
                <w:szCs w:val="16"/>
                <w:lang w:eastAsia="sk-SK"/>
              </w:rPr>
              <w:t>39 420</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Rezerva vlády</w:t>
            </w:r>
          </w:p>
        </w:tc>
        <w:tc>
          <w:tcPr>
            <w:tcW w:w="1180" w:type="dxa"/>
            <w:tcBorders>
              <w:top w:val="nil"/>
              <w:left w:val="nil"/>
              <w:bottom w:val="single" w:sz="4" w:space="0" w:color="auto"/>
              <w:right w:val="single" w:sz="4" w:space="0" w:color="auto"/>
            </w:tcBorders>
            <w:textDirection w:val="lrTb"/>
            <w:vAlign w:val="center"/>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8 696 </w:t>
            </w:r>
          </w:p>
        </w:tc>
        <w:tc>
          <w:tcPr>
            <w:tcW w:w="1180" w:type="dxa"/>
            <w:tcBorders>
              <w:top w:val="nil"/>
              <w:left w:val="nil"/>
              <w:bottom w:val="single" w:sz="4" w:space="0" w:color="auto"/>
              <w:right w:val="single" w:sz="4" w:space="0" w:color="auto"/>
            </w:tcBorders>
            <w:textDirection w:val="lrTb"/>
            <w:vAlign w:val="center"/>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7 382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11 618</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5 000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5 000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5 000</w:t>
            </w:r>
          </w:p>
        </w:tc>
      </w:tr>
      <w:tr>
        <w:tblPrEx>
          <w:tblW w:w="9480" w:type="dxa"/>
          <w:tblInd w:w="55" w:type="dxa"/>
          <w:tblCellMar>
            <w:left w:w="70" w:type="dxa"/>
            <w:right w:w="70" w:type="dxa"/>
          </w:tblCellMar>
          <w:tblLook w:val="04A0"/>
        </w:tblPrEx>
        <w:trPr>
          <w:trHeight w:val="780"/>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Rezerva na realizáciu súdnych a exekučných rozhodnutí  a na výdavky  súvisiace s vrátenými príjmami z minulých rokov</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252</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5 24</w:t>
            </w:r>
            <w:r>
              <w:rPr>
                <w:rFonts w:ascii="Arial Narrow" w:hAnsi="Arial Narrow" w:cs="Arial"/>
                <w:sz w:val="16"/>
                <w:szCs w:val="16"/>
                <w:lang w:eastAsia="sk-SK"/>
              </w:rPr>
              <w:t>7</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9 958</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r>
      <w:tr>
        <w:tblPrEx>
          <w:tblW w:w="9480" w:type="dxa"/>
          <w:tblInd w:w="55" w:type="dxa"/>
          <w:tblCellMar>
            <w:left w:w="70" w:type="dxa"/>
            <w:right w:w="70" w:type="dxa"/>
          </w:tblCellMar>
          <w:tblLook w:val="04A0"/>
        </w:tblPrEx>
        <w:trPr>
          <w:trHeight w:val="1269"/>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 xml:space="preserve">Rezerva na riešenie krízových situácií a odstraňovanie ich následkov (zákon č. 387/2002 Z. z.), na riešenie povodní, na živelné pohromy, ich prevenciu, ďalších vplyvov nových zákonných úprav a iné vplyvy </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900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55 156</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35 715</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27</w:t>
            </w:r>
            <w:r w:rsidR="00332D0E">
              <w:rPr>
                <w:rFonts w:ascii="Arial Narrow" w:hAnsi="Arial Narrow" w:cs="Arial"/>
                <w:sz w:val="16"/>
                <w:szCs w:val="16"/>
                <w:lang w:eastAsia="sk-SK"/>
              </w:rPr>
              <w:t xml:space="preserve"> </w:t>
            </w:r>
            <w:r>
              <w:rPr>
                <w:rFonts w:ascii="Arial Narrow" w:hAnsi="Arial Narrow" w:cs="Arial"/>
                <w:sz w:val="16"/>
                <w:szCs w:val="16"/>
                <w:lang w:eastAsia="sk-SK"/>
              </w:rPr>
              <w:t>539</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24 219</w:t>
            </w:r>
          </w:p>
        </w:tc>
      </w:tr>
      <w:tr>
        <w:tblPrEx>
          <w:tblW w:w="9480" w:type="dxa"/>
          <w:tblInd w:w="55" w:type="dxa"/>
          <w:tblCellMar>
            <w:left w:w="70" w:type="dxa"/>
            <w:right w:w="70" w:type="dxa"/>
          </w:tblCellMar>
          <w:tblLook w:val="04A0"/>
        </w:tblPrEx>
        <w:trPr>
          <w:trHeight w:val="780"/>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 xml:space="preserve">Rezerva na riešenie miezd, platov, služobných príjmov a ostatných osobných vyrovnaní vrátane poistného </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37 980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203</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 xml:space="preserve">195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20</w:t>
            </w:r>
            <w:r>
              <w:rPr>
                <w:rFonts w:ascii="Arial Narrow" w:hAnsi="Arial Narrow" w:cs="Arial"/>
                <w:sz w:val="16"/>
                <w:szCs w:val="16"/>
                <w:lang w:eastAsia="sk-SK"/>
              </w:rPr>
              <w:t>1</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Rezerva na vratky prevádzkovateľom hazardných hier</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107</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6</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1 162</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0</w:t>
            </w:r>
          </w:p>
        </w:tc>
      </w:tr>
    </w:tbl>
    <w:p w:rsidR="009B226A" w:rsidP="009B226A">
      <w:pPr>
        <w:bidi w:val="0"/>
        <w:ind w:firstLine="709"/>
        <w:jc w:val="both"/>
        <w:rPr>
          <w:rFonts w:ascii="Arial Narrow" w:hAnsi="Arial Narrow"/>
        </w:rPr>
      </w:pPr>
    </w:p>
    <w:p w:rsidR="009B226A" w:rsidRPr="009B226A" w:rsidP="009B226A">
      <w:pPr>
        <w:bidi w:val="0"/>
        <w:ind w:firstLine="709"/>
        <w:jc w:val="both"/>
        <w:rPr>
          <w:rFonts w:ascii="Arial Narrow" w:hAnsi="Arial Narrow"/>
          <w:sz w:val="22"/>
          <w:szCs w:val="22"/>
        </w:rPr>
      </w:pPr>
      <w:r w:rsidRPr="009B226A">
        <w:rPr>
          <w:rFonts w:ascii="Arial Narrow" w:hAnsi="Arial Narrow"/>
          <w:sz w:val="22"/>
          <w:szCs w:val="22"/>
        </w:rPr>
        <w:t xml:space="preserve"> Na krytie nepredvídaných a mimoriadnych potrieb súvisiacich so zabezpečením plnenia vnútorných a zahraničných úloh Slovenskej republiky je rozpočtovaná rezerva vlády. </w:t>
      </w:r>
    </w:p>
    <w:p w:rsidR="009B226A" w:rsidRPr="009B226A" w:rsidP="009B226A">
      <w:pPr>
        <w:bidi w:val="0"/>
        <w:ind w:firstLine="709"/>
        <w:jc w:val="both"/>
        <w:rPr>
          <w:rFonts w:ascii="Arial Narrow" w:hAnsi="Arial Narrow"/>
          <w:sz w:val="22"/>
          <w:szCs w:val="22"/>
        </w:rPr>
      </w:pPr>
    </w:p>
    <w:p w:rsidR="008C7868" w:rsidRPr="008C7868" w:rsidP="008C7868">
      <w:pPr>
        <w:bidi w:val="0"/>
        <w:ind w:firstLine="709"/>
        <w:jc w:val="both"/>
        <w:rPr>
          <w:rFonts w:ascii="Arial Narrow" w:hAnsi="Arial Narrow"/>
          <w:sz w:val="22"/>
          <w:szCs w:val="22"/>
        </w:rPr>
      </w:pPr>
      <w:r w:rsidRPr="008C7868">
        <w:rPr>
          <w:rFonts w:ascii="Arial Narrow" w:hAnsi="Arial Narrow"/>
          <w:sz w:val="22"/>
          <w:szCs w:val="22"/>
        </w:rPr>
        <w:t>Rozpočtovanie rezervy na riešenie krízových situácií a odstraňovanie ich následkov vyplýva zo zákona č. 387/2002 Z. z. o riadení štátu v krízových situáciách mimo času vojny a vojnového stavu. Časť rezervy tvoria výdavky, ktoré budú slúžiť na krytie nepredvídaných výdavkov v prípade povodní, živelných pohrôm, na krytie prípadných výdavkov súvisiacich s dopadmi zákona o sčítaní obyvateľov, domov a bytov, resp. na krytie dopadov prijatia nových zákonov a ďalších faktorov, ktoré sa v súčasnosti nedajú špecifikovať.</w:t>
      </w:r>
    </w:p>
    <w:p w:rsidR="009B226A" w:rsidRPr="009B226A" w:rsidP="009B226A">
      <w:pPr>
        <w:bidi w:val="0"/>
        <w:ind w:firstLine="709"/>
        <w:jc w:val="both"/>
        <w:rPr>
          <w:rFonts w:ascii="Arial Narrow" w:hAnsi="Arial Narrow"/>
          <w:sz w:val="22"/>
          <w:szCs w:val="22"/>
        </w:rPr>
      </w:pPr>
    </w:p>
    <w:p w:rsidR="009B226A" w:rsidRPr="009B226A" w:rsidP="009B226A">
      <w:pPr>
        <w:bidi w:val="0"/>
        <w:ind w:firstLine="709"/>
        <w:jc w:val="both"/>
        <w:rPr>
          <w:rFonts w:ascii="Arial Narrow" w:hAnsi="Arial Narrow"/>
          <w:sz w:val="22"/>
          <w:szCs w:val="22"/>
        </w:rPr>
      </w:pPr>
      <w:r w:rsidRPr="009B226A">
        <w:rPr>
          <w:rFonts w:ascii="Arial Narrow" w:hAnsi="Arial Narrow"/>
          <w:sz w:val="22"/>
          <w:szCs w:val="22"/>
        </w:rPr>
        <w:t>Objem osobných výdavkov sa rozpočtuje na úrovni 180 tis. eur, čo v porovnaní s rokom 2010 predstavuje pokles o 99,5 % (37,8 mil. eur). Medziročný pokles osobných výdavkov pozostáva z nerozpočtovania osobných výdavkov na valorizáciu, resp.  úpravu platov zamestnancov, ktorých plat sa odvíja od priemernej mzdy zamestnanca v hospodárstve SR. V kapitole sú zapracované osobné výdavky na úrovni roku 2010 pre náhradné obsadenie miest za vyslaných národných expertov podľa UV č. 723 zo 14. júla 2004 k návrhu postupu vysielania národných expertov Slovenskej republiky do inštitúcií Európskej únie.</w:t>
      </w:r>
    </w:p>
    <w:p w:rsidR="009B226A" w:rsidRPr="009B226A" w:rsidP="009B226A">
      <w:pPr>
        <w:bidi w:val="0"/>
        <w:ind w:firstLine="709"/>
        <w:jc w:val="both"/>
        <w:rPr>
          <w:rFonts w:ascii="Arial Narrow" w:hAnsi="Arial Narrow"/>
          <w:sz w:val="22"/>
          <w:szCs w:val="22"/>
        </w:rPr>
      </w:pPr>
    </w:p>
    <w:p w:rsidR="009B226A" w:rsidP="009B226A">
      <w:pPr>
        <w:bidi w:val="0"/>
        <w:jc w:val="both"/>
        <w:rPr>
          <w:rFonts w:ascii="Arial Narrow" w:hAnsi="Arial Narrow" w:cs="Arial"/>
          <w:bCs/>
          <w:iCs/>
          <w:sz w:val="22"/>
          <w:szCs w:val="22"/>
        </w:rPr>
      </w:pPr>
    </w:p>
    <w:p w:rsidR="009B226A" w:rsidP="009B226A">
      <w:pPr>
        <w:bidi w:val="0"/>
        <w:jc w:val="both"/>
        <w:rPr>
          <w:rFonts w:ascii="Arial Narrow" w:hAnsi="Arial Narrow" w:cs="Arial"/>
          <w:bCs/>
          <w:iCs/>
          <w:sz w:val="22"/>
          <w:szCs w:val="22"/>
        </w:rPr>
      </w:pPr>
    </w:p>
    <w:p w:rsidR="009B226A" w:rsidRPr="009B226A" w:rsidP="009B226A">
      <w:pPr>
        <w:bidi w:val="0"/>
        <w:jc w:val="both"/>
        <w:rPr>
          <w:rFonts w:ascii="Arial Narrow" w:hAnsi="Arial Narrow"/>
          <w:iCs/>
          <w:sz w:val="22"/>
          <w:szCs w:val="22"/>
        </w:rPr>
      </w:pPr>
      <w:r w:rsidRPr="009B226A">
        <w:rPr>
          <w:rFonts w:ascii="Arial Narrow" w:hAnsi="Arial Narrow" w:cs="Arial"/>
          <w:bCs/>
          <w:iCs/>
          <w:sz w:val="22"/>
          <w:szCs w:val="22"/>
        </w:rPr>
        <w:t>Finančné vzťahy súvisiace s rozpočtom EÚ</w:t>
      </w:r>
    </w:p>
    <w:p w:rsidR="009B226A" w:rsidP="009B226A">
      <w:pPr>
        <w:bidi w:val="0"/>
        <w:jc w:val="both"/>
        <w:rPr>
          <w:rFonts w:ascii="Arial Narrow" w:hAnsi="Arial Narrow"/>
          <w:sz w:val="22"/>
          <w:szCs w:val="22"/>
        </w:rPr>
      </w:pPr>
    </w:p>
    <w:tbl>
      <w:tblPr>
        <w:tblStyle w:val="TableNormal"/>
        <w:tblW w:w="9480" w:type="dxa"/>
        <w:tblInd w:w="55" w:type="dxa"/>
        <w:tblCellMar>
          <w:left w:w="70" w:type="dxa"/>
          <w:right w:w="70" w:type="dxa"/>
        </w:tblCellMar>
        <w:tblLook w:val="04A0"/>
      </w:tblPr>
      <w:tblGrid>
        <w:gridCol w:w="2400"/>
        <w:gridCol w:w="1180"/>
        <w:gridCol w:w="1180"/>
        <w:gridCol w:w="1180"/>
        <w:gridCol w:w="1180"/>
        <w:gridCol w:w="1180"/>
        <w:gridCol w:w="1180"/>
      </w:tblGrid>
      <w:tr>
        <w:tblPrEx>
          <w:tblW w:w="9480" w:type="dxa"/>
          <w:tblInd w:w="55" w:type="dxa"/>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bCs/>
                <w:color w:val="FFFFFF"/>
                <w:sz w:val="16"/>
                <w:szCs w:val="16"/>
                <w:lang w:eastAsia="sk-SK"/>
              </w:rPr>
            </w:pPr>
            <w:r w:rsidRPr="00C81BE8">
              <w:rPr>
                <w:rFonts w:ascii="Arial Narrow" w:hAnsi="Arial Narrow" w:cs="Arial"/>
                <w:b/>
                <w:bCs/>
                <w:sz w:val="16"/>
                <w:szCs w:val="16"/>
                <w:lang w:eastAsia="sk-SK"/>
              </w:rPr>
              <w:t>v tis. eur</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2008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2009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2010 R</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2011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2012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2013 N</w:t>
            </w:r>
          </w:p>
        </w:tc>
      </w:tr>
      <w:tr>
        <w:tblPrEx>
          <w:tblW w:w="9480" w:type="dxa"/>
          <w:tblInd w:w="55" w:type="dxa"/>
          <w:tblCellMar>
            <w:left w:w="70" w:type="dxa"/>
            <w:right w:w="70" w:type="dxa"/>
          </w:tblCellMar>
          <w:tblLook w:val="04A0"/>
        </w:tblPrEx>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B226A" w:rsidRPr="003455F2" w:rsidP="009A4FED">
            <w:pPr>
              <w:bidi w:val="0"/>
              <w:rPr>
                <w:rFonts w:ascii="Arial Narrow" w:hAnsi="Arial Narrow" w:cs="Arial"/>
                <w:b/>
                <w:bCs/>
                <w:sz w:val="16"/>
                <w:szCs w:val="16"/>
                <w:lang w:eastAsia="sk-SK"/>
              </w:rPr>
            </w:pPr>
            <w:r w:rsidRPr="003455F2">
              <w:rPr>
                <w:rFonts w:ascii="Arial Narrow" w:hAnsi="Arial Narrow" w:cs="Arial"/>
                <w:b/>
                <w:bCs/>
                <w:sz w:val="16"/>
                <w:szCs w:val="16"/>
                <w:lang w:eastAsia="sk-SK"/>
              </w:rPr>
              <w:t>Finančné vzťahy súvisiace s rozpočtom EÚ</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 xml:space="preserve">568 614 </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629 74</w:t>
            </w:r>
            <w:r>
              <w:rPr>
                <w:rFonts w:ascii="Arial Narrow" w:hAnsi="Arial Narrow" w:cs="Arial"/>
                <w:b/>
                <w:bCs/>
                <w:sz w:val="16"/>
                <w:szCs w:val="16"/>
                <w:lang w:eastAsia="sk-SK"/>
              </w:rPr>
              <w:t>8</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834 45</w:t>
            </w:r>
            <w:r>
              <w:rPr>
                <w:rFonts w:ascii="Arial Narrow" w:hAnsi="Arial Narrow" w:cs="Arial"/>
                <w:b/>
                <w:bCs/>
                <w:sz w:val="16"/>
                <w:szCs w:val="16"/>
                <w:lang w:eastAsia="sk-SK"/>
              </w:rPr>
              <w:t>5</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 xml:space="preserve">686 732 </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 xml:space="preserve">715 966 </w:t>
            </w:r>
          </w:p>
        </w:tc>
        <w:tc>
          <w:tcPr>
            <w:tcW w:w="1180" w:type="dxa"/>
            <w:tcBorders>
              <w:top w:val="single" w:sz="4" w:space="0" w:color="auto"/>
              <w:left w:val="nil"/>
              <w:bottom w:val="single" w:sz="4" w:space="0" w:color="auto"/>
              <w:right w:val="single" w:sz="4" w:space="0" w:color="auto"/>
            </w:tcBorders>
            <w:shd w:val="clear" w:color="auto" w:fill="C0C0C0"/>
            <w:noWrap/>
            <w:textDirection w:val="lrTb"/>
            <w:vAlign w:val="bottom"/>
          </w:tcPr>
          <w:p w:rsidR="009B226A" w:rsidRPr="003455F2" w:rsidP="009A4FED">
            <w:pPr>
              <w:bidi w:val="0"/>
              <w:jc w:val="right"/>
              <w:rPr>
                <w:rFonts w:ascii="Arial Narrow" w:hAnsi="Arial Narrow" w:cs="Arial"/>
                <w:b/>
                <w:bCs/>
                <w:sz w:val="16"/>
                <w:szCs w:val="16"/>
                <w:lang w:eastAsia="sk-SK"/>
              </w:rPr>
            </w:pPr>
            <w:r w:rsidRPr="003455F2">
              <w:rPr>
                <w:rFonts w:ascii="Arial Narrow" w:hAnsi="Arial Narrow" w:cs="Arial"/>
                <w:b/>
                <w:bCs/>
                <w:sz w:val="16"/>
                <w:szCs w:val="16"/>
                <w:lang w:eastAsia="sk-SK"/>
              </w:rPr>
              <w:t>702 13</w:t>
            </w:r>
            <w:r>
              <w:rPr>
                <w:rFonts w:ascii="Arial Narrow" w:hAnsi="Arial Narrow" w:cs="Arial"/>
                <w:b/>
                <w:bCs/>
                <w:sz w:val="16"/>
                <w:szCs w:val="16"/>
                <w:lang w:eastAsia="sk-SK"/>
              </w:rPr>
              <w:t>4</w:t>
            </w:r>
          </w:p>
        </w:tc>
      </w:tr>
      <w:tr>
        <w:tblPrEx>
          <w:tblW w:w="9480" w:type="dxa"/>
          <w:tblInd w:w="55" w:type="dxa"/>
          <w:tblCellMar>
            <w:left w:w="70" w:type="dxa"/>
            <w:right w:w="70" w:type="dxa"/>
          </w:tblCellMar>
          <w:tblLook w:val="04A0"/>
        </w:tblPrEx>
        <w:trPr>
          <w:trHeight w:val="585"/>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 xml:space="preserve">Výdavky na financovanie spoločných programov finančných mechanizmov a finančnej obálky </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39 976</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17 63</w:t>
            </w:r>
            <w:r>
              <w:rPr>
                <w:rFonts w:ascii="Arial Narrow" w:hAnsi="Arial Narrow" w:cs="Arial"/>
                <w:sz w:val="16"/>
                <w:szCs w:val="16"/>
                <w:lang w:eastAsia="sk-SK"/>
              </w:rPr>
              <w:t>2</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16 7</w:t>
            </w:r>
            <w:r>
              <w:rPr>
                <w:rFonts w:ascii="Arial Narrow" w:hAnsi="Arial Narrow" w:cs="Arial"/>
                <w:sz w:val="16"/>
                <w:szCs w:val="16"/>
                <w:lang w:eastAsia="sk-SK"/>
              </w:rPr>
              <w:t>50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13 080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6 197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5 46</w:t>
            </w:r>
            <w:r>
              <w:rPr>
                <w:rFonts w:ascii="Arial Narrow" w:hAnsi="Arial Narrow" w:cs="Arial"/>
                <w:sz w:val="16"/>
                <w:szCs w:val="16"/>
                <w:lang w:eastAsia="sk-SK"/>
              </w:rPr>
              <w:t>7</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Rezerva na prostriedky Európskej únie a odvody Európskej únii</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1 917</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62 052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55 828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17 112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Pr>
                <w:rFonts w:ascii="Arial Narrow" w:hAnsi="Arial Narrow" w:cs="Arial"/>
                <w:sz w:val="16"/>
                <w:szCs w:val="16"/>
                <w:lang w:eastAsia="sk-SK"/>
              </w:rPr>
              <w:t>17 767</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17 909 </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455F2" w:rsidP="009A4FED">
            <w:pPr>
              <w:bidi w:val="0"/>
              <w:rPr>
                <w:rFonts w:ascii="Arial Narrow" w:hAnsi="Arial Narrow" w:cs="Arial"/>
                <w:sz w:val="16"/>
                <w:szCs w:val="16"/>
                <w:lang w:eastAsia="sk-SK"/>
              </w:rPr>
            </w:pPr>
            <w:r w:rsidRPr="003455F2">
              <w:rPr>
                <w:rFonts w:ascii="Arial Narrow" w:hAnsi="Arial Narrow" w:cs="Arial"/>
                <w:sz w:val="16"/>
                <w:szCs w:val="16"/>
                <w:lang w:eastAsia="sk-SK"/>
              </w:rPr>
              <w:t>Odvody do všeobecného rozpočtu EÚ,  príspevky SR do  EÚ fondov</w:t>
            </w:r>
            <w:r>
              <w:rPr>
                <w:rFonts w:ascii="Arial Narrow" w:hAnsi="Arial Narrow" w:cs="Arial"/>
                <w:sz w:val="16"/>
                <w:szCs w:val="16"/>
                <w:lang w:eastAsia="sk-SK"/>
              </w:rPr>
              <w:t>*</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526 72</w:t>
            </w:r>
            <w:r>
              <w:rPr>
                <w:rFonts w:ascii="Arial Narrow" w:hAnsi="Arial Narrow" w:cs="Arial"/>
                <w:sz w:val="16"/>
                <w:szCs w:val="16"/>
                <w:lang w:eastAsia="sk-SK"/>
              </w:rPr>
              <w:t>1</w:t>
            </w:r>
          </w:p>
        </w:tc>
        <w:tc>
          <w:tcPr>
            <w:tcW w:w="1180" w:type="dxa"/>
            <w:tcBorders>
              <w:top w:val="nil"/>
              <w:left w:val="nil"/>
              <w:bottom w:val="single" w:sz="4" w:space="0" w:color="auto"/>
              <w:right w:val="single" w:sz="4" w:space="0" w:color="auto"/>
            </w:tcBorders>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550 06</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 xml:space="preserve">761 877 </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656 5</w:t>
            </w:r>
            <w:r>
              <w:rPr>
                <w:rFonts w:ascii="Arial Narrow" w:hAnsi="Arial Narrow" w:cs="Arial"/>
                <w:sz w:val="16"/>
                <w:szCs w:val="16"/>
                <w:lang w:eastAsia="sk-SK"/>
              </w:rPr>
              <w:t>40</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692 002</w:t>
            </w:r>
          </w:p>
        </w:tc>
        <w:tc>
          <w:tcPr>
            <w:tcW w:w="1180" w:type="dxa"/>
            <w:tcBorders>
              <w:top w:val="nil"/>
              <w:left w:val="nil"/>
              <w:bottom w:val="single" w:sz="4" w:space="0" w:color="auto"/>
              <w:right w:val="single" w:sz="4" w:space="0" w:color="auto"/>
            </w:tcBorders>
            <w:noWrap/>
            <w:textDirection w:val="lrTb"/>
            <w:vAlign w:val="bottom"/>
          </w:tcPr>
          <w:p w:rsidR="009B226A" w:rsidRPr="003455F2" w:rsidP="009A4FED">
            <w:pPr>
              <w:bidi w:val="0"/>
              <w:jc w:val="right"/>
              <w:rPr>
                <w:rFonts w:ascii="Arial Narrow" w:hAnsi="Arial Narrow" w:cs="Arial"/>
                <w:sz w:val="16"/>
                <w:szCs w:val="16"/>
                <w:lang w:eastAsia="sk-SK"/>
              </w:rPr>
            </w:pPr>
            <w:r w:rsidRPr="003455F2">
              <w:rPr>
                <w:rFonts w:ascii="Arial Narrow" w:hAnsi="Arial Narrow" w:cs="Arial"/>
                <w:sz w:val="16"/>
                <w:szCs w:val="16"/>
                <w:lang w:eastAsia="sk-SK"/>
              </w:rPr>
              <w:t>678 75</w:t>
            </w:r>
            <w:r>
              <w:rPr>
                <w:rFonts w:ascii="Arial Narrow" w:hAnsi="Arial Narrow" w:cs="Arial"/>
                <w:sz w:val="16"/>
                <w:szCs w:val="16"/>
                <w:lang w:eastAsia="sk-SK"/>
              </w:rPr>
              <w:t>8</w:t>
            </w:r>
          </w:p>
        </w:tc>
      </w:tr>
    </w:tbl>
    <w:p w:rsidR="009B226A" w:rsidP="009B226A">
      <w:pPr>
        <w:bidi w:val="0"/>
        <w:jc w:val="both"/>
        <w:rPr>
          <w:rFonts w:ascii="Arial Narrow" w:hAnsi="Arial Narrow"/>
          <w:sz w:val="16"/>
          <w:szCs w:val="16"/>
        </w:rPr>
      </w:pPr>
      <w:r>
        <w:rPr>
          <w:rFonts w:ascii="Arial Narrow" w:hAnsi="Arial Narrow"/>
          <w:sz w:val="22"/>
          <w:szCs w:val="22"/>
        </w:rPr>
        <w:t>*</w:t>
      </w:r>
      <w:r w:rsidRPr="008C648D">
        <w:rPr>
          <w:rFonts w:ascii="Arial Narrow" w:hAnsi="Arial Narrow"/>
          <w:sz w:val="16"/>
          <w:szCs w:val="16"/>
        </w:rPr>
        <w:t>Odvody do vše</w:t>
      </w:r>
      <w:r>
        <w:rPr>
          <w:rFonts w:ascii="Arial Narrow" w:hAnsi="Arial Narrow"/>
          <w:sz w:val="16"/>
          <w:szCs w:val="16"/>
        </w:rPr>
        <w:t>obecného rozpočtu EÚ boli hradené aj v z Rezervy na prostriedky EÚ a odvody EÚ. Celková výška odvodov dosiahla v roku 2009 sumu 612 115,9 tis. eur.</w:t>
      </w:r>
    </w:p>
    <w:p w:rsidR="009B226A" w:rsidRPr="009B226A" w:rsidP="009B226A">
      <w:pPr>
        <w:bidi w:val="0"/>
        <w:ind w:firstLine="709"/>
        <w:jc w:val="both"/>
        <w:rPr>
          <w:rFonts w:ascii="Arial Narrow" w:hAnsi="Arial Narrow"/>
          <w:sz w:val="22"/>
          <w:szCs w:val="22"/>
        </w:rPr>
      </w:pPr>
      <w:r w:rsidRPr="009B226A">
        <w:rPr>
          <w:rFonts w:ascii="Arial Narrow" w:hAnsi="Arial Narrow"/>
          <w:sz w:val="22"/>
          <w:szCs w:val="22"/>
        </w:rPr>
        <w:t xml:space="preserve">Výdavky na roky 2011 až 2013 zaradené v tejto skupine predstavujú zdroje určené na financovanie spoločných programov, t. j. Prechodného fondu, finančného mechanizmu EHP, Nórskeho finančného mechanizmu a Švajčiarskeho finančného mechanizmu.  Výdavky na spolufinancovanie Nórskeho finančného mechanizmu, finančného mechanizmu EHP a Švajčiarskeho finančného mechanizmu sa rozpočtujú v sume 9, 41 mil. eur.  </w:t>
      </w:r>
    </w:p>
    <w:p w:rsidR="009B226A" w:rsidRPr="009B226A" w:rsidP="009B226A">
      <w:pPr>
        <w:bidi w:val="0"/>
        <w:ind w:firstLine="709"/>
        <w:jc w:val="both"/>
        <w:rPr>
          <w:rFonts w:ascii="Arial Narrow" w:hAnsi="Arial Narrow"/>
          <w:sz w:val="22"/>
          <w:szCs w:val="22"/>
        </w:rPr>
      </w:pPr>
    </w:p>
    <w:p w:rsidR="009B226A" w:rsidRPr="009B226A" w:rsidP="009B226A">
      <w:pPr>
        <w:pStyle w:val="Title"/>
        <w:bidi w:val="0"/>
        <w:ind w:firstLine="709"/>
        <w:jc w:val="both"/>
        <w:rPr>
          <w:rFonts w:ascii="Arial Narrow" w:hAnsi="Arial Narrow"/>
          <w:b w:val="0"/>
          <w:bCs w:val="0"/>
          <w:sz w:val="22"/>
          <w:szCs w:val="22"/>
        </w:rPr>
      </w:pPr>
      <w:r w:rsidRPr="009B226A">
        <w:rPr>
          <w:rFonts w:ascii="Arial Narrow" w:hAnsi="Arial Narrow"/>
          <w:b w:val="0"/>
          <w:bCs w:val="0"/>
          <w:sz w:val="22"/>
          <w:szCs w:val="22"/>
        </w:rPr>
        <w:t>V tomto okruhu výdavkov je zahrnutá aj Rezerva na prostriedky Európskej únie a odvody Európskej únii. Využíva sa na administrovanie prostriedkov štrukturálnych fondov, Kohézneho fondu, príjmov z poľnohospodárskych fondov, odvodov Európskej únii a na výdavky na zefektívnenie systému finančného riadenia EÚ fondov a iných finančných nástrojov. Slúži na krytie nevyhnutých  a nepredvídaných výdavkov, ktoré vznikli v priebehu roka.</w:t>
      </w:r>
      <w:r w:rsidRPr="009B226A">
        <w:rPr>
          <w:rFonts w:ascii="Arial Narrow" w:hAnsi="Arial Narrow"/>
          <w:sz w:val="22"/>
          <w:szCs w:val="22"/>
        </w:rPr>
        <w:t xml:space="preserve"> </w:t>
      </w:r>
      <w:r w:rsidRPr="009B226A">
        <w:rPr>
          <w:rFonts w:ascii="Arial Narrow" w:hAnsi="Arial Narrow"/>
          <w:b w:val="0"/>
          <w:sz w:val="22"/>
          <w:szCs w:val="22"/>
        </w:rPr>
        <w:t>Rozpočtované sú tu aj prostriedky, ktoré bude SR odvádzať do všeobecného rozpočtu Európskej únie a  príspevky SR do Európskeho rozvojového fondu.</w:t>
      </w:r>
    </w:p>
    <w:p w:rsidR="009B226A" w:rsidRPr="009B226A" w:rsidP="009B226A">
      <w:pPr>
        <w:bidi w:val="0"/>
        <w:jc w:val="both"/>
        <w:rPr>
          <w:rFonts w:ascii="Arial Narrow" w:hAnsi="Arial Narrow"/>
          <w:b/>
          <w:i/>
          <w:iCs/>
          <w:sz w:val="22"/>
          <w:szCs w:val="22"/>
        </w:rPr>
      </w:pPr>
    </w:p>
    <w:p w:rsidR="009B226A" w:rsidRPr="009B226A" w:rsidP="009B226A">
      <w:pPr>
        <w:bidi w:val="0"/>
        <w:jc w:val="both"/>
        <w:rPr>
          <w:rFonts w:ascii="Arial Narrow" w:hAnsi="Arial Narrow" w:cs="Arial"/>
          <w:bCs/>
          <w:iCs/>
          <w:sz w:val="22"/>
          <w:szCs w:val="22"/>
        </w:rPr>
      </w:pPr>
      <w:r w:rsidRPr="009B226A">
        <w:rPr>
          <w:rFonts w:ascii="Arial Narrow" w:hAnsi="Arial Narrow" w:cs="Arial"/>
          <w:bCs/>
          <w:iCs/>
          <w:sz w:val="22"/>
          <w:szCs w:val="22"/>
        </w:rPr>
        <w:t>Výdavky spojené so správou štátneho dlhu</w:t>
      </w:r>
    </w:p>
    <w:p w:rsidR="009B226A" w:rsidP="009B226A">
      <w:pPr>
        <w:bidi w:val="0"/>
        <w:ind w:firstLine="708"/>
        <w:jc w:val="both"/>
        <w:rPr>
          <w:rFonts w:ascii="Arial Narrow" w:hAnsi="Arial Narrow" w:cs="Arial"/>
          <w:b/>
          <w:bCs/>
          <w:i/>
          <w:iCs/>
        </w:rPr>
      </w:pPr>
    </w:p>
    <w:tbl>
      <w:tblPr>
        <w:tblStyle w:val="TableNormal"/>
        <w:tblW w:w="9480" w:type="dxa"/>
        <w:tblInd w:w="55" w:type="dxa"/>
        <w:tblCellMar>
          <w:left w:w="70" w:type="dxa"/>
          <w:right w:w="70" w:type="dxa"/>
        </w:tblCellMar>
        <w:tblLook w:val="04A0"/>
      </w:tblPr>
      <w:tblGrid>
        <w:gridCol w:w="2400"/>
        <w:gridCol w:w="1180"/>
        <w:gridCol w:w="1180"/>
        <w:gridCol w:w="1180"/>
        <w:gridCol w:w="1180"/>
        <w:gridCol w:w="1180"/>
        <w:gridCol w:w="1180"/>
      </w:tblGrid>
      <w:tr>
        <w:tblPrEx>
          <w:tblW w:w="9480" w:type="dxa"/>
          <w:tblInd w:w="55" w:type="dxa"/>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bCs/>
                <w:sz w:val="16"/>
                <w:szCs w:val="16"/>
                <w:lang w:eastAsia="sk-SK"/>
              </w:rPr>
            </w:pPr>
            <w:r w:rsidRPr="00C81BE8">
              <w:rPr>
                <w:rFonts w:ascii="Arial Narrow" w:hAnsi="Arial Narrow" w:cs="Arial"/>
                <w:b/>
                <w:bCs/>
                <w:sz w:val="16"/>
                <w:szCs w:val="16"/>
                <w:lang w:eastAsia="sk-SK"/>
              </w:rPr>
              <w:t>v tis. eur</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2008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2009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2010 R</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2011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2012 N</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2013 N</w:t>
            </w:r>
          </w:p>
        </w:tc>
      </w:tr>
      <w:tr>
        <w:tblPrEx>
          <w:tblW w:w="9480" w:type="dxa"/>
          <w:tblInd w:w="55" w:type="dxa"/>
          <w:tblCellMar>
            <w:left w:w="70" w:type="dxa"/>
            <w:right w:w="70" w:type="dxa"/>
          </w:tblCellMar>
          <w:tblLook w:val="04A0"/>
        </w:tblPrEx>
        <w:trPr>
          <w:trHeight w:val="450"/>
        </w:trPr>
        <w:tc>
          <w:tcPr>
            <w:tcW w:w="2400" w:type="dxa"/>
            <w:tcBorders>
              <w:top w:val="nil"/>
              <w:left w:val="single" w:sz="4" w:space="0" w:color="auto"/>
              <w:bottom w:val="single" w:sz="4" w:space="0" w:color="auto"/>
              <w:right w:val="single" w:sz="4" w:space="0" w:color="auto"/>
            </w:tcBorders>
            <w:textDirection w:val="lrTb"/>
            <w:vAlign w:val="center"/>
          </w:tcPr>
          <w:p w:rsidR="009B226A" w:rsidRPr="00C81BE8" w:rsidP="009A4FED">
            <w:pPr>
              <w:bidi w:val="0"/>
              <w:rPr>
                <w:rFonts w:ascii="Arial Narrow" w:hAnsi="Arial Narrow" w:cs="Arial"/>
                <w:b/>
                <w:bCs/>
                <w:sz w:val="16"/>
                <w:szCs w:val="16"/>
                <w:lang w:eastAsia="sk-SK"/>
              </w:rPr>
            </w:pPr>
            <w:r w:rsidRPr="00C81BE8">
              <w:rPr>
                <w:rFonts w:ascii="Arial Narrow" w:hAnsi="Arial Narrow" w:cs="Arial"/>
                <w:b/>
                <w:bCs/>
                <w:sz w:val="16"/>
                <w:szCs w:val="16"/>
                <w:lang w:eastAsia="sk-SK"/>
              </w:rPr>
              <w:t>Výdavky spojené so správou štátneho dlhu</w:t>
            </w:r>
          </w:p>
        </w:tc>
        <w:tc>
          <w:tcPr>
            <w:tcW w:w="1180" w:type="dxa"/>
            <w:tcBorders>
              <w:top w:val="nil"/>
              <w:left w:val="nil"/>
              <w:bottom w:val="single" w:sz="4" w:space="0" w:color="auto"/>
              <w:right w:val="single" w:sz="4" w:space="0" w:color="auto"/>
            </w:tcBorders>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 xml:space="preserve">884 928 </w:t>
            </w:r>
          </w:p>
        </w:tc>
        <w:tc>
          <w:tcPr>
            <w:tcW w:w="1180" w:type="dxa"/>
            <w:tcBorders>
              <w:top w:val="nil"/>
              <w:left w:val="nil"/>
              <w:bottom w:val="single" w:sz="4" w:space="0" w:color="auto"/>
              <w:right w:val="single" w:sz="4" w:space="0" w:color="auto"/>
            </w:tcBorders>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 xml:space="preserve">762 712 </w:t>
            </w:r>
          </w:p>
        </w:tc>
        <w:tc>
          <w:tcPr>
            <w:tcW w:w="1180" w:type="dxa"/>
            <w:tcBorders>
              <w:top w:val="nil"/>
              <w:left w:val="nil"/>
              <w:bottom w:val="single" w:sz="4" w:space="0" w:color="auto"/>
              <w:right w:val="single" w:sz="4" w:space="0" w:color="auto"/>
            </w:tcBorders>
            <w:noWrap/>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1 144 250</w:t>
            </w:r>
          </w:p>
        </w:tc>
        <w:tc>
          <w:tcPr>
            <w:tcW w:w="1180" w:type="dxa"/>
            <w:tcBorders>
              <w:top w:val="nil"/>
              <w:left w:val="nil"/>
              <w:bottom w:val="single" w:sz="4" w:space="0" w:color="auto"/>
              <w:right w:val="single" w:sz="4" w:space="0" w:color="auto"/>
            </w:tcBorders>
            <w:noWrap/>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w:t>
            </w:r>
            <w:r>
              <w:rPr>
                <w:rFonts w:ascii="Arial Narrow" w:hAnsi="Arial Narrow" w:cs="Arial"/>
                <w:b/>
                <w:bCs/>
                <w:sz w:val="16"/>
                <w:szCs w:val="16"/>
                <w:lang w:eastAsia="sk-SK"/>
              </w:rPr>
              <w:t> 163 188</w:t>
            </w:r>
          </w:p>
        </w:tc>
        <w:tc>
          <w:tcPr>
            <w:tcW w:w="1180" w:type="dxa"/>
            <w:tcBorders>
              <w:top w:val="nil"/>
              <w:left w:val="nil"/>
              <w:bottom w:val="single" w:sz="4" w:space="0" w:color="auto"/>
              <w:right w:val="single" w:sz="4" w:space="0" w:color="auto"/>
            </w:tcBorders>
            <w:noWrap/>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w:t>
            </w:r>
            <w:r>
              <w:rPr>
                <w:rFonts w:ascii="Arial Narrow" w:hAnsi="Arial Narrow" w:cs="Arial"/>
                <w:b/>
                <w:bCs/>
                <w:sz w:val="16"/>
                <w:szCs w:val="16"/>
                <w:lang w:eastAsia="sk-SK"/>
              </w:rPr>
              <w:t xml:space="preserve"> 609 990 </w:t>
            </w:r>
          </w:p>
        </w:tc>
        <w:tc>
          <w:tcPr>
            <w:tcW w:w="1180" w:type="dxa"/>
            <w:tcBorders>
              <w:top w:val="nil"/>
              <w:left w:val="nil"/>
              <w:bottom w:val="single" w:sz="4" w:space="0" w:color="auto"/>
              <w:right w:val="single" w:sz="4" w:space="0" w:color="auto"/>
            </w:tcBorders>
            <w:noWrap/>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w:t>
            </w:r>
            <w:r>
              <w:rPr>
                <w:rFonts w:ascii="Arial Narrow" w:hAnsi="Arial Narrow" w:cs="Arial"/>
                <w:b/>
                <w:bCs/>
                <w:sz w:val="16"/>
                <w:szCs w:val="16"/>
                <w:lang w:eastAsia="sk-SK"/>
              </w:rPr>
              <w:t> 645 031</w:t>
            </w:r>
          </w:p>
        </w:tc>
      </w:tr>
    </w:tbl>
    <w:p w:rsidR="009B226A" w:rsidRPr="00CC27EC" w:rsidP="009B226A">
      <w:pPr>
        <w:bidi w:val="0"/>
        <w:ind w:firstLine="709"/>
        <w:jc w:val="both"/>
        <w:rPr>
          <w:rFonts w:ascii="Arial Narrow" w:hAnsi="Arial Narrow"/>
        </w:rPr>
      </w:pPr>
    </w:p>
    <w:p w:rsidR="009B226A" w:rsidRPr="009B226A" w:rsidP="009B226A">
      <w:pPr>
        <w:bidi w:val="0"/>
        <w:ind w:firstLine="709"/>
        <w:jc w:val="both"/>
        <w:rPr>
          <w:rFonts w:ascii="Arial Narrow" w:hAnsi="Arial Narrow"/>
          <w:sz w:val="22"/>
          <w:szCs w:val="22"/>
        </w:rPr>
      </w:pPr>
      <w:r w:rsidRPr="009B226A">
        <w:rPr>
          <w:rFonts w:ascii="Arial Narrow" w:hAnsi="Arial Narrow"/>
          <w:sz w:val="22"/>
          <w:szCs w:val="22"/>
        </w:rPr>
        <w:t>Pri rozpočtovaní nákladov na financovanie štátneho dlhu aj relatívne malá zmena v základných parametroch sa môže prejaviť výraznou zmenou výdavkov. Nižšie uvedené rozpočtované náklady sú založené najmä na nasledujúcich faktoroch:</w:t>
      </w:r>
    </w:p>
    <w:p w:rsidR="009B226A" w:rsidRPr="009B226A" w:rsidP="009B226A">
      <w:pPr>
        <w:bidi w:val="0"/>
        <w:ind w:firstLine="709"/>
        <w:jc w:val="both"/>
        <w:rPr>
          <w:rFonts w:ascii="Arial Narrow" w:hAnsi="Arial Narrow"/>
          <w:sz w:val="22"/>
          <w:szCs w:val="22"/>
        </w:rPr>
      </w:pP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 xml:space="preserve">úrokové sadzby, </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predpokladaný deficit štátneho rozpočtu,</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predčasne splatené úvery,</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dlhopisy spätne odkúpené pred splatnosťou,</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neznáme budúce čerpania vládnych úverov,</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riadenie likvidity finančného trhu a menové riadenie ECB,</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vplyv krízy vo finančnom sektore,</w:t>
      </w:r>
    </w:p>
    <w:p w:rsidR="009B226A" w:rsidRPr="009B226A" w:rsidP="00BE7180">
      <w:pPr>
        <w:numPr>
          <w:numId w:val="9"/>
        </w:numPr>
        <w:bidi w:val="0"/>
        <w:ind w:left="0" w:firstLine="709"/>
        <w:jc w:val="both"/>
        <w:rPr>
          <w:rFonts w:ascii="Arial Narrow" w:hAnsi="Arial Narrow"/>
          <w:sz w:val="22"/>
          <w:szCs w:val="22"/>
        </w:rPr>
      </w:pPr>
      <w:r w:rsidRPr="009B226A">
        <w:rPr>
          <w:rFonts w:ascii="Arial Narrow" w:hAnsi="Arial Narrow"/>
          <w:sz w:val="22"/>
          <w:szCs w:val="22"/>
        </w:rPr>
        <w:t>vplyv krízy v reálnej ekonomike.</w:t>
      </w:r>
    </w:p>
    <w:p w:rsidR="009B226A" w:rsidRPr="009B226A" w:rsidP="009B226A">
      <w:pPr>
        <w:bidi w:val="0"/>
        <w:ind w:firstLine="709"/>
        <w:jc w:val="both"/>
        <w:rPr>
          <w:rFonts w:ascii="Arial Narrow" w:hAnsi="Arial Narrow"/>
          <w:sz w:val="22"/>
          <w:szCs w:val="22"/>
        </w:rPr>
      </w:pPr>
    </w:p>
    <w:p w:rsidR="009B226A" w:rsidRPr="009B226A" w:rsidP="009B226A">
      <w:pPr>
        <w:bidi w:val="0"/>
        <w:jc w:val="both"/>
        <w:rPr>
          <w:rFonts w:ascii="Arial Narrow" w:hAnsi="Arial Narrow"/>
          <w:i/>
          <w:sz w:val="22"/>
          <w:szCs w:val="22"/>
        </w:rPr>
      </w:pPr>
      <w:r w:rsidRPr="009B226A">
        <w:rPr>
          <w:rFonts w:ascii="Arial Narrow" w:hAnsi="Arial Narrow"/>
          <w:i/>
          <w:sz w:val="22"/>
          <w:szCs w:val="22"/>
        </w:rPr>
        <w:t>Domáci dlh</w:t>
      </w:r>
    </w:p>
    <w:p w:rsidR="009B226A" w:rsidRPr="009B226A" w:rsidP="009B226A">
      <w:pPr>
        <w:bidi w:val="0"/>
        <w:ind w:firstLine="709"/>
        <w:jc w:val="both"/>
        <w:rPr>
          <w:rFonts w:ascii="Arial Narrow" w:hAnsi="Arial Narrow"/>
          <w:i/>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Výplaty výnosov majiteľom „rezidentom“ štátnych dlhopisov</w:t>
      </w:r>
      <w:r w:rsidRPr="009B226A">
        <w:rPr>
          <w:rFonts w:ascii="Arial Narrow" w:hAnsi="Arial Narrow"/>
          <w:color w:val="000080"/>
          <w:sz w:val="22"/>
          <w:szCs w:val="22"/>
        </w:rPr>
        <w:t xml:space="preserve"> </w:t>
      </w:r>
      <w:r w:rsidRPr="009B226A">
        <w:rPr>
          <w:rFonts w:ascii="Arial Narrow" w:hAnsi="Arial Narrow"/>
          <w:sz w:val="22"/>
          <w:szCs w:val="22"/>
        </w:rPr>
        <w:t>vydaných na domácom finančnom trhu, výplaty výnosov zo štátnych dlhopisov vydaných v roku 2001 za účelom reštrukturalizácie vybraných bánk a výplaty výnosov rehabilitačných dlhopisov sú rozpočtované sumou 658,4 mil. eur.</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Úrokové náklady v položke Diskont pri emisiách štátnych dlhopisov z dlhopisov vydaných na domácom trhu sa rozpočtujú sumou 86,8 mil. eur.</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Náklady súvisiace s riadením rizík štátneho dlhu sa členia na splácanie úrokov v rámci refinančného systému Ministerstva financií SR Štátnej pokladnici, ktoré sa rozpočtujú vo výške 41,6 mil. eur a na náklady spojené s finančnými operáciami súvisiace najmä so štátnymi pokladničnými poukážkami a peňažnými transakciami vo výške 98,3 mil. eur.</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 xml:space="preserve">Úroky z úverov  prijatých od domácich finančných inštitúcií  sú rozpočtované sumou 7,1 tis. eur. </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 xml:space="preserve">Poplatky spojené so správou štátneho dlhu, emisií štátnych cenných papierov (poplatky za služby Centrálneho depozitára cenných papierov SR, a.s., Bratislava, Burzy cenných papierov, a.s., Bratislava a iné bankové služby), sú rozpočtované vo výške 14,0 mil. eur. V tejto položke sú zahrnuté aj poplatky pre Národnú banku Slovenska za správu a vedenie účtov vládnych úverov, prevzatých od bývalej ČSFR. Súčasťou tejto položky je refundácia úrokových rozdielov pre NBS za depozit v MMF. </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bCs/>
          <w:sz w:val="22"/>
          <w:szCs w:val="22"/>
        </w:rPr>
      </w:pPr>
      <w:r w:rsidRPr="009B226A">
        <w:rPr>
          <w:rFonts w:ascii="Arial Narrow" w:hAnsi="Arial Narrow"/>
          <w:sz w:val="22"/>
          <w:szCs w:val="22"/>
        </w:rPr>
        <w:t xml:space="preserve">Rozpočtované výdavky na obsluhu domáceho dlhu dosahujú </w:t>
      </w:r>
      <w:r w:rsidRPr="009B226A">
        <w:rPr>
          <w:rFonts w:ascii="Arial Narrow" w:hAnsi="Arial Narrow"/>
          <w:bCs/>
          <w:sz w:val="22"/>
          <w:szCs w:val="22"/>
        </w:rPr>
        <w:t xml:space="preserve">  899,1  mil. eur.</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tabs>
          <w:tab w:val="left" w:pos="993"/>
        </w:tabs>
        <w:bidi w:val="0"/>
        <w:jc w:val="both"/>
        <w:rPr>
          <w:rFonts w:ascii="Arial Narrow" w:hAnsi="Arial Narrow"/>
          <w:i/>
          <w:sz w:val="22"/>
          <w:szCs w:val="22"/>
        </w:rPr>
      </w:pPr>
      <w:r w:rsidRPr="009B226A">
        <w:rPr>
          <w:rFonts w:ascii="Arial Narrow" w:hAnsi="Arial Narrow"/>
          <w:i/>
          <w:sz w:val="22"/>
          <w:szCs w:val="22"/>
        </w:rPr>
        <w:t xml:space="preserve"> Zahraničný dlh</w:t>
      </w:r>
    </w:p>
    <w:p w:rsidR="009B226A" w:rsidRPr="009B226A" w:rsidP="009B226A">
      <w:pPr>
        <w:tabs>
          <w:tab w:val="left" w:pos="993"/>
        </w:tabs>
        <w:bidi w:val="0"/>
        <w:ind w:firstLine="709"/>
        <w:jc w:val="both"/>
        <w:rPr>
          <w:rFonts w:ascii="Arial Narrow" w:hAnsi="Arial Narrow"/>
          <w:i/>
          <w:sz w:val="22"/>
          <w:szCs w:val="22"/>
        </w:rPr>
      </w:pPr>
    </w:p>
    <w:p w:rsidR="009B226A" w:rsidRPr="009B226A" w:rsidP="009B226A">
      <w:pPr>
        <w:autoSpaceDE w:val="0"/>
        <w:autoSpaceDN w:val="0"/>
        <w:bidi w:val="0"/>
        <w:adjustRightInd w:val="0"/>
        <w:ind w:firstLine="709"/>
        <w:jc w:val="both"/>
        <w:rPr>
          <w:rFonts w:ascii="Arial Narrow" w:hAnsi="Arial Narrow"/>
          <w:sz w:val="22"/>
          <w:szCs w:val="22"/>
        </w:rPr>
      </w:pPr>
      <w:r w:rsidRPr="009B226A">
        <w:rPr>
          <w:rFonts w:ascii="Arial Narrow" w:hAnsi="Arial Narrow"/>
          <w:sz w:val="22"/>
          <w:szCs w:val="22"/>
        </w:rPr>
        <w:t>Výplata výnosov majiteľom štátnych dlhopisov, ktoré ministerstvo financií vydalo v zahraničí a výplaty výnosov majiteľom – nerezidentom štátnych dlhopisov vydaných na domácom finančnom trhu sa rozpočtujú v celkovej výške 232,9 mil. eur.</w:t>
      </w:r>
    </w:p>
    <w:p w:rsidR="009B226A" w:rsidRPr="009B226A" w:rsidP="009B226A">
      <w:pPr>
        <w:autoSpaceDE w:val="0"/>
        <w:autoSpaceDN w:val="0"/>
        <w:bidi w:val="0"/>
        <w:adjustRightInd w:val="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 xml:space="preserve">Splatné úroky z úverov poskytnutých zahraničnými veriteľmi (EIB, Svetová banka, Japonská banka pre medzinárodnú spoluprácu, ŠFCH, SAL a ERL, ŽSR) sa rozpočtujú na rok 2011 sumou 28,2 mil. eur  v zmysle platných splátkových kalendárov. </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sz w:val="22"/>
          <w:szCs w:val="22"/>
        </w:rPr>
      </w:pPr>
      <w:r w:rsidRPr="009B226A">
        <w:rPr>
          <w:rFonts w:ascii="Arial Narrow" w:hAnsi="Arial Narrow"/>
          <w:sz w:val="22"/>
          <w:szCs w:val="22"/>
        </w:rPr>
        <w:t xml:space="preserve">Ostatné platby predstavujúce úhradu poplatkov za správu a vedenie účtov v civilnej a špeciálnej oblasti vyplácané ČSOB, a.s., Praha, Českej národnej banke, poplatky za čerpanie nových úverov, prípadne poplatky z nečerpania, poplatky pre ratingové agentúry a možné poplatky za vydanie štátnych dlhopisov v zahraničí sa rozpočtujú vo výške 3,0 mil. eur. </w:t>
      </w:r>
    </w:p>
    <w:p w:rsidR="009B226A" w:rsidRPr="009B226A" w:rsidP="009B226A">
      <w:pPr>
        <w:pStyle w:val="NormalWeb"/>
        <w:bidi w:val="0"/>
        <w:spacing w:before="0" w:beforeAutospacing="0" w:after="0" w:afterAutospacing="0"/>
        <w:ind w:firstLine="709"/>
        <w:jc w:val="both"/>
        <w:rPr>
          <w:rFonts w:ascii="Arial Narrow" w:hAnsi="Arial Narrow"/>
          <w:sz w:val="22"/>
          <w:szCs w:val="22"/>
        </w:rPr>
      </w:pPr>
    </w:p>
    <w:p w:rsidR="009B226A" w:rsidRPr="009B226A" w:rsidP="009B226A">
      <w:pPr>
        <w:pStyle w:val="NormalWeb"/>
        <w:bidi w:val="0"/>
        <w:spacing w:before="0" w:beforeAutospacing="0" w:after="0" w:afterAutospacing="0"/>
        <w:ind w:firstLine="709"/>
        <w:jc w:val="both"/>
        <w:rPr>
          <w:rFonts w:ascii="Arial Narrow" w:hAnsi="Arial Narrow"/>
          <w:bCs/>
          <w:sz w:val="22"/>
          <w:szCs w:val="22"/>
        </w:rPr>
      </w:pPr>
      <w:r w:rsidRPr="009B226A">
        <w:rPr>
          <w:rFonts w:ascii="Arial Narrow" w:hAnsi="Arial Narrow"/>
          <w:sz w:val="22"/>
          <w:szCs w:val="22"/>
        </w:rPr>
        <w:t>Rozpočtované výdavky na zahraničný dlh dosahujú 264,1 mil.</w:t>
      </w:r>
      <w:r w:rsidRPr="009B226A">
        <w:rPr>
          <w:rFonts w:ascii="Arial Narrow" w:hAnsi="Arial Narrow"/>
          <w:bCs/>
          <w:sz w:val="22"/>
          <w:szCs w:val="22"/>
        </w:rPr>
        <w:t xml:space="preserve"> eur.</w:t>
      </w:r>
    </w:p>
    <w:p w:rsidR="009B226A" w:rsidRPr="009B226A" w:rsidP="009B226A">
      <w:pPr>
        <w:pStyle w:val="NormalWeb"/>
        <w:bidi w:val="0"/>
        <w:spacing w:before="0" w:beforeAutospacing="0" w:after="0" w:afterAutospacing="0"/>
        <w:ind w:firstLine="709"/>
        <w:jc w:val="both"/>
        <w:rPr>
          <w:rFonts w:ascii="Arial Narrow" w:hAnsi="Arial Narrow"/>
          <w:bCs/>
          <w:sz w:val="22"/>
          <w:szCs w:val="22"/>
        </w:rPr>
      </w:pPr>
    </w:p>
    <w:p w:rsidR="009B226A" w:rsidRPr="009B226A" w:rsidP="009B226A">
      <w:pPr>
        <w:pStyle w:val="NormalWeb"/>
        <w:bidi w:val="0"/>
        <w:spacing w:before="0" w:beforeAutospacing="0" w:after="0" w:afterAutospacing="0"/>
        <w:ind w:firstLine="708"/>
        <w:jc w:val="both"/>
        <w:rPr>
          <w:rFonts w:ascii="Arial Narrow" w:hAnsi="Arial Narrow"/>
          <w:sz w:val="22"/>
          <w:szCs w:val="22"/>
        </w:rPr>
      </w:pPr>
      <w:r w:rsidRPr="009B226A">
        <w:rPr>
          <w:rFonts w:ascii="Arial Narrow" w:hAnsi="Arial Narrow"/>
          <w:sz w:val="22"/>
          <w:szCs w:val="22"/>
        </w:rPr>
        <w:t>Celkové výdavky na obsluhu štátneho dlhu v roku 2011 sú vo výške 1,163 mld. eur.</w:t>
      </w:r>
    </w:p>
    <w:p w:rsidR="009B226A" w:rsidRPr="001007C0" w:rsidP="009B226A">
      <w:pPr>
        <w:pStyle w:val="NormalWeb"/>
        <w:bidi w:val="0"/>
        <w:spacing w:before="0" w:beforeAutospacing="0" w:after="0" w:afterAutospacing="0"/>
        <w:ind w:firstLine="709"/>
        <w:jc w:val="both"/>
        <w:rPr>
          <w:rFonts w:ascii="Arial Narrow" w:hAnsi="Arial Narrow"/>
          <w:sz w:val="22"/>
          <w:szCs w:val="22"/>
        </w:rPr>
      </w:pPr>
    </w:p>
    <w:p w:rsidR="009B226A" w:rsidP="009B226A">
      <w:pPr>
        <w:bidi w:val="0"/>
        <w:jc w:val="both"/>
        <w:rPr>
          <w:rFonts w:ascii="Arial Narrow" w:hAnsi="Arial Narrow"/>
          <w:iCs/>
          <w:sz w:val="22"/>
          <w:szCs w:val="22"/>
        </w:rPr>
      </w:pPr>
    </w:p>
    <w:p w:rsidR="009B226A" w:rsidP="009B226A">
      <w:pPr>
        <w:bidi w:val="0"/>
        <w:jc w:val="both"/>
        <w:rPr>
          <w:rFonts w:ascii="Arial Narrow" w:hAnsi="Arial Narrow"/>
          <w:iCs/>
          <w:sz w:val="22"/>
          <w:szCs w:val="22"/>
        </w:rPr>
      </w:pPr>
    </w:p>
    <w:p w:rsidR="009B226A" w:rsidP="009B226A">
      <w:pPr>
        <w:bidi w:val="0"/>
        <w:jc w:val="both"/>
        <w:rPr>
          <w:rFonts w:ascii="Arial Narrow" w:hAnsi="Arial Narrow"/>
          <w:iCs/>
          <w:sz w:val="22"/>
          <w:szCs w:val="22"/>
        </w:rPr>
      </w:pPr>
    </w:p>
    <w:p w:rsidR="009B226A" w:rsidP="009B226A">
      <w:pPr>
        <w:bidi w:val="0"/>
        <w:jc w:val="both"/>
        <w:rPr>
          <w:rFonts w:ascii="Arial Narrow" w:hAnsi="Arial Narrow"/>
          <w:iCs/>
          <w:sz w:val="22"/>
          <w:szCs w:val="22"/>
        </w:rPr>
      </w:pPr>
    </w:p>
    <w:p w:rsidR="009B226A" w:rsidRPr="009B226A" w:rsidP="009B226A">
      <w:pPr>
        <w:bidi w:val="0"/>
        <w:jc w:val="both"/>
        <w:rPr>
          <w:rFonts w:ascii="Arial Narrow" w:hAnsi="Arial Narrow"/>
          <w:iCs/>
          <w:sz w:val="22"/>
          <w:szCs w:val="22"/>
        </w:rPr>
      </w:pPr>
      <w:r>
        <w:rPr>
          <w:rFonts w:ascii="Arial Narrow" w:hAnsi="Arial Narrow"/>
          <w:iCs/>
          <w:sz w:val="22"/>
          <w:szCs w:val="22"/>
        </w:rPr>
        <w:br w:type="page"/>
      </w:r>
      <w:r w:rsidRPr="009B226A">
        <w:rPr>
          <w:rFonts w:ascii="Arial Narrow" w:hAnsi="Arial Narrow"/>
          <w:iCs/>
          <w:sz w:val="22"/>
          <w:szCs w:val="22"/>
        </w:rPr>
        <w:t>Ostatné výdavky</w:t>
      </w:r>
    </w:p>
    <w:p w:rsidR="009B226A" w:rsidRPr="009B226A" w:rsidP="009B226A">
      <w:pPr>
        <w:bidi w:val="0"/>
        <w:jc w:val="both"/>
        <w:rPr>
          <w:rFonts w:ascii="Arial Narrow" w:hAnsi="Arial Narrow"/>
          <w:iCs/>
        </w:rPr>
      </w:pPr>
    </w:p>
    <w:tbl>
      <w:tblPr>
        <w:tblStyle w:val="TableNormal"/>
        <w:tblW w:w="9480" w:type="dxa"/>
        <w:tblInd w:w="55" w:type="dxa"/>
        <w:tblCellMar>
          <w:left w:w="70" w:type="dxa"/>
          <w:right w:w="70" w:type="dxa"/>
        </w:tblCellMar>
        <w:tblLook w:val="04A0"/>
      </w:tblPr>
      <w:tblGrid>
        <w:gridCol w:w="2400"/>
        <w:gridCol w:w="1180"/>
        <w:gridCol w:w="1180"/>
        <w:gridCol w:w="1180"/>
        <w:gridCol w:w="1180"/>
        <w:gridCol w:w="1117"/>
        <w:gridCol w:w="1243"/>
      </w:tblGrid>
      <w:tr>
        <w:tblPrEx>
          <w:tblW w:w="9480" w:type="dxa"/>
          <w:tblInd w:w="55" w:type="dxa"/>
          <w:tblCellMar>
            <w:left w:w="70" w:type="dxa"/>
            <w:right w:w="70" w:type="dxa"/>
          </w:tblCellMar>
          <w:tblLook w:val="04A0"/>
        </w:tblPrEx>
        <w:trPr>
          <w:trHeight w:val="270"/>
        </w:trPr>
        <w:tc>
          <w:tcPr>
            <w:tcW w:w="2400" w:type="dxa"/>
            <w:tcBorders>
              <w:top w:val="single" w:sz="4" w:space="0" w:color="auto"/>
              <w:left w:val="single" w:sz="4" w:space="0" w:color="auto"/>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bCs/>
                <w:sz w:val="16"/>
                <w:szCs w:val="16"/>
                <w:lang w:eastAsia="sk-SK"/>
              </w:rPr>
            </w:pPr>
            <w:r w:rsidRPr="00C81BE8">
              <w:rPr>
                <w:rFonts w:ascii="Arial Narrow" w:hAnsi="Arial Narrow" w:cs="Arial"/>
                <w:b/>
                <w:bCs/>
                <w:sz w:val="16"/>
                <w:szCs w:val="16"/>
                <w:lang w:eastAsia="sk-SK"/>
              </w:rPr>
              <w:t>v tis. eur</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2008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2009 S*</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2010 R</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2011 N</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2012 N</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C81BE8" w:rsidP="009A4FED">
            <w:pPr>
              <w:bidi w:val="0"/>
              <w:jc w:val="center"/>
              <w:rPr>
                <w:rFonts w:ascii="Arial Narrow" w:hAnsi="Arial Narrow" w:cs="Arial"/>
                <w:b/>
                <w:sz w:val="16"/>
                <w:szCs w:val="16"/>
                <w:lang w:eastAsia="sk-SK"/>
              </w:rPr>
            </w:pPr>
            <w:r w:rsidRPr="00C81BE8">
              <w:rPr>
                <w:rFonts w:ascii="Arial Narrow" w:hAnsi="Arial Narrow" w:cs="Arial"/>
                <w:b/>
                <w:sz w:val="16"/>
                <w:szCs w:val="16"/>
                <w:lang w:eastAsia="sk-SK"/>
              </w:rPr>
              <w:t>2013 N</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B226A" w:rsidRPr="00C81BE8" w:rsidP="009A4FED">
            <w:pPr>
              <w:bidi w:val="0"/>
              <w:rPr>
                <w:rFonts w:ascii="Arial Narrow" w:hAnsi="Arial Narrow" w:cs="Arial"/>
                <w:b/>
                <w:bCs/>
                <w:sz w:val="16"/>
                <w:szCs w:val="16"/>
                <w:lang w:eastAsia="sk-SK"/>
              </w:rPr>
            </w:pPr>
            <w:r w:rsidRPr="00C81BE8">
              <w:rPr>
                <w:rFonts w:ascii="Arial Narrow" w:hAnsi="Arial Narrow" w:cs="Arial"/>
                <w:b/>
                <w:bCs/>
                <w:sz w:val="16"/>
                <w:szCs w:val="16"/>
                <w:lang w:eastAsia="sk-SK"/>
              </w:rPr>
              <w:t>Ostatné</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44 26</w:t>
            </w:r>
            <w:r>
              <w:rPr>
                <w:rFonts w:ascii="Arial Narrow" w:hAnsi="Arial Narrow" w:cs="Arial"/>
                <w:b/>
                <w:bCs/>
                <w:sz w:val="16"/>
                <w:szCs w:val="16"/>
                <w:lang w:eastAsia="sk-SK"/>
              </w:rPr>
              <w:t>7</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149 043</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1 610 238</w:t>
            </w:r>
          </w:p>
        </w:tc>
        <w:tc>
          <w:tcPr>
            <w:tcW w:w="1180"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Pr>
                <w:rFonts w:ascii="Arial Narrow" w:hAnsi="Arial Narrow" w:cs="Arial"/>
                <w:b/>
                <w:bCs/>
                <w:sz w:val="16"/>
                <w:szCs w:val="16"/>
                <w:lang w:eastAsia="sk-SK"/>
              </w:rPr>
              <w:t>1 704</w:t>
            </w:r>
            <w:r w:rsidRPr="00C81BE8">
              <w:rPr>
                <w:rFonts w:ascii="Arial Narrow" w:hAnsi="Arial Narrow" w:cs="Arial"/>
                <w:b/>
                <w:bCs/>
                <w:sz w:val="16"/>
                <w:szCs w:val="16"/>
                <w:lang w:eastAsia="sk-SK"/>
              </w:rPr>
              <w:t xml:space="preserve"> </w:t>
            </w:r>
            <w:r>
              <w:rPr>
                <w:rFonts w:ascii="Arial Narrow" w:hAnsi="Arial Narrow" w:cs="Arial"/>
                <w:b/>
                <w:bCs/>
                <w:sz w:val="16"/>
                <w:szCs w:val="16"/>
                <w:lang w:eastAsia="sk-SK"/>
              </w:rPr>
              <w:t>117</w:t>
            </w:r>
            <w:r w:rsidRPr="00C81BE8">
              <w:rPr>
                <w:rFonts w:ascii="Arial Narrow" w:hAnsi="Arial Narrow" w:cs="Arial"/>
                <w:b/>
                <w:bCs/>
                <w:sz w:val="16"/>
                <w:szCs w:val="16"/>
                <w:lang w:eastAsia="sk-SK"/>
              </w:rPr>
              <w:t xml:space="preserve"> </w:t>
            </w:r>
          </w:p>
        </w:tc>
        <w:tc>
          <w:tcPr>
            <w:tcW w:w="1117"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w:t>
            </w:r>
            <w:r>
              <w:rPr>
                <w:rFonts w:ascii="Arial Narrow" w:hAnsi="Arial Narrow" w:cs="Arial"/>
                <w:b/>
                <w:bCs/>
                <w:sz w:val="16"/>
                <w:szCs w:val="16"/>
                <w:lang w:eastAsia="sk-SK"/>
              </w:rPr>
              <w:t> 759 907</w:t>
            </w:r>
          </w:p>
        </w:tc>
        <w:tc>
          <w:tcPr>
            <w:tcW w:w="1243" w:type="dxa"/>
            <w:tcBorders>
              <w:top w:val="single" w:sz="4" w:space="0" w:color="auto"/>
              <w:left w:val="nil"/>
              <w:bottom w:val="single" w:sz="4" w:space="0" w:color="auto"/>
              <w:right w:val="single" w:sz="4" w:space="0" w:color="auto"/>
            </w:tcBorders>
            <w:shd w:val="clear" w:color="auto" w:fill="C0C0C0"/>
            <w:textDirection w:val="lrTb"/>
            <w:vAlign w:val="bottom"/>
          </w:tcPr>
          <w:p w:rsidR="009B226A" w:rsidRPr="00C81BE8" w:rsidP="009A4FED">
            <w:pPr>
              <w:bidi w:val="0"/>
              <w:jc w:val="right"/>
              <w:rPr>
                <w:rFonts w:ascii="Arial Narrow" w:hAnsi="Arial Narrow" w:cs="Arial"/>
                <w:b/>
                <w:bCs/>
                <w:sz w:val="16"/>
                <w:szCs w:val="16"/>
                <w:lang w:eastAsia="sk-SK"/>
              </w:rPr>
            </w:pPr>
            <w:r w:rsidRPr="00C81BE8">
              <w:rPr>
                <w:rFonts w:ascii="Arial Narrow" w:hAnsi="Arial Narrow" w:cs="Arial"/>
                <w:b/>
                <w:bCs/>
                <w:sz w:val="16"/>
                <w:szCs w:val="16"/>
                <w:lang w:eastAsia="sk-SK"/>
              </w:rPr>
              <w:t>1</w:t>
            </w:r>
            <w:r>
              <w:rPr>
                <w:rFonts w:ascii="Arial Narrow" w:hAnsi="Arial Narrow" w:cs="Arial"/>
                <w:b/>
                <w:bCs/>
                <w:sz w:val="16"/>
                <w:szCs w:val="16"/>
                <w:lang w:eastAsia="sk-SK"/>
              </w:rPr>
              <w:t> 811 933</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 xml:space="preserve">Úhrada majetkovej ujmy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3 10</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1 548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3 20</w:t>
            </w:r>
            <w:r>
              <w:rPr>
                <w:rFonts w:ascii="Arial Narrow" w:hAnsi="Arial Narrow" w:cs="Arial"/>
                <w:sz w:val="16"/>
                <w:szCs w:val="16"/>
                <w:lang w:eastAsia="sk-SK"/>
              </w:rPr>
              <w:t>3</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2 55</w:t>
            </w:r>
            <w:r>
              <w:rPr>
                <w:rFonts w:ascii="Arial Narrow" w:hAnsi="Arial Narrow" w:cs="Arial"/>
                <w:sz w:val="16"/>
                <w:szCs w:val="16"/>
                <w:lang w:eastAsia="sk-SK"/>
              </w:rPr>
              <w:t>3</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2 14</w:t>
            </w:r>
            <w:r>
              <w:rPr>
                <w:rFonts w:ascii="Arial Narrow" w:hAnsi="Arial Narrow" w:cs="Arial"/>
                <w:sz w:val="16"/>
                <w:szCs w:val="16"/>
                <w:lang w:eastAsia="sk-SK"/>
              </w:rPr>
              <w:t>4</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2 087</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 xml:space="preserve">Príspevky politickým stranám a politickým hnutiam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5 502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5 50</w:t>
            </w:r>
            <w:r>
              <w:rPr>
                <w:rFonts w:ascii="Arial Narrow" w:hAnsi="Arial Narrow" w:cs="Arial"/>
                <w:sz w:val="16"/>
                <w:szCs w:val="16"/>
                <w:lang w:eastAsia="sk-SK"/>
              </w:rPr>
              <w:t>1</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22 40</w:t>
            </w:r>
            <w:r>
              <w:rPr>
                <w:rFonts w:ascii="Arial Narrow" w:hAnsi="Arial Narrow" w:cs="Arial"/>
                <w:sz w:val="16"/>
                <w:szCs w:val="16"/>
                <w:lang w:eastAsia="sk-SK"/>
              </w:rPr>
              <w:t>6</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7 333</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7 333</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7 333 </w:t>
            </w:r>
          </w:p>
        </w:tc>
      </w:tr>
      <w:tr>
        <w:tblPrEx>
          <w:tblW w:w="9480" w:type="dxa"/>
          <w:tblInd w:w="55" w:type="dxa"/>
          <w:tblCellMar>
            <w:left w:w="70" w:type="dxa"/>
            <w:right w:w="70" w:type="dxa"/>
          </w:tblCellMar>
          <w:tblLook w:val="04A0"/>
        </w:tblPrEx>
        <w:trPr>
          <w:trHeight w:val="78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 xml:space="preserve">Výdavky na všeobecne prospešné služby podľa č. 171/2005 Z. z. o hazardných hrách a dotácie na individuálne potreby obcí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6 20</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7 823</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3 2</w:t>
            </w:r>
            <w:r>
              <w:rPr>
                <w:rFonts w:ascii="Arial Narrow" w:hAnsi="Arial Narrow" w:cs="Arial"/>
                <w:sz w:val="16"/>
                <w:szCs w:val="16"/>
                <w:lang w:eastAsia="sk-SK"/>
              </w:rPr>
              <w:t>70</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3 </w:t>
            </w:r>
            <w:r>
              <w:rPr>
                <w:rFonts w:ascii="Arial Narrow" w:hAnsi="Arial Narrow" w:cs="Arial"/>
                <w:sz w:val="16"/>
                <w:szCs w:val="16"/>
                <w:lang w:eastAsia="sk-SK"/>
              </w:rPr>
              <w:t>270</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3 270</w:t>
            </w:r>
            <w:r w:rsidRPr="003943BB">
              <w:rPr>
                <w:rFonts w:ascii="Arial Narrow" w:hAnsi="Arial Narrow" w:cs="Arial"/>
                <w:sz w:val="16"/>
                <w:szCs w:val="16"/>
                <w:lang w:eastAsia="sk-SK"/>
              </w:rPr>
              <w:t xml:space="preserve"> </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3 </w:t>
            </w:r>
            <w:r>
              <w:rPr>
                <w:rFonts w:ascii="Arial Narrow" w:hAnsi="Arial Narrow" w:cs="Arial"/>
                <w:sz w:val="16"/>
                <w:szCs w:val="16"/>
                <w:lang w:eastAsia="sk-SK"/>
              </w:rPr>
              <w:t>270</w:t>
            </w:r>
          </w:p>
        </w:tc>
      </w:tr>
      <w:tr>
        <w:tblPrEx>
          <w:tblW w:w="9480" w:type="dxa"/>
          <w:tblInd w:w="55" w:type="dxa"/>
          <w:tblCellMar>
            <w:left w:w="70" w:type="dxa"/>
            <w:right w:w="70" w:type="dxa"/>
          </w:tblCellMar>
          <w:tblLook w:val="04A0"/>
        </w:tblPrEx>
        <w:trPr>
          <w:trHeight w:val="78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Štátny príspevok na pôžičky mladým manželom a štátny príspevok pre mladomanželov na mladomanželské úvery</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9 361</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15 721 </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22 00</w:t>
            </w:r>
            <w:r>
              <w:rPr>
                <w:rFonts w:ascii="Arial Narrow" w:hAnsi="Arial Narrow" w:cs="Arial"/>
                <w:sz w:val="16"/>
                <w:szCs w:val="16"/>
                <w:lang w:eastAsia="sk-SK"/>
              </w:rPr>
              <w:t>1</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Úhrada poplatkov Štátnej pokladnici</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3</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3</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3</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3</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 xml:space="preserve">Výdavky na administratívny poplatok EIB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4</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6</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8</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Dotácie pre zariadenia sociálnych služieb pre obce</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23 55</w:t>
            </w:r>
            <w:r>
              <w:rPr>
                <w:rFonts w:ascii="Arial Narrow" w:hAnsi="Arial Narrow" w:cs="Arial"/>
                <w:sz w:val="16"/>
                <w:szCs w:val="16"/>
                <w:lang w:eastAsia="sk-SK"/>
              </w:rPr>
              <w:t>3</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24 628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25 802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26 63</w:t>
            </w:r>
            <w:r>
              <w:rPr>
                <w:rFonts w:ascii="Arial Narrow" w:hAnsi="Arial Narrow" w:cs="Arial"/>
                <w:sz w:val="16"/>
                <w:szCs w:val="16"/>
                <w:lang w:eastAsia="sk-SK"/>
              </w:rPr>
              <w:t>7</w:t>
            </w:r>
            <w:r w:rsidRPr="003943BB">
              <w:rPr>
                <w:rFonts w:ascii="Arial Narrow" w:hAnsi="Arial Narrow" w:cs="Arial"/>
                <w:sz w:val="16"/>
                <w:szCs w:val="16"/>
                <w:lang w:eastAsia="sk-SK"/>
              </w:rPr>
              <w:t xml:space="preserve"> </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27 509 </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28 19</w:t>
            </w:r>
            <w:r>
              <w:rPr>
                <w:rFonts w:ascii="Arial Narrow" w:hAnsi="Arial Narrow" w:cs="Arial"/>
                <w:sz w:val="16"/>
                <w:szCs w:val="16"/>
                <w:lang w:eastAsia="sk-SK"/>
              </w:rPr>
              <w:t>6</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Dotácie na záchranu a obnovu kultúrnych pamiatok pre obce</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1 98</w:t>
            </w:r>
            <w:r>
              <w:rPr>
                <w:rFonts w:ascii="Arial Narrow" w:hAnsi="Arial Narrow" w:cs="Arial"/>
                <w:sz w:val="16"/>
                <w:szCs w:val="16"/>
                <w:lang w:eastAsia="sk-SK"/>
              </w:rPr>
              <w:t>5</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2 02</w:t>
            </w:r>
            <w:r>
              <w:rPr>
                <w:rFonts w:ascii="Arial Narrow" w:hAnsi="Arial Narrow" w:cs="Arial"/>
                <w:sz w:val="16"/>
                <w:szCs w:val="16"/>
                <w:lang w:eastAsia="sk-SK"/>
              </w:rPr>
              <w:t>5</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2 0</w:t>
            </w:r>
            <w:r>
              <w:rPr>
                <w:rFonts w:ascii="Arial Narrow" w:hAnsi="Arial Narrow" w:cs="Arial"/>
                <w:sz w:val="16"/>
                <w:szCs w:val="16"/>
                <w:lang w:eastAsia="sk-SK"/>
              </w:rPr>
              <w:t>25</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2 </w:t>
            </w:r>
            <w:r>
              <w:rPr>
                <w:rFonts w:ascii="Arial Narrow" w:hAnsi="Arial Narrow" w:cs="Arial"/>
                <w:sz w:val="16"/>
                <w:szCs w:val="16"/>
                <w:lang w:eastAsia="sk-SK"/>
              </w:rPr>
              <w:t>025</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2 025</w:t>
            </w:r>
          </w:p>
        </w:tc>
      </w:tr>
      <w:tr>
        <w:tblPrEx>
          <w:tblW w:w="9480" w:type="dxa"/>
          <w:tblInd w:w="55" w:type="dxa"/>
          <w:tblCellMar>
            <w:left w:w="70" w:type="dxa"/>
            <w:right w:w="70" w:type="dxa"/>
          </w:tblCellMar>
          <w:tblLook w:val="04A0"/>
        </w:tblPrEx>
        <w:trPr>
          <w:trHeight w:val="301"/>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Pr>
                <w:rFonts w:ascii="Arial Narrow" w:hAnsi="Arial Narrow" w:cs="Arial"/>
                <w:sz w:val="16"/>
                <w:szCs w:val="16"/>
                <w:lang w:eastAsia="sk-SK"/>
              </w:rPr>
              <w:t>Výdavky na iné zákonné úpravy</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 xml:space="preserve">105 000 </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r>
      <w:tr>
        <w:tblPrEx>
          <w:tblW w:w="9480" w:type="dxa"/>
          <w:tblInd w:w="55" w:type="dxa"/>
          <w:tblCellMar>
            <w:left w:w="70" w:type="dxa"/>
            <w:right w:w="70" w:type="dxa"/>
          </w:tblCellMar>
          <w:tblLook w:val="04A0"/>
        </w:tblPrEx>
        <w:trPr>
          <w:trHeight w:val="405"/>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Pr>
                <w:rFonts w:ascii="Arial Narrow" w:hAnsi="Arial Narrow" w:cs="Arial"/>
                <w:sz w:val="16"/>
                <w:szCs w:val="16"/>
                <w:lang w:eastAsia="sk-SK"/>
              </w:rPr>
              <w:t>Príspevok na  úhradu úrokových rozdielov EXIMBANKE SR</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995</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r>
      <w:tr>
        <w:tblPrEx>
          <w:tblW w:w="9480" w:type="dxa"/>
          <w:tblInd w:w="55" w:type="dxa"/>
          <w:tblCellMar>
            <w:left w:w="70" w:type="dxa"/>
            <w:right w:w="70" w:type="dxa"/>
          </w:tblCellMar>
          <w:tblLook w:val="04A0"/>
        </w:tblPrEx>
        <w:trPr>
          <w:trHeight w:val="510"/>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Finančné zúčtovanie (poistného VZP platené štátom za r. 2010)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10 000 </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Príspevky do medzinárodných organizácií</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1 9</w:t>
            </w:r>
            <w:r>
              <w:rPr>
                <w:rFonts w:ascii="Arial Narrow" w:hAnsi="Arial Narrow" w:cs="Arial"/>
                <w:sz w:val="16"/>
                <w:szCs w:val="16"/>
                <w:lang w:eastAsia="sk-SK"/>
              </w:rPr>
              <w:t>50</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500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1 600</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1 600</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1 600 </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Pr>
                <w:rFonts w:ascii="Arial Narrow" w:hAnsi="Arial Narrow" w:cs="Arial"/>
                <w:sz w:val="16"/>
                <w:szCs w:val="16"/>
                <w:lang w:eastAsia="sk-SK"/>
              </w:rPr>
              <w:t>Výdavky na zastupovanie pri medzinárodných arbitrážach</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10 000</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P="009A4FED">
            <w:pPr>
              <w:bidi w:val="0"/>
              <w:rPr>
                <w:rFonts w:ascii="Arial Narrow" w:hAnsi="Arial Narrow" w:cs="Arial"/>
                <w:sz w:val="16"/>
                <w:szCs w:val="16"/>
                <w:lang w:eastAsia="sk-SK"/>
              </w:rPr>
            </w:pPr>
            <w:r>
              <w:rPr>
                <w:rFonts w:ascii="Arial Narrow" w:hAnsi="Arial Narrow" w:cs="Arial"/>
                <w:sz w:val="16"/>
                <w:szCs w:val="16"/>
                <w:lang w:eastAsia="sk-SK"/>
              </w:rPr>
              <w:t>Výdavky na plnenie multilicenčnej zmluvy s Microsoftom</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P="009A4FED">
            <w:pPr>
              <w:bidi w:val="0"/>
              <w:jc w:val="right"/>
              <w:rPr>
                <w:rFonts w:ascii="Arial Narrow" w:hAnsi="Arial Narrow" w:cs="Arial"/>
                <w:sz w:val="16"/>
                <w:szCs w:val="16"/>
                <w:lang w:eastAsia="sk-SK"/>
              </w:rPr>
            </w:pPr>
            <w:r>
              <w:rPr>
                <w:rFonts w:ascii="Arial Narrow" w:hAnsi="Arial Narrow" w:cs="Arial"/>
                <w:sz w:val="16"/>
                <w:szCs w:val="16"/>
                <w:lang w:eastAsia="sk-SK"/>
              </w:rPr>
              <w:t>12 600</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12 600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12 600</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Pr>
                <w:rFonts w:ascii="Arial Narrow" w:hAnsi="Arial Narrow" w:cs="Arial"/>
                <w:sz w:val="16"/>
                <w:szCs w:val="16"/>
                <w:lang w:eastAsia="sk-SK"/>
              </w:rPr>
              <w:t>Výdavky na audit verejnej správy</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 xml:space="preserve">5 000 </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0</w:t>
            </w:r>
          </w:p>
        </w:tc>
      </w:tr>
      <w:tr>
        <w:tblPrEx>
          <w:tblW w:w="9480"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Transfer Sociálnej poisťovni</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1 441 709 </w:t>
            </w:r>
          </w:p>
        </w:tc>
        <w:tc>
          <w:tcPr>
            <w:tcW w:w="1180"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1 608 733 </w:t>
            </w:r>
          </w:p>
        </w:tc>
        <w:tc>
          <w:tcPr>
            <w:tcW w:w="1117"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w:t>
            </w:r>
            <w:r>
              <w:rPr>
                <w:rFonts w:ascii="Arial Narrow" w:hAnsi="Arial Narrow" w:cs="Arial"/>
                <w:sz w:val="16"/>
                <w:szCs w:val="16"/>
                <w:lang w:eastAsia="sk-SK"/>
              </w:rPr>
              <w:t> </w:t>
            </w:r>
            <w:r w:rsidRPr="003943BB">
              <w:rPr>
                <w:rFonts w:ascii="Arial Narrow" w:hAnsi="Arial Narrow" w:cs="Arial"/>
                <w:sz w:val="16"/>
                <w:szCs w:val="16"/>
                <w:lang w:eastAsia="sk-SK"/>
              </w:rPr>
              <w:t>672</w:t>
            </w:r>
            <w:r>
              <w:rPr>
                <w:rFonts w:ascii="Arial Narrow" w:hAnsi="Arial Narrow" w:cs="Arial"/>
                <w:sz w:val="16"/>
                <w:szCs w:val="16"/>
                <w:lang w:eastAsia="sk-SK"/>
              </w:rPr>
              <w:t xml:space="preserve"> 696</w:t>
            </w:r>
            <w:r w:rsidRPr="003943BB">
              <w:rPr>
                <w:rFonts w:ascii="Arial Narrow" w:hAnsi="Arial Narrow" w:cs="Arial"/>
                <w:sz w:val="16"/>
                <w:szCs w:val="16"/>
                <w:lang w:eastAsia="sk-SK"/>
              </w:rPr>
              <w:t xml:space="preserve">  </w:t>
            </w:r>
          </w:p>
        </w:tc>
        <w:tc>
          <w:tcPr>
            <w:tcW w:w="1243" w:type="dxa"/>
            <w:tcBorders>
              <w:top w:val="single" w:sz="4" w:space="0" w:color="auto"/>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1 717 805 </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Rada pre vysielanie a retransmisiu</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1 003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1 19</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1 244</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1 157 </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Pr>
                <w:rFonts w:ascii="Arial Narrow" w:hAnsi="Arial Narrow" w:cs="Arial"/>
                <w:sz w:val="16"/>
                <w:szCs w:val="16"/>
                <w:lang w:eastAsia="sk-SK"/>
              </w:rPr>
              <w:t>1 159</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1 162 </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Kancelária verejného ochrancu práv</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1 294</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1 32</w:t>
            </w:r>
            <w:r>
              <w:rPr>
                <w:rFonts w:ascii="Arial Narrow" w:hAnsi="Arial Narrow" w:cs="Arial"/>
                <w:sz w:val="16"/>
                <w:szCs w:val="16"/>
                <w:lang w:eastAsia="sk-SK"/>
              </w:rPr>
              <w:t>9</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1 196</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1 165 </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1 165</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1 16</w:t>
            </w:r>
            <w:r>
              <w:rPr>
                <w:rFonts w:ascii="Arial Narrow" w:hAnsi="Arial Narrow" w:cs="Arial"/>
                <w:sz w:val="16"/>
                <w:szCs w:val="16"/>
                <w:lang w:eastAsia="sk-SK"/>
              </w:rPr>
              <w:t>5</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Úrad na ochranu osobných údajov</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0</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86</w:t>
            </w:r>
            <w:r>
              <w:rPr>
                <w:rFonts w:ascii="Arial Narrow" w:hAnsi="Arial Narrow" w:cs="Arial"/>
                <w:sz w:val="16"/>
                <w:szCs w:val="16"/>
                <w:lang w:eastAsia="sk-SK"/>
              </w:rPr>
              <w:t>4</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72</w:t>
            </w:r>
            <w:r>
              <w:rPr>
                <w:rFonts w:ascii="Arial Narrow" w:hAnsi="Arial Narrow" w:cs="Arial"/>
                <w:sz w:val="16"/>
                <w:szCs w:val="16"/>
                <w:lang w:eastAsia="sk-SK"/>
              </w:rPr>
              <w:t>9</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684 </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68</w:t>
            </w:r>
            <w:r>
              <w:rPr>
                <w:rFonts w:ascii="Arial Narrow" w:hAnsi="Arial Narrow" w:cs="Arial"/>
                <w:sz w:val="16"/>
                <w:szCs w:val="16"/>
                <w:lang w:eastAsia="sk-SK"/>
              </w:rPr>
              <w:t>5</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68</w:t>
            </w:r>
            <w:r>
              <w:rPr>
                <w:rFonts w:ascii="Arial Narrow" w:hAnsi="Arial Narrow" w:cs="Arial"/>
                <w:sz w:val="16"/>
                <w:szCs w:val="16"/>
                <w:lang w:eastAsia="sk-SK"/>
              </w:rPr>
              <w:t>5</w:t>
            </w:r>
          </w:p>
        </w:tc>
      </w:tr>
      <w:tr>
        <w:tblPrEx>
          <w:tblW w:w="9480" w:type="dxa"/>
          <w:tblInd w:w="55" w:type="dxa"/>
          <w:tblCellMar>
            <w:left w:w="70" w:type="dxa"/>
            <w:right w:w="70" w:type="dxa"/>
          </w:tblCellMar>
          <w:tblLook w:val="04A0"/>
        </w:tblPrEx>
        <w:trPr>
          <w:trHeight w:val="255"/>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 xml:space="preserve">Transfer Ústavu pamäti národa </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1 611</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1 616</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1 581</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1 46</w:t>
            </w:r>
            <w:r>
              <w:rPr>
                <w:rFonts w:ascii="Arial Narrow" w:hAnsi="Arial Narrow" w:cs="Arial"/>
                <w:sz w:val="16"/>
                <w:szCs w:val="16"/>
                <w:lang w:eastAsia="sk-SK"/>
              </w:rPr>
              <w:t>4</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1 46</w:t>
            </w:r>
            <w:r>
              <w:rPr>
                <w:rFonts w:ascii="Arial Narrow" w:hAnsi="Arial Narrow" w:cs="Arial"/>
                <w:sz w:val="16"/>
                <w:szCs w:val="16"/>
                <w:lang w:eastAsia="sk-SK"/>
              </w:rPr>
              <w:t>4</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1 46</w:t>
            </w:r>
            <w:r>
              <w:rPr>
                <w:rFonts w:ascii="Arial Narrow" w:hAnsi="Arial Narrow" w:cs="Arial"/>
                <w:sz w:val="16"/>
                <w:szCs w:val="16"/>
                <w:lang w:eastAsia="sk-SK"/>
              </w:rPr>
              <w:t>4</w:t>
            </w:r>
          </w:p>
        </w:tc>
      </w:tr>
      <w:tr>
        <w:tblPrEx>
          <w:tblW w:w="9480" w:type="dxa"/>
          <w:tblInd w:w="55" w:type="dxa"/>
          <w:tblCellMar>
            <w:left w:w="70" w:type="dxa"/>
            <w:right w:w="70" w:type="dxa"/>
          </w:tblCellMar>
          <w:tblLook w:val="04A0"/>
        </w:tblPrEx>
        <w:trPr>
          <w:trHeight w:val="390"/>
        </w:trPr>
        <w:tc>
          <w:tcPr>
            <w:tcW w:w="2400" w:type="dxa"/>
            <w:tcBorders>
              <w:top w:val="nil"/>
              <w:left w:val="single" w:sz="4" w:space="0" w:color="auto"/>
              <w:bottom w:val="single" w:sz="4" w:space="0" w:color="auto"/>
              <w:right w:val="single" w:sz="4" w:space="0" w:color="auto"/>
            </w:tcBorders>
            <w:textDirection w:val="lrTb"/>
            <w:vAlign w:val="center"/>
          </w:tcPr>
          <w:p w:rsidR="009B226A" w:rsidRPr="003943BB" w:rsidP="009A4FED">
            <w:pPr>
              <w:bidi w:val="0"/>
              <w:rPr>
                <w:rFonts w:ascii="Arial Narrow" w:hAnsi="Arial Narrow" w:cs="Arial"/>
                <w:sz w:val="16"/>
                <w:szCs w:val="16"/>
                <w:lang w:eastAsia="sk-SK"/>
              </w:rPr>
            </w:pPr>
            <w:r w:rsidRPr="003943BB">
              <w:rPr>
                <w:rFonts w:ascii="Arial Narrow" w:hAnsi="Arial Narrow" w:cs="Arial"/>
                <w:sz w:val="16"/>
                <w:szCs w:val="16"/>
                <w:lang w:eastAsia="sk-SK"/>
              </w:rPr>
              <w:t>Transfer Slovenskému národnému stredisku pre ľudské práva</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58</w:t>
            </w:r>
            <w:r>
              <w:rPr>
                <w:rFonts w:ascii="Arial Narrow" w:hAnsi="Arial Narrow" w:cs="Arial"/>
                <w:sz w:val="16"/>
                <w:szCs w:val="16"/>
                <w:lang w:eastAsia="sk-SK"/>
              </w:rPr>
              <w:t>1</w:t>
            </w:r>
          </w:p>
        </w:tc>
        <w:tc>
          <w:tcPr>
            <w:tcW w:w="1180" w:type="dxa"/>
            <w:tcBorders>
              <w:top w:val="nil"/>
              <w:left w:val="nil"/>
              <w:bottom w:val="single" w:sz="4" w:space="0" w:color="auto"/>
              <w:right w:val="single" w:sz="4" w:space="0" w:color="auto"/>
            </w:tcBorders>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643</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572 </w:t>
            </w:r>
          </w:p>
        </w:tc>
        <w:tc>
          <w:tcPr>
            <w:tcW w:w="1180"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528</w:t>
            </w:r>
          </w:p>
        </w:tc>
        <w:tc>
          <w:tcPr>
            <w:tcW w:w="1117"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 xml:space="preserve">528 </w:t>
            </w:r>
          </w:p>
        </w:tc>
        <w:tc>
          <w:tcPr>
            <w:tcW w:w="1243" w:type="dxa"/>
            <w:tcBorders>
              <w:top w:val="nil"/>
              <w:left w:val="nil"/>
              <w:bottom w:val="single" w:sz="4" w:space="0" w:color="auto"/>
              <w:right w:val="single" w:sz="4" w:space="0" w:color="auto"/>
            </w:tcBorders>
            <w:noWrap/>
            <w:textDirection w:val="lrTb"/>
            <w:vAlign w:val="bottom"/>
          </w:tcPr>
          <w:p w:rsidR="009B226A" w:rsidRPr="003943BB" w:rsidP="009A4FED">
            <w:pPr>
              <w:bidi w:val="0"/>
              <w:jc w:val="right"/>
              <w:rPr>
                <w:rFonts w:ascii="Arial Narrow" w:hAnsi="Arial Narrow" w:cs="Arial"/>
                <w:sz w:val="16"/>
                <w:szCs w:val="16"/>
                <w:lang w:eastAsia="sk-SK"/>
              </w:rPr>
            </w:pPr>
            <w:r w:rsidRPr="003943BB">
              <w:rPr>
                <w:rFonts w:ascii="Arial Narrow" w:hAnsi="Arial Narrow" w:cs="Arial"/>
                <w:sz w:val="16"/>
                <w:szCs w:val="16"/>
                <w:lang w:eastAsia="sk-SK"/>
              </w:rPr>
              <w:t>52</w:t>
            </w:r>
            <w:r>
              <w:rPr>
                <w:rFonts w:ascii="Arial Narrow" w:hAnsi="Arial Narrow" w:cs="Arial"/>
                <w:sz w:val="16"/>
                <w:szCs w:val="16"/>
                <w:lang w:eastAsia="sk-SK"/>
              </w:rPr>
              <w:t>9</w:t>
            </w:r>
          </w:p>
        </w:tc>
      </w:tr>
    </w:tbl>
    <w:p w:rsidR="009B226A" w:rsidRPr="002151E7" w:rsidP="009B226A">
      <w:pPr>
        <w:bidi w:val="0"/>
        <w:jc w:val="both"/>
        <w:rPr>
          <w:rFonts w:ascii="Arial Narrow" w:hAnsi="Arial Narrow"/>
          <w:sz w:val="16"/>
          <w:szCs w:val="16"/>
        </w:rPr>
      </w:pPr>
      <w:r>
        <w:rPr>
          <w:rFonts w:ascii="Arial Narrow" w:hAnsi="Arial Narrow"/>
          <w:sz w:val="22"/>
          <w:szCs w:val="22"/>
        </w:rPr>
        <w:t>*</w:t>
      </w:r>
      <w:r w:rsidRPr="002151E7">
        <w:rPr>
          <w:rFonts w:ascii="Arial Narrow" w:hAnsi="Arial Narrow"/>
          <w:sz w:val="16"/>
          <w:szCs w:val="16"/>
        </w:rPr>
        <w:t>Do skutočnosti za roky 2008 a 2009 sú dopočítané výdavky, ktoré nie sú rozpočtované v roku 2010 a v návrhu rozpočtu kapitoly na roky 2011 až 2013</w:t>
      </w:r>
    </w:p>
    <w:p w:rsidR="009B226A" w:rsidP="009B226A">
      <w:pPr>
        <w:bidi w:val="0"/>
        <w:jc w:val="both"/>
        <w:rPr>
          <w:rFonts w:ascii="Arial Narrow" w:hAnsi="Arial Narrow"/>
        </w:rPr>
      </w:pPr>
    </w:p>
    <w:p w:rsidR="009B226A" w:rsidRPr="009B226A" w:rsidP="009B226A">
      <w:pPr>
        <w:bidi w:val="0"/>
        <w:ind w:firstLine="708"/>
        <w:jc w:val="both"/>
        <w:rPr>
          <w:rFonts w:ascii="Arial Narrow" w:hAnsi="Arial Narrow"/>
          <w:sz w:val="22"/>
          <w:szCs w:val="22"/>
        </w:rPr>
      </w:pPr>
      <w:r w:rsidRPr="009B226A">
        <w:rPr>
          <w:rFonts w:ascii="Arial Narrow" w:hAnsi="Arial Narrow" w:cs="Arial"/>
          <w:sz w:val="22"/>
          <w:szCs w:val="22"/>
          <w:lang w:eastAsia="sk-SK"/>
        </w:rPr>
        <w:t xml:space="preserve">Nárast výdavkov v prípade štátneho príspevku na pôžičky mladým manželom a štátneho príspevku pre mladomanželov na mladomanželské úvery v porovnaní so schváleným rozpočtom na rok 2010 o 9,36 mil. eur súvisí so skutočnosťou, že od 1. 4. 2010 sa v zmysle novely zákona č. 483/2001  Z. z. o bankách sa zavádza nový produkt so štátnou podporou – mladomanželské úvery so štátnym príspevkom pre mladomanželov. </w:t>
      </w:r>
    </w:p>
    <w:p w:rsidR="009B226A" w:rsidP="009B226A">
      <w:pPr>
        <w:bidi w:val="0"/>
        <w:jc w:val="both"/>
        <w:rPr>
          <w:rFonts w:ascii="Arial Narrow" w:hAnsi="Arial Narrow"/>
          <w:i/>
          <w:sz w:val="22"/>
          <w:szCs w:val="22"/>
        </w:rPr>
      </w:pPr>
    </w:p>
    <w:p w:rsidR="009B226A" w:rsidRPr="009B226A" w:rsidP="009B226A">
      <w:pPr>
        <w:bidi w:val="0"/>
        <w:jc w:val="both"/>
        <w:rPr>
          <w:rFonts w:ascii="Arial Narrow" w:hAnsi="Arial Narrow"/>
          <w:i/>
          <w:sz w:val="22"/>
          <w:szCs w:val="22"/>
        </w:rPr>
      </w:pPr>
      <w:r w:rsidRPr="009B226A">
        <w:rPr>
          <w:rFonts w:ascii="Arial Narrow" w:hAnsi="Arial Narrow"/>
          <w:i/>
          <w:sz w:val="22"/>
          <w:szCs w:val="22"/>
        </w:rPr>
        <w:t>Rada pre vysielanie a retransmisiu</w:t>
      </w:r>
    </w:p>
    <w:p w:rsidR="009B226A" w:rsidRPr="009B226A" w:rsidP="009B226A">
      <w:pPr>
        <w:bidi w:val="0"/>
        <w:spacing w:before="100" w:beforeAutospacing="1" w:after="100" w:afterAutospacing="1"/>
        <w:ind w:firstLine="709"/>
        <w:jc w:val="both"/>
        <w:rPr>
          <w:rFonts w:ascii="Arial Narrow" w:hAnsi="Arial Narrow"/>
          <w:sz w:val="22"/>
          <w:szCs w:val="22"/>
        </w:rPr>
      </w:pPr>
      <w:r w:rsidRPr="009B226A">
        <w:rPr>
          <w:rFonts w:ascii="Arial Narrow" w:hAnsi="Arial Narrow"/>
          <w:sz w:val="22"/>
          <w:szCs w:val="22"/>
        </w:rPr>
        <w:t>Na rok 2011 sú výdavky Rady rozpočtované v sume 1,16 mil. eur, čo je v porovnaní so schváleným rozpočtom na rok 2010 menej o 7 %. Mzdové výdavky sú rozpočtované vo výške 442 tis. eur a výdavky na poistné v sume 178 tis. eur. Objem osobných výdavkov sa rozpočtuje na úrovni 620 tis. eur,  čo v porovnaní so schváleným rozpočtom na rok 2010 predstavuje pokles o 9,12 % (62,2 tis. eur). Medziročný pokles osobných výdavkov je ovplyvnený viazaním osobných výdavkov na úrovni 10 % pre  zamestnancov pri výkone práce vo verejnom záujme pri zohľadnení dopočtu 1 % valorizácie z roku 2010.</w:t>
      </w:r>
    </w:p>
    <w:p w:rsidR="009B226A" w:rsidP="009B226A">
      <w:pPr>
        <w:bidi w:val="0"/>
        <w:spacing w:before="100" w:beforeAutospacing="1" w:after="100" w:afterAutospacing="1"/>
        <w:ind w:firstLine="709"/>
        <w:jc w:val="both"/>
        <w:rPr>
          <w:rFonts w:ascii="Arial Narrow" w:hAnsi="Arial Narrow"/>
          <w:sz w:val="22"/>
          <w:szCs w:val="22"/>
        </w:rPr>
      </w:pPr>
      <w:r w:rsidRPr="009B226A">
        <w:rPr>
          <w:rFonts w:ascii="Arial Narrow" w:hAnsi="Arial Narrow"/>
          <w:sz w:val="22"/>
          <w:szCs w:val="22"/>
        </w:rPr>
        <w:t xml:space="preserve">Tovary a služby vrátane transferov predstavujú výdavky vo výške 532 tis. eur. Kapitálové výdavky sú rozpočtované vo výške 6,0 tis. eur. </w:t>
      </w:r>
    </w:p>
    <w:p w:rsidR="009B226A" w:rsidRPr="009B226A" w:rsidP="009B226A">
      <w:pPr>
        <w:bidi w:val="0"/>
        <w:spacing w:before="100" w:beforeAutospacing="1" w:after="100" w:afterAutospacing="1"/>
        <w:jc w:val="both"/>
        <w:rPr>
          <w:rFonts w:ascii="Arial Narrow" w:hAnsi="Arial Narrow"/>
          <w:sz w:val="22"/>
          <w:szCs w:val="22"/>
        </w:rPr>
      </w:pPr>
      <w:r w:rsidRPr="009B226A">
        <w:rPr>
          <w:rFonts w:ascii="Arial Narrow" w:hAnsi="Arial Narrow"/>
          <w:i/>
          <w:sz w:val="22"/>
          <w:szCs w:val="22"/>
        </w:rPr>
        <w:t>Kancelária verejného ochrancu práv</w:t>
      </w:r>
    </w:p>
    <w:p w:rsidR="009B226A" w:rsidRPr="009B226A" w:rsidP="009B226A">
      <w:pPr>
        <w:bidi w:val="0"/>
        <w:jc w:val="both"/>
        <w:rPr>
          <w:rFonts w:ascii="Arial Narrow" w:hAnsi="Arial Narrow" w:cs="Arial"/>
          <w:sz w:val="22"/>
          <w:szCs w:val="22"/>
        </w:rPr>
      </w:pPr>
      <w:r w:rsidRPr="009B226A">
        <w:rPr>
          <w:rFonts w:ascii="Arial Narrow" w:hAnsi="Arial Narrow" w:cs="Arial"/>
          <w:sz w:val="22"/>
          <w:szCs w:val="22"/>
        </w:rPr>
        <w:tab/>
        <w:t>Výdavky Kancelárie na rok 2011 sú navrhované v sume 1,16 mil. eur, čo je v porovnaní so schváleným rozpočtom na rok 2010 menej o 2,5 %.</w:t>
      </w:r>
      <w:r w:rsidRPr="009B226A">
        <w:rPr>
          <w:rFonts w:ascii="Arial Narrow" w:hAnsi="Arial Narrow" w:cs="Arial"/>
          <w:bCs/>
          <w:sz w:val="22"/>
          <w:szCs w:val="22"/>
        </w:rPr>
        <w:t xml:space="preserve"> </w:t>
      </w:r>
      <w:r w:rsidRPr="009B226A">
        <w:rPr>
          <w:rFonts w:ascii="Arial Narrow" w:hAnsi="Arial Narrow" w:cs="Arial"/>
          <w:sz w:val="22"/>
          <w:szCs w:val="22"/>
        </w:rPr>
        <w:t xml:space="preserve"> Bežné výdavky  sú  v sume  1,16 mil. eur a  kapitálové výdavky v sume 4,8 tis. eur. </w:t>
      </w:r>
      <w:r w:rsidRPr="009B226A">
        <w:rPr>
          <w:rFonts w:ascii="Arial Narrow" w:hAnsi="Arial Narrow"/>
          <w:sz w:val="22"/>
          <w:szCs w:val="22"/>
        </w:rPr>
        <w:t>Objem osobných výdavkov sa rozpočtuje na úrovni 792 tis. eur, čo v porovnaní</w:t>
      </w:r>
      <w:r w:rsidRPr="009B226A">
        <w:rPr>
          <w:rFonts w:ascii="Arial Narrow" w:hAnsi="Arial Narrow" w:cs="Arial"/>
          <w:sz w:val="22"/>
          <w:szCs w:val="22"/>
        </w:rPr>
        <w:t xml:space="preserve"> so schváleným rozpočtom na rok 2010 </w:t>
      </w:r>
      <w:r w:rsidRPr="009B226A">
        <w:rPr>
          <w:rFonts w:ascii="Arial Narrow" w:hAnsi="Arial Narrow"/>
          <w:sz w:val="22"/>
          <w:szCs w:val="22"/>
        </w:rPr>
        <w:t>predstavuje pokles o 1,97 % (15,9 tis. eur). Medziročný pokles osobných výdavkov je ovplyvnený viazaním osobných výdavkov na úrovni 10 % pre štátnych zamestnancov a zamestnancov pri výkone práce vo verejnom záujme pri zohľadnení dopočtu 1 % valorizácie z roku 2010, 10 % viazaním osobných výdavkov verejného ochrancu práv z úrovne roka 2010 a zvýšením osobných výdavkov z vráteného viazania v súvislosti s neplnením limitu počtu zamestnancov nad 3 % v počte troch osôb.</w:t>
      </w:r>
    </w:p>
    <w:p w:rsidR="009B226A" w:rsidRPr="009B226A" w:rsidP="009B226A">
      <w:pPr>
        <w:bidi w:val="0"/>
        <w:ind w:firstLine="708"/>
        <w:jc w:val="both"/>
        <w:rPr>
          <w:rFonts w:ascii="Arial Narrow" w:hAnsi="Arial Narrow" w:cs="Arial"/>
          <w:sz w:val="22"/>
          <w:szCs w:val="22"/>
        </w:rPr>
      </w:pPr>
    </w:p>
    <w:p w:rsidR="009B226A" w:rsidRPr="009B226A" w:rsidP="009B226A">
      <w:pPr>
        <w:bidi w:val="0"/>
        <w:ind w:firstLine="708"/>
        <w:jc w:val="both"/>
        <w:rPr>
          <w:rFonts w:ascii="Arial Narrow" w:hAnsi="Arial Narrow" w:cs="Arial"/>
          <w:sz w:val="22"/>
          <w:szCs w:val="22"/>
        </w:rPr>
      </w:pPr>
      <w:r w:rsidRPr="009B226A">
        <w:rPr>
          <w:rFonts w:ascii="Arial Narrow" w:hAnsi="Arial Narrow" w:cs="Arial"/>
          <w:sz w:val="22"/>
          <w:szCs w:val="22"/>
        </w:rPr>
        <w:t>Výdavky na tovary a služby sú rozpočtované v sume 365 tis. eur. V rámci bežných výdavkov je rozpísaný bežný transfer v sume 3,5 tis. eur a je určený na nemocenské dávky a príspevok medzinárodnej organizácii. Kapitálové výdavky v sume 4,8</w:t>
      </w:r>
      <w:r w:rsidRPr="009B226A">
        <w:rPr>
          <w:rFonts w:ascii="Arial Narrow" w:hAnsi="Arial Narrow" w:cs="Arial"/>
          <w:b/>
          <w:bCs/>
          <w:sz w:val="22"/>
          <w:szCs w:val="22"/>
        </w:rPr>
        <w:t xml:space="preserve"> </w:t>
      </w:r>
      <w:r w:rsidRPr="009B226A">
        <w:rPr>
          <w:rFonts w:ascii="Arial Narrow" w:hAnsi="Arial Narrow" w:cs="Arial"/>
          <w:bCs/>
          <w:sz w:val="22"/>
          <w:szCs w:val="22"/>
        </w:rPr>
        <w:t>tis. eur</w:t>
      </w:r>
      <w:r w:rsidRPr="009B226A">
        <w:rPr>
          <w:rFonts w:ascii="Arial Narrow" w:hAnsi="Arial Narrow" w:cs="Arial"/>
          <w:sz w:val="22"/>
          <w:szCs w:val="22"/>
        </w:rPr>
        <w:t xml:space="preserve"> sú určené na obstaranie výpočtovej techniky a prevádzkových prístrojov, zariadení a techniky.</w:t>
      </w:r>
    </w:p>
    <w:p w:rsidR="009B226A" w:rsidP="009B226A">
      <w:pPr>
        <w:bidi w:val="0"/>
        <w:rPr>
          <w:rFonts w:ascii="Arial Narrow" w:hAnsi="Arial Narrow" w:cs="Arial"/>
          <w:sz w:val="22"/>
          <w:szCs w:val="22"/>
        </w:rPr>
      </w:pPr>
    </w:p>
    <w:p w:rsidR="009B226A" w:rsidRPr="009B226A" w:rsidP="009B226A">
      <w:pPr>
        <w:bidi w:val="0"/>
        <w:rPr>
          <w:rFonts w:ascii="Arial Narrow" w:hAnsi="Arial Narrow"/>
          <w:i/>
          <w:sz w:val="22"/>
          <w:szCs w:val="22"/>
        </w:rPr>
      </w:pPr>
      <w:r w:rsidRPr="009B226A">
        <w:rPr>
          <w:rFonts w:ascii="Arial Narrow" w:hAnsi="Arial Narrow"/>
          <w:i/>
          <w:sz w:val="22"/>
          <w:szCs w:val="22"/>
        </w:rPr>
        <w:t>Úrad na ochranu osobných údajov</w:t>
      </w:r>
    </w:p>
    <w:p w:rsidR="009B226A" w:rsidRPr="009B226A" w:rsidP="009B226A">
      <w:pPr>
        <w:bidi w:val="0"/>
        <w:spacing w:before="100" w:beforeAutospacing="1" w:after="100" w:afterAutospacing="1"/>
        <w:ind w:firstLine="709"/>
        <w:jc w:val="both"/>
        <w:rPr>
          <w:rFonts w:ascii="Arial Narrow" w:hAnsi="Arial Narrow"/>
          <w:sz w:val="22"/>
          <w:szCs w:val="22"/>
        </w:rPr>
      </w:pPr>
      <w:r w:rsidRPr="009B226A">
        <w:rPr>
          <w:rFonts w:ascii="Arial Narrow" w:hAnsi="Arial Narrow"/>
          <w:sz w:val="22"/>
          <w:szCs w:val="22"/>
        </w:rPr>
        <w:t xml:space="preserve">Na rok 2011 sú výdavky Úradu rozpočtované v sume 684 tis. eur, </w:t>
      </w:r>
      <w:r w:rsidRPr="009B226A">
        <w:rPr>
          <w:rFonts w:ascii="Arial Narrow" w:hAnsi="Arial Narrow" w:cs="Arial"/>
          <w:sz w:val="22"/>
          <w:szCs w:val="22"/>
        </w:rPr>
        <w:t>čo je v porovnaní so schváleným rozpočtom na rok 2010 menej o 6,1 %.</w:t>
      </w:r>
      <w:r w:rsidRPr="009B226A">
        <w:rPr>
          <w:rFonts w:ascii="Arial Narrow" w:hAnsi="Arial Narrow" w:cs="Arial"/>
          <w:bCs/>
          <w:sz w:val="22"/>
          <w:szCs w:val="22"/>
        </w:rPr>
        <w:t xml:space="preserve"> M</w:t>
      </w:r>
      <w:r w:rsidRPr="009B226A">
        <w:rPr>
          <w:rFonts w:ascii="Arial Narrow" w:hAnsi="Arial Narrow"/>
          <w:sz w:val="22"/>
          <w:szCs w:val="22"/>
        </w:rPr>
        <w:t xml:space="preserve">zdové výdavky sú rozpočtované vo výške 362 tis. eur a výdavky na poistné v sume 141 tis. eur. Objem osobných výdavkov sa rozpočtuje na úrovni 503 tis. eur, čo v porovnaní </w:t>
      </w:r>
      <w:r w:rsidRPr="009B226A">
        <w:rPr>
          <w:rFonts w:ascii="Arial Narrow" w:hAnsi="Arial Narrow" w:cs="Arial"/>
          <w:sz w:val="22"/>
          <w:szCs w:val="22"/>
        </w:rPr>
        <w:t xml:space="preserve">so schváleným rozpočtom na rok 2010 </w:t>
      </w:r>
      <w:r w:rsidRPr="009B226A">
        <w:rPr>
          <w:rFonts w:ascii="Arial Narrow" w:hAnsi="Arial Narrow"/>
          <w:sz w:val="22"/>
          <w:szCs w:val="22"/>
        </w:rPr>
        <w:t>predstavuje pokles o 8,14 % (44,6 tis. eur). Medziročný pokles osobných výdavkov je ovplyvnený viazaním osobných výdavkov na úrovni 10 % pre štátnych zamestnancov a zamestnancov pri výkone práce vo verejnom záujme pri zohľadnení dopočtu 1 % valorizácie z roku 2010 a vyšším rozpisom poistného v návrhu rozpočtu na rok 2011 vykonaného organizáciou.</w:t>
      </w:r>
    </w:p>
    <w:p w:rsidR="009B226A" w:rsidP="009B226A">
      <w:pPr>
        <w:bidi w:val="0"/>
        <w:ind w:firstLine="708"/>
        <w:jc w:val="both"/>
        <w:rPr>
          <w:rFonts w:ascii="Arial Narrow" w:hAnsi="Arial Narrow"/>
          <w:sz w:val="22"/>
          <w:szCs w:val="22"/>
        </w:rPr>
      </w:pPr>
      <w:r w:rsidRPr="009B226A">
        <w:rPr>
          <w:rFonts w:ascii="Arial Narrow" w:hAnsi="Arial Narrow"/>
          <w:sz w:val="22"/>
          <w:szCs w:val="22"/>
        </w:rPr>
        <w:t xml:space="preserve">Tovary a služby vrátane transferov predstavujú výdavky vo výške 172 tis. eur. Kapitálové výdavky sú rozpočtované vo výške 9,3 tis. </w:t>
      </w:r>
      <w:r>
        <w:rPr>
          <w:rFonts w:ascii="Arial Narrow" w:hAnsi="Arial Narrow"/>
          <w:sz w:val="22"/>
          <w:szCs w:val="22"/>
        </w:rPr>
        <w:t xml:space="preserve">eur. </w:t>
      </w:r>
    </w:p>
    <w:p w:rsidR="009B226A" w:rsidP="009B226A">
      <w:pPr>
        <w:bidi w:val="0"/>
        <w:jc w:val="both"/>
        <w:rPr>
          <w:rFonts w:ascii="Arial Narrow" w:hAnsi="Arial Narrow"/>
          <w:sz w:val="22"/>
          <w:szCs w:val="22"/>
        </w:rPr>
      </w:pPr>
    </w:p>
    <w:p w:rsidR="009B226A" w:rsidRPr="009B226A" w:rsidP="009B226A">
      <w:pPr>
        <w:bidi w:val="0"/>
        <w:jc w:val="both"/>
        <w:rPr>
          <w:rFonts w:ascii="Arial Narrow" w:hAnsi="Arial Narrow"/>
          <w:sz w:val="22"/>
          <w:szCs w:val="22"/>
        </w:rPr>
      </w:pPr>
      <w:r w:rsidRPr="009B226A">
        <w:rPr>
          <w:rFonts w:ascii="Arial Narrow" w:hAnsi="Arial Narrow"/>
          <w:i/>
          <w:sz w:val="22"/>
          <w:szCs w:val="22"/>
        </w:rPr>
        <w:t xml:space="preserve">Ústav pamäti národa a </w:t>
      </w:r>
      <w:r w:rsidRPr="009B226A">
        <w:rPr>
          <w:rFonts w:ascii="Arial Narrow" w:hAnsi="Arial Narrow" w:cs="Arial Narrow"/>
          <w:i/>
          <w:iCs/>
          <w:sz w:val="22"/>
          <w:szCs w:val="22"/>
        </w:rPr>
        <w:t>Slovenské národné stredisko pre ľudské práva</w:t>
      </w:r>
    </w:p>
    <w:p w:rsidR="009B226A" w:rsidRPr="009B226A" w:rsidP="009B226A">
      <w:pPr>
        <w:bidi w:val="0"/>
        <w:jc w:val="both"/>
        <w:rPr>
          <w:rFonts w:ascii="Arial Narrow" w:hAnsi="Arial Narrow"/>
          <w:i/>
          <w:sz w:val="22"/>
          <w:szCs w:val="22"/>
          <w:u w:val="single"/>
        </w:rPr>
      </w:pPr>
    </w:p>
    <w:p w:rsidR="009B226A" w:rsidRPr="009B226A" w:rsidP="009B226A">
      <w:pPr>
        <w:bidi w:val="0"/>
        <w:ind w:firstLine="709"/>
        <w:jc w:val="both"/>
        <w:rPr>
          <w:rFonts w:ascii="Arial Narrow" w:hAnsi="Arial Narrow" w:cs="Arial Narrow"/>
          <w:sz w:val="22"/>
          <w:szCs w:val="22"/>
        </w:rPr>
      </w:pPr>
      <w:r w:rsidRPr="009B226A">
        <w:rPr>
          <w:rFonts w:ascii="Arial Narrow" w:hAnsi="Arial Narrow"/>
          <w:sz w:val="22"/>
          <w:szCs w:val="22"/>
        </w:rPr>
        <w:t xml:space="preserve">Transfer na činnosť verejnoprávnej ustanovizne ÚPN na rok 2011 je </w:t>
      </w:r>
      <w:r w:rsidRPr="009B226A">
        <w:rPr>
          <w:rFonts w:ascii="Arial Narrow" w:hAnsi="Arial Narrow" w:cs="Arial"/>
          <w:sz w:val="22"/>
          <w:szCs w:val="22"/>
        </w:rPr>
        <w:t xml:space="preserve"> rozpočtovaný </w:t>
      </w:r>
      <w:r w:rsidRPr="009B226A">
        <w:rPr>
          <w:rFonts w:ascii="Arial Narrow" w:hAnsi="Arial Narrow"/>
          <w:sz w:val="22"/>
          <w:szCs w:val="22"/>
        </w:rPr>
        <w:t xml:space="preserve">v sume 1,46 mil. eur, </w:t>
      </w:r>
      <w:r w:rsidRPr="009B226A">
        <w:rPr>
          <w:rFonts w:ascii="Arial Narrow" w:hAnsi="Arial Narrow" w:cs="Arial"/>
          <w:sz w:val="22"/>
          <w:szCs w:val="22"/>
        </w:rPr>
        <w:t xml:space="preserve">čo je v porovnaní so schváleným rozpočtom na rok 2010 menej o 7,4 %. </w:t>
      </w:r>
      <w:r w:rsidRPr="009B226A">
        <w:rPr>
          <w:rFonts w:ascii="Arial Narrow" w:hAnsi="Arial Narrow"/>
          <w:sz w:val="22"/>
          <w:szCs w:val="22"/>
        </w:rPr>
        <w:t xml:space="preserve">Transfer na činnosť pre </w:t>
      </w:r>
      <w:r w:rsidRPr="009B226A">
        <w:rPr>
          <w:rFonts w:ascii="Arial Narrow" w:hAnsi="Arial Narrow" w:cs="Arial Narrow"/>
          <w:sz w:val="22"/>
          <w:szCs w:val="22"/>
        </w:rPr>
        <w:t xml:space="preserve">nezávislú právnickú osobu Slovenské národné stredisko pre ľudské práva je vo výške 528 tis. eur, </w:t>
      </w:r>
      <w:r w:rsidRPr="009B226A">
        <w:rPr>
          <w:rFonts w:ascii="Arial Narrow" w:hAnsi="Arial Narrow" w:cs="Arial"/>
          <w:sz w:val="22"/>
          <w:szCs w:val="22"/>
        </w:rPr>
        <w:t>čo je v porovnaní so schváleným rozpočtom na rok 2010 menej o 7,6 %</w:t>
      </w:r>
      <w:r w:rsidRPr="009B226A">
        <w:rPr>
          <w:rFonts w:ascii="Arial Narrow" w:hAnsi="Arial Narrow" w:cs="Arial Narrow"/>
          <w:sz w:val="22"/>
          <w:szCs w:val="22"/>
        </w:rPr>
        <w:t xml:space="preserve">. </w:t>
      </w:r>
    </w:p>
    <w:p w:rsidR="009B226A" w:rsidRPr="008E695D" w:rsidP="009B226A">
      <w:pPr>
        <w:bidi w:val="0"/>
        <w:jc w:val="both"/>
        <w:rPr>
          <w:rFonts w:ascii="Arial Narrow" w:hAnsi="Arial Narrow"/>
          <w:sz w:val="22"/>
          <w:szCs w:val="22"/>
        </w:rPr>
      </w:pPr>
    </w:p>
    <w:p w:rsidR="009B226A" w:rsidRPr="003461AC" w:rsidP="009B226A">
      <w:pPr>
        <w:bidi w:val="0"/>
        <w:rPr>
          <w:szCs w:val="28"/>
        </w:rPr>
      </w:pPr>
    </w:p>
    <w:p w:rsidR="00DD0950" w:rsidRPr="0087062F" w:rsidP="00DD0950">
      <w:pPr>
        <w:pStyle w:val="Heading1"/>
        <w:bidi w:val="0"/>
        <w:rPr>
          <w:rFonts w:ascii="Arial Narrow" w:hAnsi="Arial Narrow" w:cs="Arial Narrow"/>
          <w:sz w:val="28"/>
          <w:szCs w:val="28"/>
        </w:rPr>
      </w:pPr>
      <w:bookmarkStart w:id="71" w:name="_Toc241846649"/>
      <w:bookmarkStart w:id="72" w:name="_Toc273979632"/>
      <w:bookmarkEnd w:id="70"/>
      <w:r w:rsidR="009B226A">
        <w:rPr>
          <w:rFonts w:ascii="Arial Narrow" w:hAnsi="Arial Narrow" w:cs="Arial Narrow"/>
          <w:sz w:val="28"/>
          <w:szCs w:val="28"/>
        </w:rPr>
        <w:br w:type="page"/>
      </w:r>
      <w:r w:rsidRPr="0087062F">
        <w:rPr>
          <w:rFonts w:ascii="Arial Narrow" w:hAnsi="Arial Narrow" w:cs="Arial Narrow"/>
          <w:sz w:val="28"/>
          <w:szCs w:val="28"/>
        </w:rPr>
        <w:t>5. Štátne finančné aktíva</w:t>
      </w:r>
      <w:bookmarkEnd w:id="71"/>
      <w:bookmarkEnd w:id="72"/>
    </w:p>
    <w:p w:rsidR="00DD0950" w:rsidRPr="00790C9C" w:rsidP="00DD0950">
      <w:pPr>
        <w:bidi w:val="0"/>
        <w:rPr>
          <w:rFonts w:ascii="Arial Narrow" w:hAnsi="Arial Narrow" w:cs="Arial Narrow"/>
          <w:sz w:val="28"/>
          <w:szCs w:val="28"/>
        </w:rPr>
      </w:pPr>
    </w:p>
    <w:p w:rsidR="00DD0950" w:rsidP="00DD0950">
      <w:pPr>
        <w:bidi w:val="0"/>
        <w:ind w:firstLine="708"/>
        <w:jc w:val="both"/>
        <w:rPr>
          <w:rFonts w:ascii="Arial Narrow" w:hAnsi="Arial Narrow" w:cs="Arial Narrow"/>
          <w:sz w:val="22"/>
          <w:szCs w:val="22"/>
        </w:rPr>
      </w:pPr>
      <w:bookmarkStart w:id="73" w:name="_Toc116476498"/>
      <w:bookmarkStart w:id="74" w:name="_Toc141529500"/>
      <w:r>
        <w:rPr>
          <w:rFonts w:ascii="Arial Narrow" w:hAnsi="Arial Narrow" w:cs="Arial Narrow"/>
          <w:sz w:val="22"/>
          <w:szCs w:val="22"/>
        </w:rPr>
        <w:t xml:space="preserve">Štátne finančné aktíva sú definované zákonom č. 523/2004 Z. z. o rozpočtových pravidlách verejnej správy v znení neskorších predpisov. Finančné operácie, ktoré ovplyvňujú stav štátnych finančných aktív, sa tak na strane príjmov ako aj na strane výdavkov vylučujú z príjmov a výdavkov štátneho rozpočtu podľa metodiky      ESA 95. </w:t>
      </w:r>
    </w:p>
    <w:p w:rsidR="00DD0950" w:rsidP="00DD0950">
      <w:pPr>
        <w:bidi w:val="0"/>
        <w:jc w:val="both"/>
        <w:rPr>
          <w:rFonts w:ascii="Arial Narrow" w:hAnsi="Arial Narrow" w:cs="Arial Narrow"/>
          <w:sz w:val="22"/>
          <w:szCs w:val="22"/>
        </w:rPr>
      </w:pPr>
    </w:p>
    <w:tbl>
      <w:tblPr>
        <w:tblStyle w:val="TableNormal"/>
        <w:tblW w:w="9240" w:type="dxa"/>
        <w:jc w:val="center"/>
        <w:tblCellMar>
          <w:left w:w="70" w:type="dxa"/>
          <w:right w:w="70" w:type="dxa"/>
        </w:tblCellMar>
      </w:tblPr>
      <w:tblGrid>
        <w:gridCol w:w="3960"/>
        <w:gridCol w:w="880"/>
        <w:gridCol w:w="880"/>
        <w:gridCol w:w="880"/>
        <w:gridCol w:w="880"/>
        <w:gridCol w:w="880"/>
        <w:gridCol w:w="880"/>
      </w:tblGrid>
      <w:tr>
        <w:tblPrEx>
          <w:tblW w:w="9240" w:type="dxa"/>
          <w:jc w:val="center"/>
          <w:tblCellMar>
            <w:left w:w="70" w:type="dxa"/>
            <w:right w:w="70" w:type="dxa"/>
          </w:tblCellMar>
        </w:tblPrEx>
        <w:trPr>
          <w:trHeight w:val="480"/>
          <w:jc w:val="center"/>
        </w:trPr>
        <w:tc>
          <w:tcPr>
            <w:tcW w:w="3960" w:type="dxa"/>
            <w:tcBorders>
              <w:top w:val="single" w:sz="8" w:space="0" w:color="auto"/>
              <w:left w:val="single" w:sz="8" w:space="0" w:color="auto"/>
              <w:bottom w:val="single" w:sz="8" w:space="0" w:color="auto"/>
              <w:right w:val="single" w:sz="4" w:space="0" w:color="auto"/>
            </w:tcBorders>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Rozpočtové operácie ŠFA</w:t>
              <w:br/>
              <w:t>(v tis. eur; ESA 95)</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4A442B" w:rsidP="006863AF">
            <w:pPr>
              <w:bidi w:val="0"/>
              <w:jc w:val="center"/>
              <w:rPr>
                <w:rFonts w:ascii="Arial Narrow" w:hAnsi="Arial Narrow" w:cs="Arial Narrow"/>
                <w:b/>
                <w:bCs/>
                <w:sz w:val="16"/>
                <w:szCs w:val="16"/>
                <w:lang w:eastAsia="sk-SK"/>
              </w:rPr>
            </w:pPr>
            <w:r w:rsidRPr="004A442B">
              <w:rPr>
                <w:rFonts w:ascii="Arial Narrow" w:hAnsi="Arial Narrow" w:cs="Arial Narrow"/>
                <w:b/>
                <w:bCs/>
                <w:sz w:val="16"/>
                <w:szCs w:val="16"/>
                <w:lang w:eastAsia="sk-SK"/>
              </w:rPr>
              <w:t>2013 N</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shd w:val="clear" w:color="auto" w:fill="C0C0C0"/>
            <w:noWrap/>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 xml:space="preserve">1. Príjmy </w:t>
            </w:r>
            <w:r w:rsidRPr="004A442B">
              <w:rPr>
                <w:rFonts w:ascii="Arial Narrow" w:hAnsi="Arial Narrow" w:cs="Arial Narrow"/>
                <w:sz w:val="16"/>
                <w:szCs w:val="16"/>
                <w:lang w:eastAsia="sk-SK"/>
              </w:rPr>
              <w:t xml:space="preserve">- zvýšenie ŠFA </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615 569,2</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556 896,7</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639 284,3</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378 691,4</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307 184,5</w:t>
            </w:r>
          </w:p>
        </w:tc>
        <w:tc>
          <w:tcPr>
            <w:tcW w:w="880" w:type="dxa"/>
            <w:tcBorders>
              <w:top w:val="nil"/>
              <w:left w:val="nil"/>
              <w:bottom w:val="single" w:sz="4" w:space="0" w:color="auto"/>
              <w:right w:val="single" w:sz="8"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307 887,8</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1.1. dividendy z FNM SR</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555 468,7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531 879,0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608 630,0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298 204,0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283 036,0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278 684,0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1.2. posilnenie ŠFA zo zostatku minulých rokov FNM SR</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13 865,0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1.3. splátka NFV VHV, š. p. - kapitálový transfer</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20 619,5</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21 138,0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21 908,0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22 007,6</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22 007,6</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22 339,5</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1.4. prijaté splátky vlád. úverov a vlád. pohľ. zo zahr.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2 594,4</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657,0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716,3</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588,6</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546,9</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534,9</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1.5. príjmy zo splátok úverov a pôžičiek - NFV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5 352,7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3 222,7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2 410,1</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44 026,2</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1 594,0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6 329,4</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1.6. MH Invest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5 619,9</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1.7. Slovenská konsolidačná, a.s. BA - zníženie ZI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31 533,9</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shd w:val="clear" w:color="auto" w:fill="C0C0C0"/>
            <w:noWrap/>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2. Výdavky</w:t>
            </w:r>
            <w:r w:rsidRPr="004A442B">
              <w:rPr>
                <w:rFonts w:ascii="Arial Narrow" w:hAnsi="Arial Narrow" w:cs="Arial Narrow"/>
                <w:sz w:val="16"/>
                <w:szCs w:val="16"/>
                <w:lang w:eastAsia="sk-SK"/>
              </w:rPr>
              <w:t xml:space="preserve"> - zníženie ŠFA </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1 154 047,0</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2 253 370,1</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632 814,7</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303 070,2</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285 721,5</w:t>
            </w:r>
          </w:p>
        </w:tc>
        <w:tc>
          <w:tcPr>
            <w:tcW w:w="880" w:type="dxa"/>
            <w:tcBorders>
              <w:top w:val="nil"/>
              <w:left w:val="nil"/>
              <w:bottom w:val="single" w:sz="4" w:space="0" w:color="auto"/>
              <w:right w:val="single" w:sz="8"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281 485,9</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 prevod prostriedkov z dividend od FNM SR do príjmov ŠR</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555 468,7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531 879,0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540 914,0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298 204,0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283 036,0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278 684,0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2.2. prevod prostriedkov do Sociálnej poisťovne</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567 616,0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875 300,0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75 507,0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nil"/>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2.3. poskyt. úverov a pôž., účasť v medz. org. (FO)</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20 738,3</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10 211,2</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1 435,5</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4 866,2</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2 685,5</w:t>
            </w:r>
          </w:p>
        </w:tc>
        <w:tc>
          <w:tcPr>
            <w:tcW w:w="880" w:type="dxa"/>
            <w:tcBorders>
              <w:top w:val="nil"/>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2 801,9</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2.4. vklad do ZI EXIMBANKY SR (FO)</w:t>
            </w:r>
          </w:p>
        </w:tc>
        <w:tc>
          <w:tcPr>
            <w:tcW w:w="880" w:type="dxa"/>
            <w:tcBorders>
              <w:top w:val="single" w:sz="4" w:space="0" w:color="auto"/>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41 439,0</w:t>
            </w:r>
          </w:p>
        </w:tc>
        <w:tc>
          <w:tcPr>
            <w:tcW w:w="880" w:type="dxa"/>
            <w:tcBorders>
              <w:top w:val="single" w:sz="4" w:space="0" w:color="auto"/>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5 000,0</w:t>
            </w:r>
          </w:p>
        </w:tc>
        <w:tc>
          <w:tcPr>
            <w:tcW w:w="880" w:type="dxa"/>
            <w:tcBorders>
              <w:top w:val="single" w:sz="4" w:space="0" w:color="auto"/>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2.5. vklad do ZI SZRB, a. s. (FO)</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32 368,0</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nil"/>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2.6. zvýšenie ZI VOP Nováky</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2 323,0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2.7. vklad do ZI SPV - projektu širokorozchodnej trate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1 525,0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2.8. vklad do ZI NÚSCH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17 326,0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2.9. Transpetrol, a. s. - spätné odkúpenie akcií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180 519,0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34"/>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2.10. zvýšenie ZI Všeobecnej zdravotnej poisťovne, a. s.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65 100,0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162"/>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2.11. NFV mestu Žilina - KIA Hyundai (Uzn. vl. 750/2009)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1 932,0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326"/>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 xml:space="preserve">2.12. poskytnutie NFV na výkup pozemkov pre MH Invest - </w:t>
              <w:br/>
              <w:t xml:space="preserve">         AU Optronics (L) Corporation (Uzn. Vl. 865/2009)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5 619,9</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143"/>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2.13. vklad do ZI Letiska M. R. Štefánika - Airport Bratislava (FO)</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47 111,0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9 958,2</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126"/>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2.14. vklad do ZI Letiska M. R. Štefánika - Airport Bratislava</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5 999,0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110"/>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2.15. Uzn. vl. 705/2008 Správa MDPT SR o stave dopr. infraštr.</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6 638,0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2.16. zvýšenie ZI MH Invest,s.r.o.- Samsung</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1 263,0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2.17. Slovnaft,a.s. - rozsudok NS SR</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16 713,0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2.18. zvýšenie ZI Nemocnice svätého Michala, a. s.</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53 300,0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2.19. NFV Cargo Slovakia a.s.</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165 970,0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55"/>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2.20. NFV ŽSR</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69 906,0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384"/>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2.21. MH SR Invest, s.r.o. - projekt Samsung - zvýšenie ZI</w:t>
              <w:br/>
              <w:t xml:space="preserve">         (Uzn. vl. 1070/2006 a č. 229/2007)</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1 389,0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352"/>
          <w:jc w:val="center"/>
        </w:trPr>
        <w:tc>
          <w:tcPr>
            <w:tcW w:w="3960" w:type="dxa"/>
            <w:tcBorders>
              <w:top w:val="single" w:sz="4" w:space="0" w:color="auto"/>
              <w:left w:val="single" w:sz="8" w:space="0" w:color="auto"/>
              <w:bottom w:val="nil"/>
              <w:right w:val="single" w:sz="4" w:space="0" w:color="auto"/>
            </w:tcBorders>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2.22. MZ SR - oddlženie zdravotníckych zariadení (NFV)</w:t>
              <w:br/>
              <w:t xml:space="preserve">         (Uzn. vl. 938/2008)</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129 763,0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c>
          <w:tcPr>
            <w:tcW w:w="880" w:type="dxa"/>
            <w:tcBorders>
              <w:top w:val="single" w:sz="4" w:space="0" w:color="auto"/>
              <w:left w:val="nil"/>
              <w:bottom w:val="nil"/>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0,0</w:t>
            </w:r>
          </w:p>
        </w:tc>
      </w:tr>
      <w:tr>
        <w:tblPrEx>
          <w:tblW w:w="9240" w:type="dxa"/>
          <w:jc w:val="center"/>
          <w:tblCellMar>
            <w:left w:w="70" w:type="dxa"/>
            <w:right w:w="70" w:type="dxa"/>
          </w:tblCellMar>
        </w:tblPrEx>
        <w:trPr>
          <w:trHeight w:val="270"/>
          <w:jc w:val="center"/>
        </w:trPr>
        <w:tc>
          <w:tcPr>
            <w:tcW w:w="3960" w:type="dxa"/>
            <w:tcBorders>
              <w:top w:val="single" w:sz="8" w:space="0" w:color="auto"/>
              <w:left w:val="single" w:sz="8" w:space="0" w:color="auto"/>
              <w:bottom w:val="single" w:sz="8" w:space="0" w:color="auto"/>
              <w:right w:val="single" w:sz="4" w:space="0" w:color="auto"/>
            </w:tcBorders>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 xml:space="preserve">Saldo rozpočtových operácií </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-538 477,8</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-1 696 473,4</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6 469,6</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75 621,2</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21 463,0</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26 401,9</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Vylúčenie finančných operácií</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-18 742,7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399 271,4</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7 647,4</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-39 748,6</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544,6</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-4 062,4</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 xml:space="preserve">      vylúčenie príjmových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-39 481,0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-3 879,7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-8 746,3</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-44 614,8</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-2 140,9</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-6 864,3</w:t>
            </w:r>
          </w:p>
        </w:tc>
      </w:tr>
      <w:tr>
        <w:tblPrEx>
          <w:tblW w:w="9240" w:type="dxa"/>
          <w:jc w:val="center"/>
          <w:tblCellMar>
            <w:left w:w="70" w:type="dxa"/>
            <w:right w:w="70" w:type="dxa"/>
          </w:tblCellMar>
        </w:tblPrEx>
        <w:trPr>
          <w:trHeight w:val="255"/>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sz w:val="16"/>
                <w:szCs w:val="16"/>
                <w:lang w:eastAsia="sk-SK"/>
              </w:rPr>
            </w:pPr>
            <w:r w:rsidRPr="004A442B">
              <w:rPr>
                <w:rFonts w:ascii="Arial Narrow" w:hAnsi="Arial Narrow" w:cs="Arial Narrow"/>
                <w:sz w:val="16"/>
                <w:szCs w:val="16"/>
                <w:lang w:eastAsia="sk-SK"/>
              </w:rPr>
              <w:t xml:space="preserve">      vylúčenie výdavkových FO</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20 738,3</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403 151,1</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16 393,7</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4 866,2</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2 685,5</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sz w:val="16"/>
                <w:szCs w:val="16"/>
                <w:lang w:eastAsia="sk-SK"/>
              </w:rPr>
            </w:pPr>
            <w:r w:rsidRPr="004A442B">
              <w:rPr>
                <w:rFonts w:ascii="Arial Narrow" w:hAnsi="Arial Narrow" w:cs="Arial Narrow"/>
                <w:sz w:val="16"/>
                <w:szCs w:val="16"/>
                <w:lang w:eastAsia="sk-SK"/>
              </w:rPr>
              <w:t>2 801,9</w:t>
            </w:r>
          </w:p>
        </w:tc>
      </w:tr>
      <w:tr>
        <w:tblPrEx>
          <w:tblW w:w="9240" w:type="dxa"/>
          <w:jc w:val="center"/>
          <w:tblCellMar>
            <w:left w:w="70" w:type="dxa"/>
            <w:right w:w="70" w:type="dxa"/>
          </w:tblCellMar>
        </w:tblPrEx>
        <w:trPr>
          <w:trHeight w:val="270"/>
          <w:jc w:val="center"/>
        </w:trPr>
        <w:tc>
          <w:tcPr>
            <w:tcW w:w="3960" w:type="dxa"/>
            <w:tcBorders>
              <w:top w:val="nil"/>
              <w:left w:val="single" w:sz="8" w:space="0" w:color="auto"/>
              <w:bottom w:val="single" w:sz="4" w:space="0" w:color="auto"/>
              <w:right w:val="single" w:sz="4" w:space="0" w:color="auto"/>
            </w:tcBorders>
            <w:noWrap/>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Ostatné úpravy</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93,5</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154,0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0,0</w:t>
            </w:r>
          </w:p>
        </w:tc>
      </w:tr>
      <w:tr>
        <w:tblPrEx>
          <w:tblW w:w="9240" w:type="dxa"/>
          <w:jc w:val="center"/>
          <w:tblCellMar>
            <w:left w:w="70" w:type="dxa"/>
            <w:right w:w="70" w:type="dxa"/>
          </w:tblCellMar>
        </w:tblPrEx>
        <w:trPr>
          <w:trHeight w:val="525"/>
          <w:jc w:val="center"/>
        </w:trPr>
        <w:tc>
          <w:tcPr>
            <w:tcW w:w="3960" w:type="dxa"/>
            <w:tcBorders>
              <w:top w:val="single" w:sz="8" w:space="0" w:color="auto"/>
              <w:left w:val="single" w:sz="8" w:space="0" w:color="auto"/>
              <w:bottom w:val="single" w:sz="8" w:space="0" w:color="auto"/>
              <w:right w:val="single" w:sz="4" w:space="0" w:color="auto"/>
            </w:tcBorders>
            <w:shd w:val="clear" w:color="auto" w:fill="C0C0C0"/>
            <w:textDirection w:val="lrTb"/>
            <w:vAlign w:val="center"/>
          </w:tcPr>
          <w:p w:rsidR="00DD0950" w:rsidRPr="004A442B" w:rsidP="006863AF">
            <w:pPr>
              <w:bidi w:val="0"/>
              <w:rPr>
                <w:rFonts w:ascii="Arial Narrow" w:hAnsi="Arial Narrow" w:cs="Arial Narrow"/>
                <w:b/>
                <w:bCs/>
                <w:sz w:val="16"/>
                <w:szCs w:val="16"/>
                <w:lang w:eastAsia="sk-SK"/>
              </w:rPr>
            </w:pPr>
            <w:r w:rsidRPr="004A442B">
              <w:rPr>
                <w:rFonts w:ascii="Arial Narrow" w:hAnsi="Arial Narrow" w:cs="Arial Narrow"/>
                <w:b/>
                <w:bCs/>
                <w:sz w:val="16"/>
                <w:szCs w:val="16"/>
                <w:lang w:eastAsia="sk-SK"/>
              </w:rPr>
              <w:t>Saldo rozpočtových operácií bez FO</w:t>
              <w:br/>
            </w:r>
            <w:r w:rsidRPr="004A442B">
              <w:rPr>
                <w:rFonts w:ascii="Arial Narrow" w:hAnsi="Arial Narrow" w:cs="Arial Narrow"/>
                <w:sz w:val="16"/>
                <w:szCs w:val="16"/>
                <w:lang w:eastAsia="sk-SK"/>
              </w:rPr>
              <w:t>(vplyv na rozpočet verejnej správy v metodike ESA 95)</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-557 127,0</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-1 297 048,0</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14 117,0</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35 872,6</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22 007,6</w:t>
            </w:r>
          </w:p>
        </w:tc>
        <w:tc>
          <w:tcPr>
            <w:tcW w:w="880" w:type="dxa"/>
            <w:tcBorders>
              <w:top w:val="single" w:sz="8" w:space="0" w:color="auto"/>
              <w:left w:val="nil"/>
              <w:bottom w:val="single" w:sz="8" w:space="0" w:color="auto"/>
              <w:right w:val="single" w:sz="8" w:space="0" w:color="auto"/>
            </w:tcBorders>
            <w:shd w:val="clear" w:color="auto" w:fill="C0C0C0"/>
            <w:noWrap/>
            <w:textDirection w:val="lrTb"/>
            <w:vAlign w:val="center"/>
          </w:tcPr>
          <w:p w:rsidR="00DD0950" w:rsidRPr="004A442B" w:rsidP="006863AF">
            <w:pPr>
              <w:bidi w:val="0"/>
              <w:jc w:val="right"/>
              <w:rPr>
                <w:rFonts w:ascii="Arial Narrow" w:hAnsi="Arial Narrow" w:cs="Arial Narrow"/>
                <w:b/>
                <w:bCs/>
                <w:sz w:val="16"/>
                <w:szCs w:val="16"/>
                <w:lang w:eastAsia="sk-SK"/>
              </w:rPr>
            </w:pPr>
            <w:r w:rsidRPr="004A442B">
              <w:rPr>
                <w:rFonts w:ascii="Arial Narrow" w:hAnsi="Arial Narrow" w:cs="Arial Narrow"/>
                <w:b/>
                <w:bCs/>
                <w:sz w:val="16"/>
                <w:szCs w:val="16"/>
                <w:lang w:eastAsia="sk-SK"/>
              </w:rPr>
              <w:t>22 339,5</w:t>
            </w:r>
          </w:p>
        </w:tc>
      </w:tr>
    </w:tbl>
    <w:p w:rsidR="00DD0950" w:rsidP="00DD0950">
      <w:pPr>
        <w:bidi w:val="0"/>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p>
    <w:p w:rsidR="00DD0950" w:rsidRPr="003B2DEA" w:rsidP="00DD0950">
      <w:pPr>
        <w:pStyle w:val="Heading2"/>
        <w:bidi w:val="0"/>
        <w:rPr>
          <w:rFonts w:ascii="Arial Narrow" w:hAnsi="Arial Narrow" w:cs="Arial Narrow"/>
          <w:i w:val="0"/>
          <w:iCs w:val="0"/>
          <w:sz w:val="24"/>
          <w:szCs w:val="24"/>
        </w:rPr>
      </w:pPr>
      <w:bookmarkStart w:id="75" w:name="_Toc143348614"/>
      <w:bookmarkStart w:id="76" w:name="_Toc148255260"/>
      <w:bookmarkStart w:id="77" w:name="_Toc174871977"/>
      <w:bookmarkStart w:id="78" w:name="_Toc206478412"/>
      <w:bookmarkStart w:id="79" w:name="_Toc241846650"/>
      <w:bookmarkStart w:id="80" w:name="_Toc273979633"/>
      <w:r w:rsidRPr="003B2DEA">
        <w:rPr>
          <w:rFonts w:ascii="Arial Narrow" w:hAnsi="Arial Narrow" w:cs="Arial Narrow"/>
          <w:i w:val="0"/>
          <w:iCs w:val="0"/>
          <w:sz w:val="24"/>
          <w:szCs w:val="24"/>
        </w:rPr>
        <w:t>5.1. Príjmové operácie</w:t>
      </w:r>
      <w:bookmarkEnd w:id="73"/>
      <w:bookmarkEnd w:id="74"/>
      <w:bookmarkEnd w:id="75"/>
      <w:bookmarkEnd w:id="76"/>
      <w:bookmarkEnd w:id="77"/>
      <w:bookmarkEnd w:id="78"/>
      <w:bookmarkEnd w:id="79"/>
      <w:bookmarkEnd w:id="80"/>
    </w:p>
    <w:p w:rsidR="00DD0950" w:rsidRPr="003B2DEA" w:rsidP="00DD0950">
      <w:pPr>
        <w:bidi w:val="0"/>
        <w:ind w:firstLine="708"/>
        <w:jc w:val="both"/>
        <w:rPr>
          <w:rFonts w:ascii="Arial Narrow" w:hAnsi="Arial Narrow" w:cs="Arial Narrow"/>
          <w:highlight w:val="yellow"/>
          <w:u w:val="single"/>
        </w:rPr>
      </w:pPr>
    </w:p>
    <w:p w:rsidR="00DD0950" w:rsidRPr="00B06E95" w:rsidP="00DD0950">
      <w:pPr>
        <w:bidi w:val="0"/>
        <w:jc w:val="both"/>
        <w:rPr>
          <w:rFonts w:ascii="Arial Narrow" w:hAnsi="Arial Narrow" w:cs="Arial Narrow"/>
          <w:sz w:val="22"/>
          <w:szCs w:val="22"/>
        </w:rPr>
      </w:pPr>
      <w:bookmarkStart w:id="81" w:name="_Toc116476499"/>
      <w:bookmarkStart w:id="82" w:name="_Toc141529501"/>
      <w:r w:rsidRPr="00B06E95">
        <w:rPr>
          <w:rFonts w:ascii="Arial Narrow" w:hAnsi="Arial Narrow" w:cs="Arial Narrow"/>
          <w:sz w:val="22"/>
          <w:szCs w:val="22"/>
        </w:rPr>
        <w:t xml:space="preserve">5.1.1.     Z hľadiska finančného objemu medzi najdôležitejšie príjmové operácie štátnych finančných aktív patria príjmy z Fondu národného majetku SR z dividend od spoločností s majetkovou účasťou Fondu národného majetku SR. Tieto príjmy sa v rovnakej výške prevedú do príjmov štátneho rozpočtu. </w:t>
      </w:r>
    </w:p>
    <w:p w:rsidR="00DD0950" w:rsidP="00DD0950">
      <w:pPr>
        <w:bidi w:val="0"/>
        <w:jc w:val="both"/>
        <w:rPr>
          <w:rFonts w:ascii="Arial Narrow" w:hAnsi="Arial Narrow" w:cs="Arial Narrow"/>
          <w:sz w:val="22"/>
          <w:szCs w:val="22"/>
          <w:highlight w:val="yellow"/>
        </w:rPr>
      </w:pPr>
    </w:p>
    <w:p w:rsidR="00DD0950" w:rsidP="00DD0950">
      <w:pPr>
        <w:bidi w:val="0"/>
        <w:jc w:val="both"/>
        <w:rPr>
          <w:rFonts w:ascii="Arial Narrow" w:hAnsi="Arial Narrow" w:cs="Arial Narrow"/>
          <w:sz w:val="22"/>
          <w:szCs w:val="22"/>
        </w:rPr>
      </w:pPr>
      <w:r w:rsidRPr="00F3454A">
        <w:rPr>
          <w:rFonts w:ascii="Arial Narrow" w:hAnsi="Arial Narrow" w:cs="Arial Narrow"/>
          <w:sz w:val="22"/>
          <w:szCs w:val="22"/>
        </w:rPr>
        <w:t>5.1.2.</w:t>
        <w:tab/>
        <w:t>Navrhuje sa posilnenie štátnych finančných aktív zo zostatku prostriedkov FNM SR z minulých rokov.</w:t>
      </w:r>
    </w:p>
    <w:p w:rsidR="00DD0950" w:rsidRPr="00F3454A" w:rsidP="00DD0950">
      <w:pPr>
        <w:bidi w:val="0"/>
        <w:jc w:val="both"/>
        <w:rPr>
          <w:rFonts w:ascii="Arial Narrow" w:hAnsi="Arial Narrow" w:cs="Arial Narrow"/>
          <w:sz w:val="22"/>
          <w:szCs w:val="22"/>
        </w:rPr>
      </w:pPr>
    </w:p>
    <w:p w:rsidR="00DD0950" w:rsidRPr="00170932" w:rsidP="00DD0950">
      <w:pPr>
        <w:pStyle w:val="BodyText"/>
        <w:bidi w:val="0"/>
        <w:rPr>
          <w:rFonts w:ascii="Arial Narrow" w:hAnsi="Arial Narrow" w:cs="Arial Narrow"/>
          <w:sz w:val="22"/>
          <w:szCs w:val="22"/>
        </w:rPr>
      </w:pPr>
      <w:r w:rsidRPr="00170932">
        <w:rPr>
          <w:rFonts w:ascii="Arial Narrow" w:hAnsi="Arial Narrow" w:cs="Arial Narrow"/>
          <w:sz w:val="22"/>
          <w:szCs w:val="22"/>
        </w:rPr>
        <w:t>5.1.</w:t>
      </w:r>
      <w:r>
        <w:rPr>
          <w:rFonts w:ascii="Arial Narrow" w:hAnsi="Arial Narrow" w:cs="Arial Narrow"/>
          <w:sz w:val="22"/>
          <w:szCs w:val="22"/>
        </w:rPr>
        <w:t>3</w:t>
      </w:r>
      <w:r w:rsidRPr="00170932">
        <w:rPr>
          <w:rFonts w:ascii="Arial Narrow" w:hAnsi="Arial Narrow" w:cs="Arial Narrow"/>
          <w:sz w:val="22"/>
          <w:szCs w:val="22"/>
        </w:rPr>
        <w:t>.</w:t>
        <w:tab/>
        <w:t>Ide o príjem za zrealizované štátne záruky</w:t>
      </w:r>
      <w:r>
        <w:rPr>
          <w:rFonts w:ascii="Arial Narrow" w:hAnsi="Arial Narrow" w:cs="Arial Narrow"/>
          <w:sz w:val="22"/>
          <w:szCs w:val="22"/>
        </w:rPr>
        <w:t xml:space="preserve"> voči Vodohospodárskej výstavbe, š. p.</w:t>
      </w:r>
    </w:p>
    <w:p w:rsidR="00DD0950" w:rsidRPr="002B6579" w:rsidP="00DD0950">
      <w:pPr>
        <w:pStyle w:val="BodyText"/>
        <w:bidi w:val="0"/>
        <w:rPr>
          <w:rFonts w:ascii="Arial Narrow" w:hAnsi="Arial Narrow" w:cs="Arial Narrow"/>
          <w:sz w:val="22"/>
          <w:szCs w:val="22"/>
          <w:highlight w:val="yellow"/>
        </w:rPr>
      </w:pPr>
    </w:p>
    <w:p w:rsidR="00DD0950" w:rsidRPr="001366FE" w:rsidP="00DD0950">
      <w:pPr>
        <w:bidi w:val="0"/>
        <w:jc w:val="both"/>
        <w:rPr>
          <w:rFonts w:ascii="Arial Narrow" w:hAnsi="Arial Narrow" w:cs="Arial Narrow"/>
          <w:sz w:val="22"/>
          <w:szCs w:val="22"/>
        </w:rPr>
      </w:pPr>
      <w:r>
        <w:rPr>
          <w:rFonts w:ascii="Arial Narrow" w:hAnsi="Arial Narrow" w:cs="Arial Narrow"/>
          <w:sz w:val="22"/>
          <w:szCs w:val="22"/>
        </w:rPr>
        <w:t>5.1.4</w:t>
      </w:r>
      <w:r w:rsidRPr="001366FE">
        <w:rPr>
          <w:rFonts w:ascii="Arial Narrow" w:hAnsi="Arial Narrow" w:cs="Arial Narrow"/>
          <w:sz w:val="22"/>
          <w:szCs w:val="22"/>
        </w:rPr>
        <w:t xml:space="preserve">.   Príjmy z vymáhania zahraničných pohľadávok, ktoré Slovenská republika získala pri delení majetku bývalej ČSFR, sa na základe výsledkov doterajších rokovaní s dlžníckymi krajinami a aktuálneho stavu zmluvnej </w:t>
      </w:r>
      <w:r w:rsidRPr="00270961">
        <w:rPr>
          <w:rFonts w:ascii="Arial Narrow" w:hAnsi="Arial Narrow" w:cs="Arial Narrow"/>
          <w:sz w:val="22"/>
          <w:szCs w:val="22"/>
        </w:rPr>
        <w:t>dokumentácie rozpočtujú v rokoch 20</w:t>
      </w:r>
      <w:r>
        <w:rPr>
          <w:rFonts w:ascii="Arial Narrow" w:hAnsi="Arial Narrow" w:cs="Arial Narrow"/>
          <w:sz w:val="22"/>
          <w:szCs w:val="22"/>
        </w:rPr>
        <w:t>11 až 2013</w:t>
      </w:r>
      <w:r w:rsidRPr="00270961">
        <w:rPr>
          <w:rFonts w:ascii="Arial Narrow" w:hAnsi="Arial Narrow" w:cs="Arial Narrow"/>
          <w:sz w:val="22"/>
          <w:szCs w:val="22"/>
        </w:rPr>
        <w:t xml:space="preserve"> </w:t>
      </w:r>
      <w:r>
        <w:rPr>
          <w:rFonts w:ascii="Arial Narrow" w:hAnsi="Arial Narrow" w:cs="Arial Narrow"/>
          <w:sz w:val="22"/>
          <w:szCs w:val="22"/>
        </w:rPr>
        <w:t>s klesajúcim trendom od</w:t>
      </w:r>
      <w:r w:rsidRPr="00270961">
        <w:rPr>
          <w:rFonts w:ascii="Arial Narrow" w:hAnsi="Arial Narrow" w:cs="Arial Narrow"/>
          <w:sz w:val="22"/>
          <w:szCs w:val="22"/>
        </w:rPr>
        <w:t xml:space="preserve"> </w:t>
      </w:r>
      <w:r>
        <w:rPr>
          <w:rFonts w:ascii="Arial Narrow" w:hAnsi="Arial Narrow" w:cs="Arial Narrow"/>
          <w:sz w:val="22"/>
          <w:szCs w:val="22"/>
        </w:rPr>
        <w:t>588,6</w:t>
      </w:r>
      <w:r w:rsidRPr="00270961">
        <w:rPr>
          <w:rFonts w:ascii="Arial Narrow" w:hAnsi="Arial Narrow" w:cs="Arial Narrow"/>
          <w:sz w:val="22"/>
          <w:szCs w:val="22"/>
        </w:rPr>
        <w:t xml:space="preserve"> </w:t>
      </w:r>
      <w:r>
        <w:rPr>
          <w:rFonts w:ascii="Arial Narrow" w:hAnsi="Arial Narrow" w:cs="Arial Narrow"/>
          <w:sz w:val="22"/>
          <w:szCs w:val="22"/>
        </w:rPr>
        <w:t>do</w:t>
      </w:r>
      <w:r w:rsidRPr="00270961">
        <w:rPr>
          <w:rFonts w:ascii="Arial Narrow" w:hAnsi="Arial Narrow" w:cs="Arial Narrow"/>
          <w:sz w:val="22"/>
          <w:szCs w:val="22"/>
        </w:rPr>
        <w:t xml:space="preserve"> </w:t>
      </w:r>
      <w:r>
        <w:rPr>
          <w:rFonts w:ascii="Arial Narrow" w:hAnsi="Arial Narrow" w:cs="Arial Narrow"/>
          <w:sz w:val="22"/>
          <w:szCs w:val="22"/>
        </w:rPr>
        <w:t>534,9</w:t>
      </w:r>
      <w:r w:rsidRPr="00270961">
        <w:rPr>
          <w:rFonts w:ascii="Arial Narrow" w:hAnsi="Arial Narrow" w:cs="Arial Narrow"/>
          <w:sz w:val="22"/>
          <w:szCs w:val="22"/>
        </w:rPr>
        <w:t xml:space="preserve"> tis. </w:t>
      </w:r>
      <w:r>
        <w:rPr>
          <w:rFonts w:ascii="Arial Narrow" w:hAnsi="Arial Narrow" w:cs="Arial Narrow"/>
          <w:sz w:val="22"/>
          <w:szCs w:val="22"/>
        </w:rPr>
        <w:t>eur</w:t>
      </w:r>
      <w:r w:rsidRPr="00270961">
        <w:rPr>
          <w:rFonts w:ascii="Arial Narrow" w:hAnsi="Arial Narrow" w:cs="Arial Narrow"/>
          <w:sz w:val="22"/>
          <w:szCs w:val="22"/>
        </w:rPr>
        <w:t>. Bližšie k jednotlivým rokom je</w:t>
      </w:r>
      <w:r w:rsidRPr="001366FE">
        <w:rPr>
          <w:rFonts w:ascii="Arial Narrow" w:hAnsi="Arial Narrow" w:cs="Arial Narrow"/>
          <w:sz w:val="22"/>
          <w:szCs w:val="22"/>
        </w:rPr>
        <w:t xml:space="preserve"> uvedené v úvodnej tabuľke. Úrokové príjmy zo zahraničných úverov, pôžičiek a vkladov sú príjmom štátneho rozpočtu a sú zapracované v rozpočte Štátneho dlhu (kapitola Všeobecná pokladničná správa). </w:t>
      </w:r>
    </w:p>
    <w:p w:rsidR="00DD0950" w:rsidRPr="002B6579" w:rsidP="00DD0950">
      <w:pPr>
        <w:bidi w:val="0"/>
        <w:ind w:firstLine="708"/>
        <w:jc w:val="both"/>
        <w:rPr>
          <w:rFonts w:ascii="Arial Narrow" w:hAnsi="Arial Narrow" w:cs="Arial Narrow"/>
          <w:sz w:val="22"/>
          <w:szCs w:val="22"/>
          <w:highlight w:val="yellow"/>
        </w:rPr>
      </w:pPr>
    </w:p>
    <w:p w:rsidR="00DD0950" w:rsidRPr="0086568C" w:rsidP="00DD0950">
      <w:pPr>
        <w:tabs>
          <w:tab w:val="left" w:pos="0"/>
        </w:tabs>
        <w:bidi w:val="0"/>
        <w:jc w:val="both"/>
        <w:rPr>
          <w:rFonts w:ascii="Arial Narrow" w:hAnsi="Arial Narrow" w:cs="Arial Narrow"/>
          <w:sz w:val="22"/>
          <w:szCs w:val="22"/>
        </w:rPr>
      </w:pPr>
      <w:r>
        <w:rPr>
          <w:rFonts w:ascii="Arial Narrow" w:hAnsi="Arial Narrow" w:cs="Arial Narrow"/>
          <w:sz w:val="22"/>
          <w:szCs w:val="22"/>
        </w:rPr>
        <w:t>5.1.5</w:t>
      </w:r>
      <w:r w:rsidRPr="0086568C">
        <w:rPr>
          <w:rFonts w:ascii="Arial Narrow" w:hAnsi="Arial Narrow" w:cs="Arial Narrow"/>
          <w:sz w:val="22"/>
          <w:szCs w:val="22"/>
        </w:rPr>
        <w:t xml:space="preserve">.     Medzi finančné operácie štátnych finančných aktív na strane príjmov zaraďujeme aj príjmy zo splácania poskytnutých úverov a pôžičiek – istín i návratných finančných výpomocí. Ide o príjmy, ktoré boli v minulosti príjmom niektorých kapitol štátneho rozpočtu. Nasledovná tabuľka uvádza príjmové finančné operácie podľa pôsobnosti a zodpovednosti príslušných kapitol štátneho rozpočtu. </w:t>
      </w:r>
    </w:p>
    <w:p w:rsidR="00DD0950" w:rsidRPr="00170932" w:rsidP="00DD0950">
      <w:pPr>
        <w:bidi w:val="0"/>
        <w:jc w:val="both"/>
        <w:rPr>
          <w:rFonts w:ascii="Arial Narrow" w:hAnsi="Arial Narrow" w:cs="Arial Narrow"/>
          <w:sz w:val="22"/>
          <w:szCs w:val="22"/>
        </w:rPr>
      </w:pPr>
    </w:p>
    <w:tbl>
      <w:tblPr>
        <w:tblStyle w:val="TableNormal"/>
        <w:tblW w:w="9118" w:type="dxa"/>
        <w:jc w:val="center"/>
        <w:tblCellMar>
          <w:left w:w="70" w:type="dxa"/>
          <w:right w:w="70" w:type="dxa"/>
        </w:tblCellMar>
      </w:tblPr>
      <w:tblGrid>
        <w:gridCol w:w="3838"/>
        <w:gridCol w:w="880"/>
        <w:gridCol w:w="880"/>
        <w:gridCol w:w="880"/>
        <w:gridCol w:w="880"/>
        <w:gridCol w:w="880"/>
        <w:gridCol w:w="880"/>
      </w:tblGrid>
      <w:tr>
        <w:tblPrEx>
          <w:tblW w:w="9118" w:type="dxa"/>
          <w:jc w:val="center"/>
          <w:tblCellMar>
            <w:left w:w="70" w:type="dxa"/>
            <w:right w:w="70" w:type="dxa"/>
          </w:tblCellMar>
        </w:tblPrEx>
        <w:trPr>
          <w:trHeight w:val="270"/>
          <w:jc w:val="center"/>
        </w:trPr>
        <w:tc>
          <w:tcPr>
            <w:tcW w:w="3838" w:type="dxa"/>
            <w:tcBorders>
              <w:top w:val="single" w:sz="8" w:space="0" w:color="auto"/>
              <w:left w:val="single" w:sz="8" w:space="0" w:color="auto"/>
              <w:bottom w:val="single" w:sz="8" w:space="0" w:color="auto"/>
              <w:right w:val="single" w:sz="4" w:space="0" w:color="auto"/>
            </w:tcBorders>
            <w:noWrap/>
            <w:textDirection w:val="lrTb"/>
            <w:vAlign w:val="top"/>
          </w:tcPr>
          <w:p w:rsidR="00DD0950" w:rsidRPr="000D58E4" w:rsidP="006863AF">
            <w:pPr>
              <w:bidi w:val="0"/>
              <w:rPr>
                <w:rFonts w:ascii="Arial Narrow" w:hAnsi="Arial Narrow" w:cs="Arial Narrow"/>
                <w:b/>
                <w:bCs/>
                <w:sz w:val="16"/>
                <w:szCs w:val="16"/>
                <w:lang w:eastAsia="sk-SK"/>
              </w:rPr>
            </w:pPr>
            <w:r w:rsidRPr="000D58E4">
              <w:rPr>
                <w:rFonts w:ascii="Arial Narrow" w:hAnsi="Arial Narrow" w:cs="Arial Narrow"/>
                <w:b/>
                <w:bCs/>
                <w:sz w:val="16"/>
                <w:szCs w:val="16"/>
                <w:lang w:eastAsia="sk-SK"/>
              </w:rP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0D58E4" w:rsidP="006863AF">
            <w:pPr>
              <w:bidi w:val="0"/>
              <w:jc w:val="center"/>
              <w:rPr>
                <w:rFonts w:ascii="Arial Narrow" w:hAnsi="Arial Narrow" w:cs="Arial Narrow"/>
                <w:b/>
                <w:bCs/>
                <w:sz w:val="16"/>
                <w:szCs w:val="16"/>
                <w:lang w:eastAsia="sk-SK"/>
              </w:rPr>
            </w:pPr>
            <w:r w:rsidRPr="000D58E4">
              <w:rPr>
                <w:rFonts w:ascii="Arial Narrow" w:hAnsi="Arial Narrow" w:cs="Arial Narrow"/>
                <w:b/>
                <w:bCs/>
                <w:sz w:val="16"/>
                <w:szCs w:val="16"/>
                <w:lang w:eastAsia="sk-SK"/>
              </w:rPr>
              <w:t>2013 N</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single" w:sz="4" w:space="0" w:color="auto"/>
            </w:tcBorders>
            <w:noWrap/>
            <w:textDirection w:val="lrTb"/>
            <w:vAlign w:val="center"/>
          </w:tcPr>
          <w:p w:rsidR="00DD0950" w:rsidRPr="000D58E4" w:rsidP="006863AF">
            <w:pPr>
              <w:bidi w:val="0"/>
              <w:rPr>
                <w:rFonts w:ascii="Arial Narrow" w:hAnsi="Arial Narrow" w:cs="Arial Narrow"/>
                <w:b/>
                <w:bCs/>
                <w:sz w:val="16"/>
                <w:szCs w:val="16"/>
                <w:lang w:eastAsia="sk-SK"/>
              </w:rPr>
            </w:pPr>
            <w:r w:rsidRPr="000D58E4">
              <w:rPr>
                <w:rFonts w:ascii="Arial Narrow" w:hAnsi="Arial Narrow" w:cs="Arial Narrow"/>
                <w:b/>
                <w:bCs/>
                <w:sz w:val="16"/>
                <w:szCs w:val="16"/>
                <w:lang w:eastAsia="sk-SK"/>
              </w:rPr>
              <w:t>Ministerstvo financií SR</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23,6</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22,9</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16,6</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17,0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17,0</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17,0</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single" w:sz="4" w:space="0" w:color="auto"/>
            </w:tcBorders>
            <w:noWrap/>
            <w:textDirection w:val="lrTb"/>
            <w:vAlign w:val="center"/>
          </w:tcPr>
          <w:p w:rsidR="00DD0950" w:rsidRPr="000D58E4" w:rsidP="006863AF">
            <w:pPr>
              <w:bidi w:val="0"/>
              <w:rPr>
                <w:rFonts w:ascii="Arial Narrow" w:hAnsi="Arial Narrow" w:cs="Arial Narrow"/>
                <w:b/>
                <w:bCs/>
                <w:sz w:val="16"/>
                <w:szCs w:val="16"/>
                <w:lang w:eastAsia="sk-SK"/>
              </w:rPr>
            </w:pPr>
            <w:r w:rsidRPr="000D58E4">
              <w:rPr>
                <w:rFonts w:ascii="Arial Narrow" w:hAnsi="Arial Narrow" w:cs="Arial Narrow"/>
                <w:b/>
                <w:bCs/>
                <w:sz w:val="16"/>
                <w:szCs w:val="16"/>
                <w:lang w:eastAsia="sk-SK"/>
              </w:rPr>
              <w:t xml:space="preserve">Ministerstvo pôdohospodárstva </w:t>
            </w:r>
            <w:r w:rsidR="005924FD">
              <w:rPr>
                <w:rFonts w:ascii="Arial Narrow" w:hAnsi="Arial Narrow" w:cs="Arial Narrow"/>
                <w:b/>
                <w:bCs/>
                <w:sz w:val="16"/>
                <w:szCs w:val="16"/>
                <w:lang w:eastAsia="sk-SK"/>
              </w:rPr>
              <w:t xml:space="preserve">a rozvoja vidieka </w:t>
            </w:r>
            <w:r w:rsidRPr="000D58E4">
              <w:rPr>
                <w:rFonts w:ascii="Arial Narrow" w:hAnsi="Arial Narrow" w:cs="Arial Narrow"/>
                <w:b/>
                <w:bCs/>
                <w:sz w:val="16"/>
                <w:szCs w:val="16"/>
                <w:lang w:eastAsia="sk-SK"/>
              </w:rPr>
              <w:t>SR</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3 946,0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1 816,7</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844,5</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506,9</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144,1</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66,4</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single" w:sz="4" w:space="0" w:color="auto"/>
            </w:tcBorders>
            <w:noWrap/>
            <w:textDirection w:val="lrTb"/>
            <w:vAlign w:val="center"/>
          </w:tcPr>
          <w:p w:rsidR="00DD0950" w:rsidRPr="000D58E4" w:rsidP="006863AF">
            <w:pPr>
              <w:bidi w:val="0"/>
              <w:rPr>
                <w:rFonts w:ascii="Arial Narrow" w:hAnsi="Arial Narrow" w:cs="Arial Narrow"/>
                <w:b/>
                <w:bCs/>
                <w:sz w:val="16"/>
                <w:szCs w:val="16"/>
                <w:lang w:eastAsia="sk-SK"/>
              </w:rPr>
            </w:pPr>
            <w:r w:rsidRPr="000D58E4">
              <w:rPr>
                <w:rFonts w:ascii="Arial Narrow" w:hAnsi="Arial Narrow" w:cs="Arial Narrow"/>
                <w:b/>
                <w:bCs/>
                <w:sz w:val="16"/>
                <w:szCs w:val="16"/>
                <w:lang w:eastAsia="sk-SK"/>
              </w:rPr>
              <w:t>Všeobecná pokladničná správa</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1 549,0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43 502,3</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1 432,9</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6 246,0</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z toho:</w:t>
            </w:r>
          </w:p>
        </w:tc>
        <w:tc>
          <w:tcPr>
            <w:tcW w:w="880" w:type="dxa"/>
            <w:tcBorders>
              <w:top w:val="nil"/>
              <w:left w:val="nil"/>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c>
          <w:tcPr>
            <w:tcW w:w="880" w:type="dxa"/>
            <w:tcBorders>
              <w:top w:val="nil"/>
              <w:left w:val="nil"/>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c>
          <w:tcPr>
            <w:tcW w:w="880" w:type="dxa"/>
            <w:tcBorders>
              <w:top w:val="nil"/>
              <w:left w:val="nil"/>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c>
          <w:tcPr>
            <w:tcW w:w="880" w:type="dxa"/>
            <w:tcBorders>
              <w:top w:val="nil"/>
              <w:left w:val="nil"/>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c>
          <w:tcPr>
            <w:tcW w:w="880" w:type="dxa"/>
            <w:tcBorders>
              <w:top w:val="nil"/>
              <w:left w:val="nil"/>
              <w:bottom w:val="single" w:sz="4" w:space="0" w:color="auto"/>
              <w:right w:val="nil"/>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single" w:sz="4" w:space="0" w:color="auto"/>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xml:space="preserve">  - z konkurzov</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165,9</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66,4</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49,8</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49,8</w:t>
            </w:r>
          </w:p>
        </w:tc>
      </w:tr>
      <w:tr>
        <w:tblPrEx>
          <w:tblW w:w="9118" w:type="dxa"/>
          <w:jc w:val="center"/>
          <w:tblCellMar>
            <w:left w:w="70" w:type="dxa"/>
            <w:right w:w="70" w:type="dxa"/>
          </w:tblCellMar>
        </w:tblPrEx>
        <w:trPr>
          <w:trHeight w:val="255"/>
          <w:jc w:val="center"/>
        </w:trPr>
        <w:tc>
          <w:tcPr>
            <w:tcW w:w="3838" w:type="dxa"/>
            <w:tcBorders>
              <w:top w:val="nil"/>
              <w:left w:val="single" w:sz="8" w:space="0" w:color="auto"/>
              <w:bottom w:val="single" w:sz="4" w:space="0" w:color="auto"/>
              <w:right w:val="single" w:sz="4" w:space="0" w:color="auto"/>
            </w:tcBorders>
            <w:noWrap/>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xml:space="preserve">  - mesto Košice</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1 383,1</w:t>
            </w:r>
          </w:p>
        </w:tc>
      </w:tr>
      <w:tr>
        <w:tblPrEx>
          <w:tblW w:w="9118" w:type="dxa"/>
          <w:jc w:val="center"/>
          <w:tblCellMar>
            <w:left w:w="70" w:type="dxa"/>
            <w:right w:w="70" w:type="dxa"/>
          </w:tblCellMar>
        </w:tblPrEx>
        <w:trPr>
          <w:trHeight w:val="430"/>
          <w:jc w:val="center"/>
        </w:trPr>
        <w:tc>
          <w:tcPr>
            <w:tcW w:w="3838" w:type="dxa"/>
            <w:tcBorders>
              <w:top w:val="nil"/>
              <w:left w:val="single" w:sz="8" w:space="0" w:color="auto"/>
              <w:bottom w:val="single" w:sz="4" w:space="0" w:color="auto"/>
              <w:right w:val="single" w:sz="4" w:space="0" w:color="auto"/>
            </w:tcBorders>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xml:space="preserve">  -  príjem z predaja ubytovacích kapacít zahraničných</w:t>
              <w:br/>
              <w:t xml:space="preserve">     investorov - Kia/Hyundai - MH SR</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31 032,4</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r>
      <w:tr>
        <w:tblPrEx>
          <w:tblW w:w="9118" w:type="dxa"/>
          <w:jc w:val="center"/>
          <w:tblCellMar>
            <w:left w:w="70" w:type="dxa"/>
            <w:right w:w="70" w:type="dxa"/>
          </w:tblCellMar>
        </w:tblPrEx>
        <w:trPr>
          <w:trHeight w:val="342"/>
          <w:jc w:val="center"/>
        </w:trPr>
        <w:tc>
          <w:tcPr>
            <w:tcW w:w="3838" w:type="dxa"/>
            <w:tcBorders>
              <w:top w:val="nil"/>
              <w:left w:val="single" w:sz="8" w:space="0" w:color="auto"/>
              <w:bottom w:val="single" w:sz="4" w:space="0" w:color="auto"/>
              <w:right w:val="single" w:sz="4" w:space="0" w:color="auto"/>
            </w:tcBorders>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xml:space="preserve">  -  splátka NFV poskytnutej v súvislosti so zabezpečením</w:t>
              <w:br/>
              <w:t xml:space="preserve">     projektu Samsung</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11 020,4</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r>
      <w:tr>
        <w:tblPrEx>
          <w:tblW w:w="9118" w:type="dxa"/>
          <w:jc w:val="center"/>
          <w:tblCellMar>
            <w:left w:w="70" w:type="dxa"/>
            <w:right w:w="70" w:type="dxa"/>
          </w:tblCellMar>
        </w:tblPrEx>
        <w:trPr>
          <w:trHeight w:val="324"/>
          <w:jc w:val="center"/>
        </w:trPr>
        <w:tc>
          <w:tcPr>
            <w:tcW w:w="3838" w:type="dxa"/>
            <w:tcBorders>
              <w:top w:val="nil"/>
              <w:left w:val="single" w:sz="8" w:space="0" w:color="auto"/>
              <w:bottom w:val="single" w:sz="4" w:space="0" w:color="auto"/>
              <w:right w:val="single" w:sz="4" w:space="0" w:color="auto"/>
            </w:tcBorders>
            <w:textDirection w:val="lrTb"/>
            <w:vAlign w:val="center"/>
          </w:tcPr>
          <w:p w:rsidR="00DD0950" w:rsidRPr="000D58E4" w:rsidP="006863AF">
            <w:pPr>
              <w:bidi w:val="0"/>
              <w:rPr>
                <w:rFonts w:ascii="Arial Narrow" w:hAnsi="Arial Narrow" w:cs="Arial Narrow"/>
                <w:sz w:val="16"/>
                <w:szCs w:val="16"/>
                <w:lang w:eastAsia="sk-SK"/>
              </w:rPr>
            </w:pPr>
            <w:r w:rsidRPr="000D58E4">
              <w:rPr>
                <w:rFonts w:ascii="Arial Narrow" w:hAnsi="Arial Narrow" w:cs="Arial Narrow"/>
                <w:sz w:val="16"/>
                <w:szCs w:val="16"/>
                <w:lang w:eastAsia="sk-SK"/>
              </w:rPr>
              <w:t xml:space="preserve">  -  splátka NFV poskytnutej Bratislavskému samospráv. kraju</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noWrap/>
            <w:textDirection w:val="lrTb"/>
            <w:vAlign w:val="center"/>
          </w:tcPr>
          <w:p w:rsidR="00DD0950" w:rsidRPr="000D58E4" w:rsidP="006863AF">
            <w:pPr>
              <w:bidi w:val="0"/>
              <w:jc w:val="right"/>
              <w:rPr>
                <w:rFonts w:ascii="Arial Narrow" w:hAnsi="Arial Narrow" w:cs="Arial Narrow"/>
                <w:sz w:val="16"/>
                <w:szCs w:val="16"/>
                <w:lang w:eastAsia="sk-SK"/>
              </w:rPr>
            </w:pPr>
            <w:r w:rsidRPr="000D58E4">
              <w:rPr>
                <w:rFonts w:ascii="Arial Narrow" w:hAnsi="Arial Narrow" w:cs="Arial Narrow"/>
                <w:sz w:val="16"/>
                <w:szCs w:val="16"/>
                <w:lang w:eastAsia="sk-SK"/>
              </w:rPr>
              <w:t>4 813,1</w:t>
            </w:r>
          </w:p>
        </w:tc>
      </w:tr>
      <w:tr>
        <w:tblPrEx>
          <w:tblW w:w="9118" w:type="dxa"/>
          <w:jc w:val="center"/>
          <w:tblCellMar>
            <w:left w:w="70" w:type="dxa"/>
            <w:right w:w="70" w:type="dxa"/>
          </w:tblCellMar>
        </w:tblPrEx>
        <w:trPr>
          <w:trHeight w:val="270"/>
          <w:jc w:val="center"/>
        </w:trPr>
        <w:tc>
          <w:tcPr>
            <w:tcW w:w="3838" w:type="dxa"/>
            <w:tcBorders>
              <w:top w:val="nil"/>
              <w:left w:val="single" w:sz="8" w:space="0" w:color="auto"/>
              <w:bottom w:val="single" w:sz="8" w:space="0" w:color="auto"/>
              <w:right w:val="single" w:sz="4" w:space="0" w:color="auto"/>
            </w:tcBorders>
            <w:shd w:val="clear" w:color="auto" w:fill="C0C0C0"/>
            <w:noWrap/>
            <w:textDirection w:val="lrTb"/>
            <w:vAlign w:val="center"/>
          </w:tcPr>
          <w:p w:rsidR="00DD0950" w:rsidRPr="000D58E4" w:rsidP="006863AF">
            <w:pPr>
              <w:bidi w:val="0"/>
              <w:rPr>
                <w:rFonts w:ascii="Arial Narrow" w:hAnsi="Arial Narrow" w:cs="Arial Narrow"/>
                <w:b/>
                <w:bCs/>
                <w:sz w:val="16"/>
                <w:szCs w:val="16"/>
                <w:lang w:eastAsia="sk-SK"/>
              </w:rPr>
            </w:pPr>
            <w:r w:rsidRPr="000D58E4">
              <w:rPr>
                <w:rFonts w:ascii="Arial Narrow" w:hAnsi="Arial Narrow" w:cs="Arial Narrow"/>
                <w:b/>
                <w:bCs/>
                <w:sz w:val="16"/>
                <w:szCs w:val="16"/>
                <w:lang w:eastAsia="sk-SK"/>
              </w:rPr>
              <w:t>Celkom</w:t>
            </w:r>
          </w:p>
        </w:tc>
        <w:tc>
          <w:tcPr>
            <w:tcW w:w="880" w:type="dxa"/>
            <w:tcBorders>
              <w:top w:val="nil"/>
              <w:left w:val="nil"/>
              <w:bottom w:val="single" w:sz="8" w:space="0" w:color="auto"/>
              <w:right w:val="single" w:sz="4"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5 352,7</w:t>
            </w:r>
          </w:p>
        </w:tc>
        <w:tc>
          <w:tcPr>
            <w:tcW w:w="880" w:type="dxa"/>
            <w:tcBorders>
              <w:top w:val="nil"/>
              <w:left w:val="nil"/>
              <w:bottom w:val="single" w:sz="8" w:space="0" w:color="auto"/>
              <w:right w:val="single" w:sz="4"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3 222,7</w:t>
            </w:r>
          </w:p>
        </w:tc>
        <w:tc>
          <w:tcPr>
            <w:tcW w:w="880" w:type="dxa"/>
            <w:tcBorders>
              <w:top w:val="nil"/>
              <w:left w:val="nil"/>
              <w:bottom w:val="single" w:sz="8" w:space="0" w:color="auto"/>
              <w:right w:val="single" w:sz="4"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2 410,1</w:t>
            </w:r>
          </w:p>
        </w:tc>
        <w:tc>
          <w:tcPr>
            <w:tcW w:w="880" w:type="dxa"/>
            <w:tcBorders>
              <w:top w:val="nil"/>
              <w:left w:val="nil"/>
              <w:bottom w:val="single" w:sz="8" w:space="0" w:color="auto"/>
              <w:right w:val="single" w:sz="4"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44 026,2</w:t>
            </w:r>
          </w:p>
        </w:tc>
        <w:tc>
          <w:tcPr>
            <w:tcW w:w="880" w:type="dxa"/>
            <w:tcBorders>
              <w:top w:val="nil"/>
              <w:left w:val="nil"/>
              <w:bottom w:val="single" w:sz="8" w:space="0" w:color="auto"/>
              <w:right w:val="single" w:sz="4"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1 594,0</w:t>
            </w:r>
          </w:p>
        </w:tc>
        <w:tc>
          <w:tcPr>
            <w:tcW w:w="880" w:type="dxa"/>
            <w:tcBorders>
              <w:top w:val="nil"/>
              <w:left w:val="nil"/>
              <w:bottom w:val="single" w:sz="8" w:space="0" w:color="auto"/>
              <w:right w:val="single" w:sz="8" w:space="0" w:color="auto"/>
            </w:tcBorders>
            <w:shd w:val="clear" w:color="auto" w:fill="C0C0C0"/>
            <w:noWrap/>
            <w:textDirection w:val="lrTb"/>
            <w:vAlign w:val="center"/>
          </w:tcPr>
          <w:p w:rsidR="00DD0950" w:rsidRPr="000D58E4" w:rsidP="006863AF">
            <w:pPr>
              <w:bidi w:val="0"/>
              <w:jc w:val="right"/>
              <w:rPr>
                <w:rFonts w:ascii="Arial Narrow" w:hAnsi="Arial Narrow" w:cs="Arial Narrow"/>
                <w:b/>
                <w:bCs/>
                <w:sz w:val="16"/>
                <w:szCs w:val="16"/>
                <w:lang w:eastAsia="sk-SK"/>
              </w:rPr>
            </w:pPr>
            <w:r w:rsidRPr="000D58E4">
              <w:rPr>
                <w:rFonts w:ascii="Arial Narrow" w:hAnsi="Arial Narrow" w:cs="Arial Narrow"/>
                <w:b/>
                <w:bCs/>
                <w:sz w:val="16"/>
                <w:szCs w:val="16"/>
                <w:lang w:eastAsia="sk-SK"/>
              </w:rPr>
              <w:t>6 329,4</w:t>
            </w:r>
          </w:p>
        </w:tc>
      </w:tr>
    </w:tbl>
    <w:p w:rsidR="00DD0950" w:rsidRPr="002B6579" w:rsidP="00DD0950">
      <w:pPr>
        <w:bidi w:val="0"/>
        <w:ind w:right="72"/>
        <w:jc w:val="both"/>
        <w:rPr>
          <w:rFonts w:ascii="Arial Narrow" w:hAnsi="Arial Narrow" w:cs="Arial Narrow"/>
          <w:sz w:val="22"/>
          <w:szCs w:val="22"/>
          <w:highlight w:val="yellow"/>
        </w:rPr>
      </w:pPr>
    </w:p>
    <w:p w:rsidR="00DD0950" w:rsidP="00DD0950">
      <w:pPr>
        <w:bidi w:val="0"/>
        <w:ind w:right="72" w:firstLine="705"/>
        <w:jc w:val="both"/>
        <w:rPr>
          <w:rFonts w:ascii="Arial Narrow" w:hAnsi="Arial Narrow" w:cs="Arial Narrow"/>
          <w:sz w:val="22"/>
          <w:szCs w:val="22"/>
        </w:rPr>
      </w:pPr>
      <w:r w:rsidRPr="00791610">
        <w:rPr>
          <w:rFonts w:ascii="Arial Narrow" w:hAnsi="Arial Narrow" w:cs="Arial Narrow"/>
          <w:sz w:val="22"/>
          <w:szCs w:val="22"/>
        </w:rPr>
        <w:t>V pôsobnosti kapitoly Ministerstva pôdohospodárstva</w:t>
      </w:r>
      <w:r w:rsidR="00335880">
        <w:rPr>
          <w:rFonts w:ascii="Arial Narrow" w:hAnsi="Arial Narrow" w:cs="Arial Narrow"/>
          <w:sz w:val="22"/>
          <w:szCs w:val="22"/>
        </w:rPr>
        <w:t xml:space="preserve"> a rozvoja vidieka</w:t>
      </w:r>
      <w:r w:rsidRPr="00791610">
        <w:rPr>
          <w:rFonts w:ascii="Arial Narrow" w:hAnsi="Arial Narrow" w:cs="Arial Narrow"/>
          <w:sz w:val="22"/>
          <w:szCs w:val="22"/>
        </w:rPr>
        <w:t xml:space="preserve"> SR ide o príjmy zo splácania návratných finančných výpomocí poskytnutých zrušenými štátnymi fondmi. </w:t>
      </w:r>
    </w:p>
    <w:p w:rsidR="00DD0950" w:rsidRPr="00791610" w:rsidP="00DD0950">
      <w:pPr>
        <w:bidi w:val="0"/>
        <w:ind w:right="72" w:firstLine="705"/>
        <w:jc w:val="both"/>
        <w:rPr>
          <w:rFonts w:ascii="Arial Narrow" w:hAnsi="Arial Narrow" w:cs="Arial Narrow"/>
          <w:sz w:val="22"/>
          <w:szCs w:val="22"/>
        </w:rPr>
      </w:pPr>
    </w:p>
    <w:p w:rsidR="00DD0950" w:rsidRPr="00D610A1" w:rsidP="00DD0950">
      <w:pPr>
        <w:bidi w:val="0"/>
        <w:ind w:right="72" w:firstLine="705"/>
        <w:jc w:val="both"/>
        <w:rPr>
          <w:rFonts w:ascii="Arial Narrow" w:hAnsi="Arial Narrow" w:cs="Arial Narrow"/>
          <w:sz w:val="22"/>
          <w:szCs w:val="22"/>
        </w:rPr>
      </w:pPr>
      <w:r w:rsidRPr="00D610A1">
        <w:rPr>
          <w:rFonts w:ascii="Arial Narrow" w:hAnsi="Arial Narrow" w:cs="Arial Narrow"/>
          <w:sz w:val="22"/>
          <w:szCs w:val="22"/>
        </w:rPr>
        <w:t xml:space="preserve">Odhaduje sa, že z prebiehajúcich konkurzných konaní, v ktorých si Ministerstvo financií SR uplatnilo </w:t>
      </w:r>
      <w:r w:rsidRPr="00270961">
        <w:rPr>
          <w:rFonts w:ascii="Arial Narrow" w:hAnsi="Arial Narrow" w:cs="Arial Narrow"/>
          <w:sz w:val="22"/>
          <w:szCs w:val="22"/>
        </w:rPr>
        <w:t>svoje pohľadávky</w:t>
      </w:r>
      <w:r w:rsidR="005924FD">
        <w:rPr>
          <w:rFonts w:ascii="Arial Narrow" w:hAnsi="Arial Narrow" w:cs="Arial Narrow"/>
          <w:sz w:val="22"/>
          <w:szCs w:val="22"/>
        </w:rPr>
        <w:t>,</w:t>
      </w:r>
      <w:r w:rsidRPr="00270961">
        <w:rPr>
          <w:rFonts w:ascii="Arial Narrow" w:hAnsi="Arial Narrow" w:cs="Arial Narrow"/>
          <w:sz w:val="22"/>
          <w:szCs w:val="22"/>
        </w:rPr>
        <w:t xml:space="preserve"> možno získať príjmy vo výške </w:t>
      </w:r>
      <w:r>
        <w:rPr>
          <w:rFonts w:ascii="Arial Narrow" w:hAnsi="Arial Narrow" w:cs="Arial Narrow"/>
          <w:sz w:val="22"/>
          <w:szCs w:val="22"/>
        </w:rPr>
        <w:t>49,8</w:t>
      </w:r>
      <w:r w:rsidRPr="00270961">
        <w:rPr>
          <w:rFonts w:ascii="Arial Narrow" w:hAnsi="Arial Narrow" w:cs="Arial Narrow"/>
          <w:sz w:val="22"/>
          <w:szCs w:val="22"/>
        </w:rPr>
        <w:t xml:space="preserve"> tis. </w:t>
      </w:r>
      <w:r>
        <w:rPr>
          <w:rFonts w:ascii="Arial Narrow" w:hAnsi="Arial Narrow" w:cs="Arial Narrow"/>
          <w:sz w:val="22"/>
          <w:szCs w:val="22"/>
        </w:rPr>
        <w:t>eur</w:t>
      </w:r>
      <w:r w:rsidRPr="00270961">
        <w:rPr>
          <w:rFonts w:ascii="Arial Narrow" w:hAnsi="Arial Narrow" w:cs="Arial Narrow"/>
          <w:sz w:val="22"/>
          <w:szCs w:val="22"/>
        </w:rPr>
        <w:t xml:space="preserve"> </w:t>
      </w:r>
      <w:r>
        <w:rPr>
          <w:rFonts w:ascii="Arial Narrow" w:hAnsi="Arial Narrow" w:cs="Arial Narrow"/>
          <w:sz w:val="22"/>
          <w:szCs w:val="22"/>
        </w:rPr>
        <w:t xml:space="preserve">až 66,4 tis. eur </w:t>
      </w:r>
      <w:r w:rsidRPr="00270961">
        <w:rPr>
          <w:rFonts w:ascii="Arial Narrow" w:hAnsi="Arial Narrow" w:cs="Arial Narrow"/>
          <w:sz w:val="22"/>
          <w:szCs w:val="22"/>
        </w:rPr>
        <w:t>ročne.</w:t>
      </w:r>
      <w:r w:rsidRPr="00D610A1">
        <w:rPr>
          <w:rFonts w:ascii="Arial Narrow" w:hAnsi="Arial Narrow" w:cs="Arial Narrow"/>
          <w:sz w:val="22"/>
          <w:szCs w:val="22"/>
        </w:rPr>
        <w:t xml:space="preserve"> </w:t>
      </w:r>
    </w:p>
    <w:p w:rsidR="00DD0950" w:rsidRPr="002B6579" w:rsidP="00DD0950">
      <w:pPr>
        <w:bidi w:val="0"/>
        <w:ind w:right="72" w:firstLine="705"/>
        <w:jc w:val="both"/>
        <w:rPr>
          <w:rFonts w:ascii="Arial Narrow" w:hAnsi="Arial Narrow" w:cs="Arial Narrow"/>
          <w:sz w:val="22"/>
          <w:szCs w:val="22"/>
          <w:highlight w:val="yellow"/>
        </w:rPr>
      </w:pPr>
    </w:p>
    <w:p w:rsidR="00DD0950" w:rsidP="00DD0950">
      <w:pPr>
        <w:bidi w:val="0"/>
        <w:ind w:right="72" w:firstLine="705"/>
        <w:jc w:val="both"/>
        <w:rPr>
          <w:rFonts w:ascii="Arial Narrow" w:hAnsi="Arial Narrow" w:cs="Arial Narrow"/>
          <w:sz w:val="22"/>
          <w:szCs w:val="22"/>
        </w:rPr>
      </w:pPr>
      <w:r w:rsidRPr="0008605E">
        <w:rPr>
          <w:rFonts w:ascii="Arial Narrow" w:hAnsi="Arial Narrow" w:cs="Arial Narrow"/>
          <w:sz w:val="22"/>
          <w:szCs w:val="22"/>
        </w:rPr>
        <w:t xml:space="preserve">Príjmy z realizovaných štátnych záruk od nefinančných subjektov </w:t>
      </w:r>
      <w:r>
        <w:rPr>
          <w:rFonts w:ascii="Arial Narrow" w:hAnsi="Arial Narrow" w:cs="Arial Narrow"/>
          <w:sz w:val="22"/>
          <w:szCs w:val="22"/>
        </w:rPr>
        <w:t>a splátok návratných finančných výpomocí sú</w:t>
      </w:r>
      <w:r w:rsidRPr="0008605E">
        <w:rPr>
          <w:rFonts w:ascii="Arial Narrow" w:hAnsi="Arial Narrow" w:cs="Arial Narrow"/>
          <w:sz w:val="22"/>
          <w:szCs w:val="22"/>
        </w:rPr>
        <w:t xml:space="preserve"> v pôsobnosti kapitoly Všeobecná pokladničná správa a v zmysle splátkových kalendárov sa v jednotlivých rokoch rozpočtového rámca 20</w:t>
      </w:r>
      <w:r>
        <w:rPr>
          <w:rFonts w:ascii="Arial Narrow" w:hAnsi="Arial Narrow" w:cs="Arial Narrow"/>
          <w:sz w:val="22"/>
          <w:szCs w:val="22"/>
        </w:rPr>
        <w:t>11</w:t>
      </w:r>
      <w:r w:rsidRPr="0008605E">
        <w:rPr>
          <w:rFonts w:ascii="Arial Narrow" w:hAnsi="Arial Narrow" w:cs="Arial Narrow"/>
          <w:sz w:val="22"/>
          <w:szCs w:val="22"/>
        </w:rPr>
        <w:t xml:space="preserve"> až 201</w:t>
      </w:r>
      <w:r>
        <w:rPr>
          <w:rFonts w:ascii="Arial Narrow" w:hAnsi="Arial Narrow" w:cs="Arial Narrow"/>
          <w:sz w:val="22"/>
          <w:szCs w:val="22"/>
        </w:rPr>
        <w:t>3</w:t>
      </w:r>
      <w:r w:rsidRPr="0008605E">
        <w:rPr>
          <w:rFonts w:ascii="Arial Narrow" w:hAnsi="Arial Narrow" w:cs="Arial Narrow"/>
          <w:sz w:val="22"/>
          <w:szCs w:val="22"/>
        </w:rPr>
        <w:t xml:space="preserve"> očakávajú v objemoch ako je uvedené v</w:t>
      </w:r>
      <w:r>
        <w:rPr>
          <w:rFonts w:ascii="Arial Narrow" w:hAnsi="Arial Narrow" w:cs="Arial Narrow"/>
          <w:sz w:val="22"/>
          <w:szCs w:val="22"/>
        </w:rPr>
        <w:t xml:space="preserve">o vyššie uvedenej </w:t>
      </w:r>
      <w:r w:rsidRPr="0008605E">
        <w:rPr>
          <w:rFonts w:ascii="Arial Narrow" w:hAnsi="Arial Narrow" w:cs="Arial Narrow"/>
          <w:sz w:val="22"/>
          <w:szCs w:val="22"/>
        </w:rPr>
        <w:t>tabuľke</w:t>
      </w:r>
      <w:r>
        <w:rPr>
          <w:rFonts w:ascii="Arial Narrow" w:hAnsi="Arial Narrow" w:cs="Arial Narrow"/>
          <w:sz w:val="22"/>
          <w:szCs w:val="22"/>
        </w:rPr>
        <w:t xml:space="preserve"> a v nasledovnom texte:</w:t>
      </w:r>
    </w:p>
    <w:p w:rsidR="00DD0950" w:rsidRPr="00837F70" w:rsidP="00DD0950">
      <w:pPr>
        <w:bidi w:val="0"/>
        <w:ind w:left="360" w:right="72"/>
        <w:jc w:val="both"/>
        <w:rPr>
          <w:rFonts w:ascii="Arial Narrow" w:hAnsi="Arial Narrow" w:cs="Arial Narrow"/>
          <w:sz w:val="10"/>
          <w:szCs w:val="10"/>
        </w:rPr>
      </w:pPr>
    </w:p>
    <w:p w:rsidR="00DD0950" w:rsidP="00BE7180">
      <w:pPr>
        <w:numPr>
          <w:numId w:val="3"/>
        </w:numPr>
        <w:bidi w:val="0"/>
        <w:ind w:right="72"/>
        <w:jc w:val="both"/>
        <w:rPr>
          <w:rFonts w:ascii="Arial Narrow" w:hAnsi="Arial Narrow" w:cs="Arial Narrow"/>
          <w:sz w:val="22"/>
          <w:szCs w:val="22"/>
        </w:rPr>
      </w:pPr>
      <w:r w:rsidRPr="0008605E">
        <w:rPr>
          <w:rFonts w:ascii="Arial Narrow" w:hAnsi="Arial Narrow" w:cs="Arial Narrow"/>
          <w:sz w:val="22"/>
          <w:szCs w:val="22"/>
        </w:rPr>
        <w:t>Mestu Košice bola poskytnutá úverová výpomoc zo štátnych finančných aktív vo výške 19,25 mil. eur v zmysle uznesenia vlády SR č. 93 zo dňa 30. 1. 2002. Zmluva o poskytnutí návratných finančných prostriedkov medzi Slovenskou republikou</w:t>
      </w:r>
      <w:r w:rsidR="005924FD">
        <w:rPr>
          <w:rFonts w:ascii="Arial Narrow" w:hAnsi="Arial Narrow" w:cs="Arial Narrow"/>
          <w:sz w:val="22"/>
          <w:szCs w:val="22"/>
        </w:rPr>
        <w:t>,</w:t>
      </w:r>
      <w:r w:rsidRPr="0008605E">
        <w:rPr>
          <w:rFonts w:ascii="Arial Narrow" w:hAnsi="Arial Narrow" w:cs="Arial Narrow"/>
          <w:sz w:val="22"/>
          <w:szCs w:val="22"/>
        </w:rPr>
        <w:t xml:space="preserve"> v mene ktorej koná Ministerstvo financií SR</w:t>
      </w:r>
      <w:r w:rsidR="005924FD">
        <w:rPr>
          <w:rFonts w:ascii="Arial Narrow" w:hAnsi="Arial Narrow" w:cs="Arial Narrow"/>
          <w:sz w:val="22"/>
          <w:szCs w:val="22"/>
        </w:rPr>
        <w:t>,</w:t>
      </w:r>
      <w:r w:rsidRPr="0008605E">
        <w:rPr>
          <w:rFonts w:ascii="Arial Narrow" w:hAnsi="Arial Narrow" w:cs="Arial Narrow"/>
          <w:sz w:val="22"/>
          <w:szCs w:val="22"/>
        </w:rPr>
        <w:t xml:space="preserve"> a mestom Košice bola podpísaná dňa 11. 6. 2002. Cieľom poskytnutia návratnej finančnej výpomoci bolo, aby mesto Košice po nábehu na ozdravný režim bolo pripravené zabezpečovať základné potreby pre chod samosprávy v obmedzenom, ale životaschopnom režime a súčasne si plniť záväzky plynúce z reštrukturalizovaného úverového zaťaženia.  </w:t>
      </w:r>
    </w:p>
    <w:p w:rsidR="00DD0950" w:rsidRPr="00837F70" w:rsidP="00DD0950">
      <w:pPr>
        <w:bidi w:val="0"/>
        <w:ind w:right="72"/>
        <w:jc w:val="both"/>
        <w:rPr>
          <w:rFonts w:ascii="Arial Narrow" w:hAnsi="Arial Narrow" w:cs="Arial Narrow"/>
          <w:sz w:val="10"/>
          <w:szCs w:val="10"/>
        </w:rPr>
      </w:pPr>
    </w:p>
    <w:p w:rsidR="00DD0950" w:rsidRPr="00DF0A80" w:rsidP="00BE7180">
      <w:pPr>
        <w:numPr>
          <w:numId w:val="3"/>
        </w:numPr>
        <w:bidi w:val="0"/>
        <w:ind w:right="72"/>
        <w:jc w:val="both"/>
        <w:rPr>
          <w:rFonts w:ascii="Arial Narrow" w:hAnsi="Arial Narrow" w:cs="Arial Narrow"/>
          <w:sz w:val="22"/>
          <w:szCs w:val="22"/>
        </w:rPr>
      </w:pPr>
      <w:r w:rsidRPr="00DF0A80">
        <w:rPr>
          <w:rFonts w:ascii="Arial Narrow" w:hAnsi="Arial Narrow" w:cs="Arial Narrow"/>
          <w:sz w:val="22"/>
          <w:szCs w:val="22"/>
        </w:rPr>
        <w:t>Vláda SR uznesením č. 94 zo dňa 1. februára 2006 schválila návrh na výstavbu ubytovacích kapací</w:t>
      </w:r>
      <w:r>
        <w:rPr>
          <w:rFonts w:ascii="Arial Narrow" w:hAnsi="Arial Narrow" w:cs="Arial Narrow"/>
          <w:sz w:val="22"/>
          <w:szCs w:val="22"/>
        </w:rPr>
        <w:t xml:space="preserve">t pre zahraničných investorov – </w:t>
      </w:r>
      <w:r w:rsidRPr="00F217D3">
        <w:rPr>
          <w:rFonts w:ascii="Arial Narrow" w:hAnsi="Arial Narrow" w:cs="Arial Narrow"/>
          <w:sz w:val="22"/>
          <w:szCs w:val="22"/>
        </w:rPr>
        <w:t>Kia/Hyundai</w:t>
      </w:r>
      <w:r w:rsidRPr="00DF0A80">
        <w:rPr>
          <w:rFonts w:ascii="Arial Narrow" w:hAnsi="Arial Narrow" w:cs="Arial Narrow"/>
          <w:sz w:val="22"/>
          <w:szCs w:val="22"/>
        </w:rPr>
        <w:t xml:space="preserve">, v ktorom súhlasila s poskytnutím štátnych finančných aktív v sume 38 704,1 tis. </w:t>
      </w:r>
      <w:r>
        <w:rPr>
          <w:rFonts w:ascii="Arial Narrow" w:hAnsi="Arial Narrow" w:cs="Arial Narrow"/>
          <w:sz w:val="22"/>
          <w:szCs w:val="22"/>
        </w:rPr>
        <w:t>eur</w:t>
      </w:r>
      <w:r w:rsidRPr="00DF0A80">
        <w:rPr>
          <w:rFonts w:ascii="Arial Narrow" w:hAnsi="Arial Narrow" w:cs="Arial Narrow"/>
          <w:sz w:val="22"/>
          <w:szCs w:val="22"/>
        </w:rPr>
        <w:t xml:space="preserve"> ako vkladom do základného imania spoločnosti založenej Ministerstvom hospodárstva SR na zabezpečenie výstavby a prevádzky predmetných ubytovacím kapacít. Zahranič</w:t>
      </w:r>
      <w:r w:rsidR="00335880">
        <w:rPr>
          <w:rFonts w:ascii="Arial Narrow" w:hAnsi="Arial Narrow" w:cs="Arial Narrow"/>
          <w:sz w:val="22"/>
          <w:szCs w:val="22"/>
        </w:rPr>
        <w:t>n</w:t>
      </w:r>
      <w:r w:rsidRPr="00DF0A80">
        <w:rPr>
          <w:rFonts w:ascii="Arial Narrow" w:hAnsi="Arial Narrow" w:cs="Arial Narrow"/>
          <w:sz w:val="22"/>
          <w:szCs w:val="22"/>
        </w:rPr>
        <w:t xml:space="preserve">í investori </w:t>
      </w:r>
      <w:r>
        <w:rPr>
          <w:rFonts w:ascii="Arial Narrow" w:hAnsi="Arial Narrow" w:cs="Arial Narrow"/>
          <w:sz w:val="22"/>
          <w:szCs w:val="22"/>
        </w:rPr>
        <w:t>(</w:t>
      </w:r>
      <w:r w:rsidRPr="00F217D3">
        <w:rPr>
          <w:rFonts w:ascii="Arial Narrow" w:hAnsi="Arial Narrow" w:cs="Arial Narrow"/>
          <w:sz w:val="22"/>
          <w:szCs w:val="22"/>
        </w:rPr>
        <w:t>Kia/Hyundai</w:t>
      </w:r>
      <w:r>
        <w:rPr>
          <w:rFonts w:ascii="Arial Narrow" w:hAnsi="Arial Narrow" w:cs="Arial Narrow"/>
          <w:sz w:val="22"/>
          <w:szCs w:val="22"/>
        </w:rPr>
        <w:t>)</w:t>
      </w:r>
      <w:r w:rsidRPr="00DF0A80">
        <w:rPr>
          <w:rFonts w:ascii="Arial Narrow" w:hAnsi="Arial Narrow" w:cs="Arial Narrow"/>
          <w:sz w:val="22"/>
          <w:szCs w:val="22"/>
        </w:rPr>
        <w:t xml:space="preserve"> prejavili predbežný záujem o odkúpenie obytného komplexu po uplynutí piatich rokov od nasťahovania ich zamestnancov do vybudovaných kapacít za podmienky, že kúpna cena obytných častí bude znížená o 20 % obstarávacích nákladov. Pri započítaní zníženej hodnoty odpredávaného komplexu akceptáciou predbežne dohodnutých podmienok s investorom by mal štát získať v roku 2011 príjem v sume 31 032,4 tis. </w:t>
      </w:r>
      <w:r>
        <w:rPr>
          <w:rFonts w:ascii="Arial Narrow" w:hAnsi="Arial Narrow" w:cs="Arial Narrow"/>
          <w:sz w:val="22"/>
          <w:szCs w:val="22"/>
        </w:rPr>
        <w:t>eur</w:t>
      </w:r>
      <w:r w:rsidRPr="00DF0A80">
        <w:rPr>
          <w:rFonts w:ascii="Arial Narrow" w:hAnsi="Arial Narrow" w:cs="Arial Narrow"/>
          <w:sz w:val="22"/>
          <w:szCs w:val="22"/>
        </w:rPr>
        <w:t xml:space="preserve">. </w:t>
      </w:r>
    </w:p>
    <w:p w:rsidR="00DD0950" w:rsidRPr="00837F70" w:rsidP="00DD0950">
      <w:pPr>
        <w:bidi w:val="0"/>
        <w:ind w:right="72"/>
        <w:jc w:val="both"/>
        <w:rPr>
          <w:rFonts w:ascii="Arial Narrow" w:hAnsi="Arial Narrow" w:cs="Arial Narrow"/>
          <w:sz w:val="10"/>
          <w:szCs w:val="10"/>
        </w:rPr>
      </w:pPr>
    </w:p>
    <w:p w:rsidR="00DD0950" w:rsidRPr="004D4350" w:rsidP="00BE7180">
      <w:pPr>
        <w:numPr>
          <w:numId w:val="3"/>
        </w:numPr>
        <w:bidi w:val="0"/>
        <w:ind w:right="72"/>
        <w:jc w:val="both"/>
        <w:rPr>
          <w:rFonts w:ascii="Arial Narrow" w:hAnsi="Arial Narrow" w:cs="Arial Narrow"/>
          <w:sz w:val="10"/>
          <w:szCs w:val="10"/>
        </w:rPr>
      </w:pPr>
      <w:r w:rsidRPr="004D4350">
        <w:rPr>
          <w:rFonts w:ascii="Arial Narrow" w:hAnsi="Arial Narrow" w:cs="Arial Narrow"/>
          <w:sz w:val="22"/>
          <w:szCs w:val="22"/>
        </w:rPr>
        <w:t xml:space="preserve">V zmysle uznesenia vlády SR č. 229/2007 bola poskytnutá návratná finančná výpomoc zo štátnych finančných aktív na výkup pozemkov na zabezpečenie projektu Samsung pre MH Invest, s. r. o. za podmienky jej vrátenia do konca roka 2011. </w:t>
      </w:r>
    </w:p>
    <w:p w:rsidR="00DD0950" w:rsidRPr="00C777FA" w:rsidP="00DD0950">
      <w:pPr>
        <w:bidi w:val="0"/>
        <w:ind w:right="72"/>
        <w:jc w:val="both"/>
        <w:rPr>
          <w:rFonts w:ascii="Arial Narrow" w:hAnsi="Arial Narrow" w:cs="Arial Narrow"/>
          <w:sz w:val="10"/>
          <w:szCs w:val="10"/>
        </w:rPr>
      </w:pPr>
    </w:p>
    <w:p w:rsidR="00DD0950" w:rsidP="00BE7180">
      <w:pPr>
        <w:numPr>
          <w:numId w:val="3"/>
        </w:numPr>
        <w:bidi w:val="0"/>
        <w:ind w:right="72"/>
        <w:jc w:val="both"/>
        <w:rPr>
          <w:rFonts w:ascii="Arial Narrow" w:hAnsi="Arial Narrow" w:cs="Arial Narrow"/>
          <w:sz w:val="22"/>
          <w:szCs w:val="22"/>
        </w:rPr>
      </w:pPr>
      <w:r>
        <w:rPr>
          <w:rFonts w:ascii="Arial Narrow" w:hAnsi="Arial Narrow" w:cs="Arial Narrow"/>
          <w:sz w:val="22"/>
          <w:szCs w:val="22"/>
        </w:rPr>
        <w:t>V roku 2013 sa predpokladá príjem z návratnej finančnej výpomoci poskytnutej Bratislavskému samosprávnemu kraju.</w:t>
      </w:r>
    </w:p>
    <w:p w:rsidR="00DD0950" w:rsidRPr="00C777FA" w:rsidP="00DD0950">
      <w:pPr>
        <w:bidi w:val="0"/>
        <w:ind w:right="72"/>
        <w:jc w:val="both"/>
        <w:rPr>
          <w:rFonts w:ascii="Arial Narrow" w:hAnsi="Arial Narrow" w:cs="Arial Narrow"/>
          <w:sz w:val="10"/>
          <w:szCs w:val="10"/>
        </w:rPr>
      </w:pPr>
    </w:p>
    <w:p w:rsidR="00DD0950" w:rsidRPr="00C777FA" w:rsidP="00DD0950">
      <w:pPr>
        <w:bidi w:val="0"/>
        <w:ind w:right="72"/>
        <w:jc w:val="both"/>
        <w:rPr>
          <w:rFonts w:ascii="Arial Narrow" w:hAnsi="Arial Narrow" w:cs="Arial Narrow"/>
          <w:sz w:val="22"/>
          <w:szCs w:val="22"/>
        </w:rPr>
      </w:pPr>
    </w:p>
    <w:p w:rsidR="00DD0950" w:rsidRPr="003B2DEA" w:rsidP="00DD0950">
      <w:pPr>
        <w:pStyle w:val="Heading2"/>
        <w:bidi w:val="0"/>
        <w:rPr>
          <w:rFonts w:ascii="Arial Narrow" w:hAnsi="Arial Narrow" w:cs="Arial Narrow"/>
          <w:i w:val="0"/>
          <w:iCs w:val="0"/>
          <w:sz w:val="24"/>
          <w:szCs w:val="24"/>
        </w:rPr>
      </w:pPr>
      <w:bookmarkStart w:id="83" w:name="_Toc143348615"/>
      <w:bookmarkStart w:id="84" w:name="_Toc148255261"/>
      <w:bookmarkStart w:id="85" w:name="_Toc174871978"/>
      <w:bookmarkStart w:id="86" w:name="_Toc206478413"/>
      <w:bookmarkStart w:id="87" w:name="_Toc241846651"/>
      <w:bookmarkStart w:id="88" w:name="_Toc273979634"/>
      <w:r w:rsidRPr="003B2DEA">
        <w:rPr>
          <w:rFonts w:ascii="Arial Narrow" w:hAnsi="Arial Narrow" w:cs="Arial Narrow"/>
          <w:i w:val="0"/>
          <w:iCs w:val="0"/>
          <w:sz w:val="24"/>
          <w:szCs w:val="24"/>
        </w:rPr>
        <w:t>5.2. Výdavkové operácie</w:t>
      </w:r>
      <w:bookmarkEnd w:id="81"/>
      <w:bookmarkEnd w:id="82"/>
      <w:bookmarkEnd w:id="83"/>
      <w:bookmarkEnd w:id="84"/>
      <w:bookmarkEnd w:id="85"/>
      <w:bookmarkEnd w:id="86"/>
      <w:bookmarkEnd w:id="87"/>
      <w:bookmarkEnd w:id="88"/>
    </w:p>
    <w:p w:rsidR="00DD0950" w:rsidRPr="003B2DEA" w:rsidP="00DD0950">
      <w:pPr>
        <w:pStyle w:val="BodyText"/>
        <w:bidi w:val="0"/>
        <w:rPr>
          <w:rFonts w:ascii="Arial Narrow" w:hAnsi="Arial Narrow" w:cs="Arial Narrow"/>
        </w:rPr>
      </w:pPr>
    </w:p>
    <w:p w:rsidR="00DD0950" w:rsidP="00DD0950">
      <w:pPr>
        <w:pStyle w:val="BodyText"/>
        <w:bidi w:val="0"/>
        <w:rPr>
          <w:rFonts w:ascii="Arial Narrow" w:hAnsi="Arial Narrow" w:cs="Arial Narrow"/>
          <w:sz w:val="22"/>
          <w:szCs w:val="22"/>
        </w:rPr>
      </w:pPr>
      <w:bookmarkStart w:id="89" w:name="_Toc116476500"/>
      <w:r>
        <w:rPr>
          <w:rFonts w:ascii="Arial Narrow" w:hAnsi="Arial Narrow" w:cs="Arial Narrow"/>
          <w:sz w:val="22"/>
          <w:szCs w:val="22"/>
        </w:rPr>
        <w:t xml:space="preserve">5.2.1.     </w:t>
        <w:tab/>
        <w:t>Príjmy z Fondu národného majetku SR z dividend od spoločností s majetkovou účasťou Fondu národného majetku SR sa v jednotlivých rokoch rozpočtového rámca 2011 až 2013 v rovnakej výške ako vstúpili do príjmov štátnych finančných aktív prevedú do príjmov štátneho rozpočtu. To znamená, že z pohľadu bilancie štátnych finančných aktív je táto operácia neutrálna.</w:t>
      </w:r>
    </w:p>
    <w:p w:rsidR="00DD0950" w:rsidP="00DD0950">
      <w:pPr>
        <w:pStyle w:val="BodyText"/>
        <w:bidi w:val="0"/>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5.2.2.</w:t>
        <w:tab/>
        <w:t>U</w:t>
      </w:r>
      <w:r w:rsidRPr="00B87F6C">
        <w:rPr>
          <w:rFonts w:ascii="Arial Narrow" w:hAnsi="Arial Narrow" w:cs="Arial Narrow"/>
          <w:sz w:val="22"/>
          <w:szCs w:val="22"/>
        </w:rPr>
        <w:t>zneseniami vlády SR č. 446/2002 a 1241/2004 bola pre prostriedky získané z privatizácie 25 % podielu S</w:t>
      </w:r>
      <w:r>
        <w:rPr>
          <w:rFonts w:ascii="Arial Narrow" w:hAnsi="Arial Narrow" w:cs="Arial Narrow"/>
          <w:sz w:val="22"/>
          <w:szCs w:val="22"/>
        </w:rPr>
        <w:t>lovenského plynárenského priemyslu</w:t>
      </w:r>
      <w:r w:rsidRPr="00B87F6C">
        <w:rPr>
          <w:rFonts w:ascii="Arial Narrow" w:hAnsi="Arial Narrow" w:cs="Arial Narrow"/>
          <w:sz w:val="22"/>
          <w:szCs w:val="22"/>
        </w:rPr>
        <w:t>, a. s. stanovená účelovosť ich použitia výlučne na účely dôchodkovej reformy.</w:t>
      </w:r>
      <w:r>
        <w:rPr>
          <w:rFonts w:ascii="Arial Narrow" w:hAnsi="Arial Narrow" w:cs="Arial Narrow"/>
          <w:sz w:val="22"/>
          <w:szCs w:val="22"/>
        </w:rPr>
        <w:t xml:space="preserve"> Uvedená účelovosť týchto prostriedkov je zakotvená aj v </w:t>
      </w:r>
      <w:r w:rsidRPr="00B87F6C">
        <w:rPr>
          <w:rFonts w:ascii="Arial Narrow" w:hAnsi="Arial Narrow" w:cs="Arial Narrow"/>
          <w:sz w:val="22"/>
          <w:szCs w:val="22"/>
        </w:rPr>
        <w:t xml:space="preserve">§ 293 zákona č. 461/2003 </w:t>
      </w:r>
      <w:r>
        <w:rPr>
          <w:rFonts w:ascii="Arial Narrow" w:hAnsi="Arial Narrow" w:cs="Arial Narrow"/>
          <w:sz w:val="22"/>
          <w:szCs w:val="22"/>
        </w:rPr>
        <w:t xml:space="preserve">Z. z. </w:t>
      </w:r>
      <w:r w:rsidRPr="00B87F6C">
        <w:rPr>
          <w:rFonts w:ascii="Arial Narrow" w:hAnsi="Arial Narrow" w:cs="Arial Narrow"/>
          <w:sz w:val="22"/>
          <w:szCs w:val="22"/>
        </w:rPr>
        <w:t>o sociálnom poistení</w:t>
      </w:r>
      <w:r>
        <w:rPr>
          <w:rFonts w:ascii="Arial Narrow" w:hAnsi="Arial Narrow" w:cs="Arial Narrow"/>
          <w:sz w:val="22"/>
          <w:szCs w:val="22"/>
        </w:rPr>
        <w:t xml:space="preserve">. V tejto súvislosti najvýznamnejším výdavkovým titulom štátnych finančných aktív </w:t>
      </w:r>
      <w:r w:rsidR="00A1281C">
        <w:rPr>
          <w:rFonts w:ascii="Arial Narrow" w:hAnsi="Arial Narrow" w:cs="Arial Narrow"/>
          <w:sz w:val="22"/>
          <w:szCs w:val="22"/>
        </w:rPr>
        <w:t>bol</w:t>
      </w:r>
      <w:r>
        <w:rPr>
          <w:rFonts w:ascii="Arial Narrow" w:hAnsi="Arial Narrow" w:cs="Arial Narrow"/>
          <w:sz w:val="22"/>
          <w:szCs w:val="22"/>
        </w:rPr>
        <w:t xml:space="preserve"> prevod finančných prostriedkov zo štátnych finančných aktív do Sociálnej poisťovne, ktorý slúži</w:t>
      </w:r>
      <w:r w:rsidR="00A1281C">
        <w:rPr>
          <w:rFonts w:ascii="Arial Narrow" w:hAnsi="Arial Narrow" w:cs="Arial Narrow"/>
          <w:sz w:val="22"/>
          <w:szCs w:val="22"/>
        </w:rPr>
        <w:t>l</w:t>
      </w:r>
      <w:r>
        <w:rPr>
          <w:rFonts w:ascii="Arial Narrow" w:hAnsi="Arial Narrow" w:cs="Arial Narrow"/>
          <w:sz w:val="22"/>
          <w:szCs w:val="22"/>
        </w:rPr>
        <w:t xml:space="preserve"> na krytie výpadku jej </w:t>
      </w:r>
      <w:r w:rsidRPr="004025CC">
        <w:rPr>
          <w:rFonts w:ascii="Arial Narrow" w:hAnsi="Arial Narrow" w:cs="Arial Narrow"/>
          <w:sz w:val="22"/>
          <w:szCs w:val="22"/>
        </w:rPr>
        <w:t xml:space="preserve">príjmov z dôvodu zavedenia II. piliera dôchodkového sporenia. Tieto prostriedky boli vyčerpané </w:t>
      </w:r>
      <w:r>
        <w:rPr>
          <w:rFonts w:ascii="Arial Narrow" w:hAnsi="Arial Narrow" w:cs="Arial Narrow"/>
          <w:sz w:val="22"/>
          <w:szCs w:val="22"/>
        </w:rPr>
        <w:t>v</w:t>
      </w:r>
      <w:r w:rsidRPr="004025CC">
        <w:rPr>
          <w:rFonts w:ascii="Arial Narrow" w:hAnsi="Arial Narrow" w:cs="Arial Narrow"/>
          <w:sz w:val="22"/>
          <w:szCs w:val="22"/>
        </w:rPr>
        <w:t> január</w:t>
      </w:r>
      <w:r>
        <w:rPr>
          <w:rFonts w:ascii="Arial Narrow" w:hAnsi="Arial Narrow" w:cs="Arial Narrow"/>
          <w:sz w:val="22"/>
          <w:szCs w:val="22"/>
        </w:rPr>
        <w:t>i</w:t>
      </w:r>
      <w:r w:rsidRPr="004025CC">
        <w:rPr>
          <w:rFonts w:ascii="Arial Narrow" w:hAnsi="Arial Narrow" w:cs="Arial Narrow"/>
          <w:sz w:val="22"/>
          <w:szCs w:val="22"/>
        </w:rPr>
        <w:t xml:space="preserve"> 2010.</w:t>
      </w:r>
    </w:p>
    <w:p w:rsidR="00DD0950" w:rsidP="00DD0950">
      <w:pPr>
        <w:pStyle w:val="BodyText"/>
        <w:bidi w:val="0"/>
        <w:ind w:firstLine="709"/>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5.2.3.    Medzi finančné operácie na strane výdavkov štátnych finančných aktív sa zaraďuje aj poskytovanie úverov a pôžičiek, účasť na majetku a splácanie istiny. V jednotlivých rokoch rozpočtového rámca 2011 až 2013 sa rozpočtujú v nižšie uvedených čiastkach.</w:t>
      </w:r>
    </w:p>
    <w:p w:rsidR="00DD0950" w:rsidRPr="00462B6C" w:rsidP="00DD0950">
      <w:pPr>
        <w:bidi w:val="0"/>
        <w:jc w:val="both"/>
        <w:rPr>
          <w:rFonts w:ascii="Arial Narrow" w:hAnsi="Arial Narrow" w:cs="Arial Narrow"/>
          <w:sz w:val="22"/>
          <w:szCs w:val="22"/>
        </w:rPr>
      </w:pPr>
    </w:p>
    <w:tbl>
      <w:tblPr>
        <w:tblStyle w:val="TableNormal"/>
        <w:tblW w:w="9140" w:type="dxa"/>
        <w:jc w:val="center"/>
        <w:tblCellMar>
          <w:left w:w="70" w:type="dxa"/>
          <w:right w:w="70" w:type="dxa"/>
        </w:tblCellMar>
      </w:tblPr>
      <w:tblGrid>
        <w:gridCol w:w="3860"/>
        <w:gridCol w:w="880"/>
        <w:gridCol w:w="880"/>
        <w:gridCol w:w="880"/>
        <w:gridCol w:w="880"/>
        <w:gridCol w:w="880"/>
        <w:gridCol w:w="880"/>
      </w:tblGrid>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noWrap/>
            <w:textDirection w:val="lrTb"/>
            <w:vAlign w:val="top"/>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C45467" w:rsidP="006863AF">
            <w:pPr>
              <w:bidi w:val="0"/>
              <w:jc w:val="center"/>
              <w:rPr>
                <w:rFonts w:ascii="Arial Narrow" w:hAnsi="Arial Narrow" w:cs="Arial Narrow"/>
                <w:b/>
                <w:bCs/>
                <w:sz w:val="16"/>
                <w:szCs w:val="16"/>
                <w:lang w:eastAsia="sk-SK"/>
              </w:rPr>
            </w:pPr>
            <w:r w:rsidRPr="00C45467">
              <w:rPr>
                <w:rFonts w:ascii="Arial Narrow" w:hAnsi="Arial Narrow" w:cs="Arial Narrow"/>
                <w:b/>
                <w:bCs/>
                <w:sz w:val="16"/>
                <w:szCs w:val="16"/>
                <w:lang w:eastAsia="sk-SK"/>
              </w:rPr>
              <w:t>2013 N</w:t>
            </w:r>
          </w:p>
        </w:tc>
      </w:tr>
      <w:tr>
        <w:tblPrEx>
          <w:tblW w:w="9140" w:type="dxa"/>
          <w:jc w:val="center"/>
          <w:tblCellMar>
            <w:left w:w="70" w:type="dxa"/>
            <w:right w:w="70" w:type="dxa"/>
          </w:tblCellMar>
        </w:tblPrEx>
        <w:trPr>
          <w:trHeight w:val="204"/>
          <w:jc w:val="center"/>
        </w:trPr>
        <w:tc>
          <w:tcPr>
            <w:tcW w:w="3860" w:type="dxa"/>
            <w:tcBorders>
              <w:top w:val="nil"/>
              <w:left w:val="single" w:sz="8" w:space="0" w:color="auto"/>
              <w:bottom w:val="single" w:sz="4" w:space="0" w:color="auto"/>
              <w:right w:val="single" w:sz="4" w:space="0" w:color="auto"/>
            </w:tcBorders>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 xml:space="preserve">IDA* </w:t>
            </w:r>
            <w:r w:rsidRPr="00C45467">
              <w:rPr>
                <w:rFonts w:ascii="Arial Narrow" w:hAnsi="Arial Narrow" w:cs="Arial Narrow"/>
                <w:sz w:val="16"/>
                <w:szCs w:val="16"/>
                <w:lang w:eastAsia="sk-SK"/>
              </w:rPr>
              <w:t>- Medzinárodné združenie pre rozvoj - Príspevok na doplnenie zdrojov IDA</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828,1</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765,1</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995,8</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680,0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900,0</w:t>
            </w:r>
          </w:p>
        </w:tc>
        <w:tc>
          <w:tcPr>
            <w:tcW w:w="880" w:type="dxa"/>
            <w:tcBorders>
              <w:top w:val="nil"/>
              <w:left w:val="nil"/>
              <w:bottom w:val="single" w:sz="4" w:space="0" w:color="auto"/>
              <w:right w:val="single" w:sz="8"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900,0</w:t>
            </w:r>
          </w:p>
        </w:tc>
      </w:tr>
      <w:tr>
        <w:tblPrEx>
          <w:tblW w:w="9140" w:type="dxa"/>
          <w:jc w:val="center"/>
          <w:tblCellMar>
            <w:left w:w="70" w:type="dxa"/>
            <w:right w:w="70" w:type="dxa"/>
          </w:tblCellMar>
        </w:tblPrEx>
        <w:trPr>
          <w:trHeight w:val="362"/>
          <w:jc w:val="center"/>
        </w:trPr>
        <w:tc>
          <w:tcPr>
            <w:tcW w:w="3860" w:type="dxa"/>
            <w:tcBorders>
              <w:top w:val="nil"/>
              <w:left w:val="single" w:sz="8" w:space="0" w:color="auto"/>
              <w:bottom w:val="single" w:sz="4" w:space="0" w:color="auto"/>
              <w:right w:val="single" w:sz="4" w:space="0" w:color="auto"/>
            </w:tcBorders>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 xml:space="preserve">IBRD </w:t>
            </w:r>
            <w:r w:rsidRPr="00C45467">
              <w:rPr>
                <w:rFonts w:ascii="Arial Narrow" w:hAnsi="Arial Narrow" w:cs="Arial Narrow"/>
                <w:sz w:val="16"/>
                <w:szCs w:val="16"/>
                <w:lang w:eastAsia="sk-SK"/>
              </w:rPr>
              <w:t>- Medzinárodná banka pre obnovu a rozvoj - Rezerva na valorizáciu akcii SR</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331,9</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2 000,0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1 500,0</w:t>
            </w:r>
          </w:p>
        </w:tc>
        <w:tc>
          <w:tcPr>
            <w:tcW w:w="880" w:type="dxa"/>
            <w:tcBorders>
              <w:top w:val="nil"/>
              <w:left w:val="nil"/>
              <w:bottom w:val="single" w:sz="4" w:space="0" w:color="auto"/>
              <w:right w:val="single" w:sz="8"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1 500,0</w:t>
            </w:r>
          </w:p>
        </w:tc>
      </w:tr>
      <w:tr>
        <w:tblPrEx>
          <w:tblW w:w="9140" w:type="dxa"/>
          <w:jc w:val="center"/>
          <w:tblCellMar>
            <w:left w:w="70" w:type="dxa"/>
            <w:right w:w="70" w:type="dxa"/>
          </w:tblCellMar>
        </w:tblPrEx>
        <w:trPr>
          <w:trHeight w:val="164"/>
          <w:jc w:val="center"/>
        </w:trPr>
        <w:tc>
          <w:tcPr>
            <w:tcW w:w="3860" w:type="dxa"/>
            <w:tcBorders>
              <w:top w:val="nil"/>
              <w:left w:val="single" w:sz="8" w:space="0" w:color="auto"/>
              <w:bottom w:val="single" w:sz="4" w:space="0" w:color="auto"/>
              <w:right w:val="single" w:sz="4" w:space="0" w:color="auto"/>
            </w:tcBorders>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 xml:space="preserve">IBRD* </w:t>
            </w:r>
            <w:r w:rsidRPr="00C45467">
              <w:rPr>
                <w:rFonts w:ascii="Arial Narrow" w:hAnsi="Arial Narrow" w:cs="Arial Narrow"/>
                <w:sz w:val="16"/>
                <w:szCs w:val="16"/>
                <w:lang w:eastAsia="sk-SK"/>
              </w:rPr>
              <w:t>- Medzinárodná banka pre obnovu a rozvoj - Zvýšenie kapitálu</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2 000,0</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nil"/>
              <w:left w:val="nil"/>
              <w:bottom w:val="single" w:sz="4" w:space="0" w:color="auto"/>
              <w:right w:val="single" w:sz="8"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r>
      <w:tr>
        <w:tblPrEx>
          <w:tblW w:w="9140" w:type="dxa"/>
          <w:jc w:val="center"/>
          <w:tblCellMar>
            <w:left w:w="70" w:type="dxa"/>
            <w:right w:w="70" w:type="dxa"/>
          </w:tblCellMar>
        </w:tblPrEx>
        <w:trPr>
          <w:trHeight w:val="160"/>
          <w:jc w:val="center"/>
        </w:trPr>
        <w:tc>
          <w:tcPr>
            <w:tcW w:w="3860" w:type="dxa"/>
            <w:tcBorders>
              <w:top w:val="nil"/>
              <w:left w:val="single" w:sz="8" w:space="0" w:color="auto"/>
              <w:bottom w:val="single" w:sz="4" w:space="0" w:color="auto"/>
              <w:right w:val="single" w:sz="4" w:space="0" w:color="auto"/>
            </w:tcBorders>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EIB*</w:t>
            </w:r>
            <w:r w:rsidRPr="00C45467">
              <w:rPr>
                <w:rFonts w:ascii="Arial Narrow" w:hAnsi="Arial Narrow" w:cs="Arial Narrow"/>
                <w:sz w:val="16"/>
                <w:szCs w:val="16"/>
                <w:lang w:eastAsia="sk-SK"/>
              </w:rPr>
              <w:t xml:space="preserve"> - Európska investičná banka - Poskytnutie záruky SR v prospech EIB na základe záručnej zmluvy</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19 641,5</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9 446,1</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107,8</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186,2</w:t>
            </w:r>
          </w:p>
        </w:tc>
        <w:tc>
          <w:tcPr>
            <w:tcW w:w="880" w:type="dxa"/>
            <w:tcBorders>
              <w:top w:val="nil"/>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285,5</w:t>
            </w:r>
          </w:p>
        </w:tc>
        <w:tc>
          <w:tcPr>
            <w:tcW w:w="880" w:type="dxa"/>
            <w:tcBorders>
              <w:top w:val="nil"/>
              <w:left w:val="nil"/>
              <w:bottom w:val="single" w:sz="4" w:space="0" w:color="auto"/>
              <w:right w:val="single" w:sz="8"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401,9</w:t>
            </w:r>
          </w:p>
        </w:tc>
      </w:tr>
      <w:tr>
        <w:tblPrEx>
          <w:tblW w:w="9140" w:type="dxa"/>
          <w:jc w:val="center"/>
          <w:tblCellMar>
            <w:left w:w="70" w:type="dxa"/>
            <w:right w:w="70" w:type="dxa"/>
          </w:tblCellMar>
        </w:tblPrEx>
        <w:trPr>
          <w:trHeight w:val="143"/>
          <w:jc w:val="center"/>
        </w:trPr>
        <w:tc>
          <w:tcPr>
            <w:tcW w:w="3860" w:type="dxa"/>
            <w:tcBorders>
              <w:top w:val="single" w:sz="4" w:space="0" w:color="auto"/>
              <w:left w:val="single" w:sz="4" w:space="0" w:color="auto"/>
              <w:bottom w:val="single" w:sz="4" w:space="0" w:color="auto"/>
              <w:right w:val="single" w:sz="4" w:space="0" w:color="auto"/>
            </w:tcBorders>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EBRD*</w:t>
            </w:r>
            <w:r w:rsidRPr="00C45467">
              <w:rPr>
                <w:rFonts w:ascii="Arial Narrow" w:hAnsi="Arial Narrow" w:cs="Arial Narrow"/>
                <w:sz w:val="16"/>
                <w:szCs w:val="16"/>
                <w:lang w:eastAsia="sk-SK"/>
              </w:rPr>
              <w:t xml:space="preserve"> - Úhrada II. splátky kapitálu SR do Fondu pre krajiny západného Balkánu</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268,7</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c>
          <w:tcPr>
            <w:tcW w:w="880" w:type="dxa"/>
            <w:tcBorders>
              <w:top w:val="single" w:sz="4" w:space="0" w:color="auto"/>
              <w:left w:val="nil"/>
              <w:bottom w:val="single" w:sz="4" w:space="0" w:color="auto"/>
              <w:right w:val="single" w:sz="4" w:space="0" w:color="auto"/>
            </w:tcBorders>
            <w:textDirection w:val="lrTb"/>
            <w:vAlign w:val="center"/>
          </w:tcPr>
          <w:p w:rsidR="00DD0950" w:rsidRPr="00C45467" w:rsidP="006863AF">
            <w:pPr>
              <w:bidi w:val="0"/>
              <w:jc w:val="right"/>
              <w:rPr>
                <w:rFonts w:ascii="Arial Narrow" w:hAnsi="Arial Narrow" w:cs="Arial Narrow"/>
                <w:sz w:val="16"/>
                <w:szCs w:val="16"/>
                <w:lang w:eastAsia="sk-SK"/>
              </w:rPr>
            </w:pPr>
            <w:r w:rsidRPr="00C45467">
              <w:rPr>
                <w:rFonts w:ascii="Arial Narrow" w:hAnsi="Arial Narrow" w:cs="Arial Narrow"/>
                <w:sz w:val="16"/>
                <w:szCs w:val="16"/>
                <w:lang w:eastAsia="sk-SK"/>
              </w:rPr>
              <w:t>0,0</w:t>
            </w:r>
          </w:p>
        </w:tc>
      </w:tr>
      <w:tr>
        <w:tblPrEx>
          <w:tblW w:w="9140" w:type="dxa"/>
          <w:jc w:val="center"/>
          <w:tblCellMar>
            <w:left w:w="70" w:type="dxa"/>
            <w:right w:w="70" w:type="dxa"/>
          </w:tblCellMar>
        </w:tblPrEx>
        <w:trPr>
          <w:trHeight w:val="270"/>
          <w:jc w:val="center"/>
        </w:trPr>
        <w:tc>
          <w:tcPr>
            <w:tcW w:w="38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D0950" w:rsidRPr="00C45467" w:rsidP="006863AF">
            <w:pPr>
              <w:bidi w:val="0"/>
              <w:rPr>
                <w:rFonts w:ascii="Arial Narrow" w:hAnsi="Arial Narrow" w:cs="Arial Narrow"/>
                <w:b/>
                <w:bCs/>
                <w:sz w:val="16"/>
                <w:szCs w:val="16"/>
                <w:lang w:eastAsia="sk-SK"/>
              </w:rPr>
            </w:pPr>
            <w:r w:rsidRPr="00C45467">
              <w:rPr>
                <w:rFonts w:ascii="Arial Narrow" w:hAnsi="Arial Narrow" w:cs="Arial Narrow"/>
                <w:b/>
                <w:bCs/>
                <w:sz w:val="16"/>
                <w:szCs w:val="16"/>
                <w:lang w:eastAsia="sk-SK"/>
              </w:rPr>
              <w:t>SPOLU</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20 738,3</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10 211,2</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1 435,5</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4 866,2</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2 685,5</w:t>
            </w:r>
          </w:p>
        </w:tc>
        <w:tc>
          <w:tcPr>
            <w:tcW w:w="880" w:type="dxa"/>
            <w:tcBorders>
              <w:top w:val="single" w:sz="4" w:space="0" w:color="auto"/>
              <w:left w:val="nil"/>
              <w:bottom w:val="single" w:sz="4" w:space="0" w:color="auto"/>
              <w:right w:val="single" w:sz="4" w:space="0" w:color="auto"/>
            </w:tcBorders>
            <w:shd w:val="clear" w:color="auto" w:fill="C0C0C0"/>
            <w:noWrap/>
            <w:textDirection w:val="lrTb"/>
            <w:vAlign w:val="center"/>
          </w:tcPr>
          <w:p w:rsidR="00DD0950" w:rsidRPr="00C45467" w:rsidP="006863AF">
            <w:pPr>
              <w:bidi w:val="0"/>
              <w:jc w:val="right"/>
              <w:rPr>
                <w:rFonts w:ascii="Arial Narrow" w:hAnsi="Arial Narrow" w:cs="Arial Narrow"/>
                <w:b/>
                <w:bCs/>
                <w:sz w:val="16"/>
                <w:szCs w:val="16"/>
                <w:lang w:eastAsia="sk-SK"/>
              </w:rPr>
            </w:pPr>
            <w:r w:rsidRPr="00C45467">
              <w:rPr>
                <w:rFonts w:ascii="Arial Narrow" w:hAnsi="Arial Narrow" w:cs="Arial Narrow"/>
                <w:b/>
                <w:bCs/>
                <w:sz w:val="16"/>
                <w:szCs w:val="16"/>
                <w:lang w:eastAsia="sk-SK"/>
              </w:rPr>
              <w:t>2 801,9</w:t>
            </w:r>
          </w:p>
        </w:tc>
      </w:tr>
      <w:tr>
        <w:tblPrEx>
          <w:tblW w:w="9140" w:type="dxa"/>
          <w:jc w:val="center"/>
          <w:tblCellMar>
            <w:left w:w="70" w:type="dxa"/>
            <w:right w:w="70" w:type="dxa"/>
          </w:tblCellMar>
        </w:tblPrEx>
        <w:trPr>
          <w:trHeight w:val="165"/>
          <w:jc w:val="center"/>
        </w:trPr>
        <w:tc>
          <w:tcPr>
            <w:tcW w:w="9140" w:type="dxa"/>
            <w:gridSpan w:val="7"/>
            <w:tcBorders>
              <w:top w:val="single" w:sz="4" w:space="0" w:color="auto"/>
              <w:left w:val="nil"/>
              <w:bottom w:val="nil"/>
              <w:right w:val="nil"/>
            </w:tcBorders>
            <w:textDirection w:val="lrTb"/>
            <w:vAlign w:val="center"/>
          </w:tcPr>
          <w:p w:rsidR="00DD0950" w:rsidRPr="00C45467" w:rsidP="006863AF">
            <w:pPr>
              <w:bidi w:val="0"/>
              <w:rPr>
                <w:rFonts w:ascii="Arial Narrow" w:hAnsi="Arial Narrow" w:cs="Arial Narrow"/>
                <w:sz w:val="16"/>
                <w:szCs w:val="16"/>
                <w:lang w:eastAsia="sk-SK"/>
              </w:rPr>
            </w:pPr>
            <w:r w:rsidRPr="00C45467">
              <w:rPr>
                <w:rFonts w:ascii="Arial Narrow" w:hAnsi="Arial Narrow" w:cs="Arial Narrow"/>
                <w:sz w:val="16"/>
                <w:szCs w:val="16"/>
                <w:lang w:eastAsia="sk-SK"/>
              </w:rPr>
              <w:t>*-oficiálna rozvojová pomoc</w:t>
            </w:r>
          </w:p>
        </w:tc>
      </w:tr>
    </w:tbl>
    <w:p w:rsidR="00DD0950" w:rsidP="00DD0950">
      <w:pPr>
        <w:pStyle w:val="BodyText"/>
        <w:bidi w:val="0"/>
        <w:ind w:left="540" w:hanging="540"/>
        <w:outlineLvl w:val="0"/>
        <w:rPr>
          <w:rFonts w:ascii="Arial Narrow" w:hAnsi="Arial Narrow" w:cs="Arial Narrow"/>
          <w:sz w:val="22"/>
          <w:szCs w:val="22"/>
        </w:rPr>
      </w:pPr>
    </w:p>
    <w:p w:rsidR="00DD0950" w:rsidRPr="00301967" w:rsidP="00DD0950">
      <w:pPr>
        <w:bidi w:val="0"/>
        <w:jc w:val="both"/>
        <w:rPr>
          <w:rFonts w:ascii="Arial Narrow" w:hAnsi="Arial Narrow" w:cs="Arial Narrow"/>
          <w:i/>
          <w:iCs/>
          <w:sz w:val="22"/>
          <w:szCs w:val="22"/>
        </w:rPr>
      </w:pPr>
      <w:r w:rsidRPr="00301967">
        <w:rPr>
          <w:rFonts w:ascii="Arial Narrow" w:hAnsi="Arial Narrow" w:cs="Arial Narrow"/>
          <w:i/>
          <w:iCs/>
          <w:sz w:val="22"/>
          <w:szCs w:val="22"/>
        </w:rPr>
        <w:t>IDA - Med</w:t>
      </w:r>
      <w:r>
        <w:rPr>
          <w:rFonts w:ascii="Arial Narrow" w:hAnsi="Arial Narrow" w:cs="Arial Narrow"/>
          <w:i/>
          <w:iCs/>
          <w:sz w:val="22"/>
          <w:szCs w:val="22"/>
        </w:rPr>
        <w:t>zinárodné združenie pre rozvoj – príspevok na doplnenie zdrojov</w:t>
      </w:r>
    </w:p>
    <w:p w:rsidR="00DD0950" w:rsidP="00DD0950">
      <w:pPr>
        <w:bidi w:val="0"/>
        <w:jc w:val="both"/>
        <w:rPr>
          <w:rFonts w:ascii="Arial Narrow" w:hAnsi="Arial Narrow" w:cs="Arial Narrow"/>
          <w:color w:val="000000"/>
          <w:sz w:val="22"/>
          <w:szCs w:val="22"/>
          <w:u w:val="single"/>
        </w:rPr>
      </w:pPr>
      <w:r>
        <w:rPr>
          <w:rFonts w:ascii="Arial Narrow" w:hAnsi="Arial Narrow" w:cs="Arial Narrow"/>
          <w:sz w:val="22"/>
          <w:szCs w:val="22"/>
        </w:rPr>
        <w:t xml:space="preserve">Pristúpením SR k 15. navýšeniu zdrojov IDA budú poskytnuté prostriedky vo výške 680 tis. eur v roku 2011. </w:t>
      </w:r>
      <w:r w:rsidRPr="00E053D5">
        <w:rPr>
          <w:rFonts w:ascii="Arial Narrow" w:hAnsi="Arial Narrow" w:cs="Arial Narrow"/>
          <w:color w:val="000000"/>
          <w:sz w:val="22"/>
          <w:szCs w:val="22"/>
        </w:rPr>
        <w:t>V roku 2010 prebiehajú rokovania členských štátov IDA ohľadne 16. doplnenia zdrojov IDA, ktoré sa má stať účinným od roku 2012. V rámci momentálne existujúcich finančných scenárov 16. doplnenia zdrojov IDA sa predpokladá navýšenie celkového objemu zdrojov o max. 30</w:t>
      </w:r>
      <w:r>
        <w:rPr>
          <w:rFonts w:ascii="Arial Narrow" w:hAnsi="Arial Narrow" w:cs="Arial Narrow"/>
          <w:color w:val="000000"/>
          <w:sz w:val="22"/>
          <w:szCs w:val="22"/>
        </w:rPr>
        <w:t xml:space="preserve"> </w:t>
      </w:r>
      <w:r w:rsidRPr="00E053D5">
        <w:rPr>
          <w:rFonts w:ascii="Arial Narrow" w:hAnsi="Arial Narrow" w:cs="Arial Narrow"/>
          <w:color w:val="000000"/>
          <w:sz w:val="22"/>
          <w:szCs w:val="22"/>
        </w:rPr>
        <w:t>% v porovnaní s 15. doplnením zdrojov IDA (účinné na roky 2009</w:t>
      </w:r>
      <w:r>
        <w:rPr>
          <w:rFonts w:ascii="Arial Narrow" w:hAnsi="Arial Narrow" w:cs="Arial Narrow"/>
          <w:color w:val="000000"/>
          <w:sz w:val="22"/>
          <w:szCs w:val="22"/>
        </w:rPr>
        <w:t xml:space="preserve"> </w:t>
      </w:r>
      <w:r w:rsidRPr="00E053D5">
        <w:rPr>
          <w:rFonts w:ascii="Arial Narrow" w:hAnsi="Arial Narrow" w:cs="Arial Narrow"/>
          <w:color w:val="000000"/>
          <w:sz w:val="22"/>
          <w:szCs w:val="22"/>
        </w:rPr>
        <w:t>-</w:t>
      </w:r>
      <w:r>
        <w:rPr>
          <w:rFonts w:ascii="Arial Narrow" w:hAnsi="Arial Narrow" w:cs="Arial Narrow"/>
          <w:color w:val="000000"/>
          <w:sz w:val="22"/>
          <w:szCs w:val="22"/>
        </w:rPr>
        <w:t xml:space="preserve"> </w:t>
      </w:r>
      <w:r w:rsidRPr="00E053D5">
        <w:rPr>
          <w:rFonts w:ascii="Arial Narrow" w:hAnsi="Arial Narrow" w:cs="Arial Narrow"/>
          <w:color w:val="000000"/>
          <w:sz w:val="22"/>
          <w:szCs w:val="22"/>
        </w:rPr>
        <w:t>2011). Pre SR by to v prípade jej zapojenia znamenalo zvýšenie ročného príspevku do IDA na cca. 900 </w:t>
      </w:r>
      <w:r>
        <w:rPr>
          <w:rFonts w:ascii="Arial Narrow" w:hAnsi="Arial Narrow" w:cs="Arial Narrow"/>
          <w:color w:val="000000"/>
          <w:sz w:val="22"/>
          <w:szCs w:val="22"/>
        </w:rPr>
        <w:t>tis.</w:t>
      </w:r>
      <w:r w:rsidRPr="00E053D5">
        <w:rPr>
          <w:rFonts w:ascii="Arial Narrow" w:hAnsi="Arial Narrow" w:cs="Arial Narrow"/>
          <w:color w:val="000000"/>
          <w:sz w:val="22"/>
          <w:szCs w:val="22"/>
        </w:rPr>
        <w:t xml:space="preserve"> </w:t>
      </w:r>
      <w:r>
        <w:rPr>
          <w:rFonts w:ascii="Arial Narrow" w:hAnsi="Arial Narrow" w:cs="Arial Narrow"/>
          <w:color w:val="000000"/>
          <w:sz w:val="22"/>
          <w:szCs w:val="22"/>
        </w:rPr>
        <w:t>eur ročne</w:t>
      </w:r>
      <w:r w:rsidRPr="00E053D5">
        <w:rPr>
          <w:rFonts w:ascii="Arial Narrow" w:hAnsi="Arial Narrow" w:cs="Arial Narrow"/>
          <w:color w:val="000000"/>
          <w:sz w:val="22"/>
          <w:szCs w:val="22"/>
        </w:rPr>
        <w:t>.</w:t>
      </w:r>
    </w:p>
    <w:p w:rsidR="00DD0950" w:rsidRPr="00920F81" w:rsidP="00DD0950">
      <w:pPr>
        <w:autoSpaceDE w:val="0"/>
        <w:autoSpaceDN w:val="0"/>
        <w:bidi w:val="0"/>
        <w:adjustRightInd w:val="0"/>
        <w:jc w:val="both"/>
        <w:rPr>
          <w:rFonts w:ascii="Arial Narrow" w:hAnsi="Arial Narrow" w:cs="Arial Narrow"/>
          <w:sz w:val="10"/>
          <w:szCs w:val="10"/>
        </w:rPr>
      </w:pPr>
    </w:p>
    <w:p w:rsidR="00DD0950" w:rsidRPr="00920F81" w:rsidP="00DD0950">
      <w:pPr>
        <w:bidi w:val="0"/>
        <w:jc w:val="both"/>
        <w:rPr>
          <w:rFonts w:ascii="Arial Narrow" w:hAnsi="Arial Narrow" w:cs="Arial Narrow"/>
          <w:i/>
          <w:iCs/>
          <w:sz w:val="22"/>
          <w:szCs w:val="22"/>
        </w:rPr>
      </w:pPr>
      <w:r w:rsidRPr="00920F81">
        <w:rPr>
          <w:rFonts w:ascii="Arial Narrow" w:hAnsi="Arial Narrow" w:cs="Arial Narrow"/>
          <w:i/>
          <w:iCs/>
          <w:sz w:val="22"/>
          <w:szCs w:val="22"/>
        </w:rPr>
        <w:t>IBRD - Medzinárodná banka pre obnovu a rozvoj – rezerva na valorizáciu akcií SR</w:t>
      </w:r>
    </w:p>
    <w:p w:rsidR="00DD0950" w:rsidRPr="007373DB" w:rsidP="00DD0950">
      <w:pPr>
        <w:bidi w:val="0"/>
        <w:jc w:val="both"/>
        <w:rPr>
          <w:rFonts w:ascii="Arial Narrow" w:hAnsi="Arial Narrow" w:cs="Arial Narrow"/>
          <w:sz w:val="22"/>
          <w:szCs w:val="22"/>
          <w:u w:val="single"/>
        </w:rPr>
      </w:pPr>
      <w:r>
        <w:rPr>
          <w:rFonts w:ascii="Arial Narrow" w:hAnsi="Arial Narrow" w:cs="Arial Narrow"/>
          <w:sz w:val="22"/>
          <w:szCs w:val="22"/>
        </w:rPr>
        <w:t xml:space="preserve">V rámci rozpočtového rámca na roky 2011 až 2013 sa navrhuje vyčleniť 5 mil. eur ako rezerva na valorizáciu akcií Slovenskej republiky, a to v súvislosti s tým, že hodnota akcií, nakoľko je evidovaná v USD, sa mení v závislosti </w:t>
      </w:r>
      <w:r w:rsidR="005924FD">
        <w:rPr>
          <w:rFonts w:ascii="Arial Narrow" w:hAnsi="Arial Narrow" w:cs="Arial Narrow"/>
          <w:sz w:val="22"/>
          <w:szCs w:val="22"/>
        </w:rPr>
        <w:t xml:space="preserve">od </w:t>
      </w:r>
      <w:r>
        <w:rPr>
          <w:rFonts w:ascii="Arial Narrow" w:hAnsi="Arial Narrow" w:cs="Arial Narrow"/>
          <w:sz w:val="22"/>
          <w:szCs w:val="22"/>
        </w:rPr>
        <w:t>zmeny kurzu EUR voči USD.</w:t>
      </w:r>
    </w:p>
    <w:p w:rsidR="00DD0950" w:rsidRPr="00920F81" w:rsidP="00DD0950">
      <w:pPr>
        <w:bidi w:val="0"/>
        <w:jc w:val="both"/>
        <w:rPr>
          <w:rFonts w:ascii="Arial Narrow" w:hAnsi="Arial Narrow" w:cs="Arial Narrow"/>
          <w:noProof/>
          <w:sz w:val="10"/>
          <w:szCs w:val="10"/>
        </w:rPr>
      </w:pPr>
    </w:p>
    <w:p w:rsidR="00DD0950" w:rsidRPr="00920F81" w:rsidP="00DD0950">
      <w:pPr>
        <w:bidi w:val="0"/>
        <w:jc w:val="both"/>
        <w:rPr>
          <w:rFonts w:ascii="Arial Narrow" w:hAnsi="Arial Narrow" w:cs="Arial Narrow"/>
          <w:i/>
          <w:iCs/>
          <w:sz w:val="22"/>
          <w:szCs w:val="22"/>
        </w:rPr>
      </w:pPr>
      <w:r w:rsidRPr="00920F81">
        <w:rPr>
          <w:rFonts w:ascii="Arial Narrow" w:hAnsi="Arial Narrow" w:cs="Arial Narrow"/>
          <w:i/>
          <w:iCs/>
          <w:sz w:val="22"/>
          <w:szCs w:val="22"/>
        </w:rPr>
        <w:t>IBRD  - Medzinárodná banka pre obnovu a rozvoj – zvýšenie kapitálu</w:t>
      </w:r>
    </w:p>
    <w:p w:rsidR="00DD0950" w:rsidRPr="007373DB" w:rsidP="00DD0950">
      <w:pPr>
        <w:autoSpaceDE w:val="0"/>
        <w:autoSpaceDN w:val="0"/>
        <w:bidi w:val="0"/>
        <w:adjustRightInd w:val="0"/>
        <w:spacing w:line="240" w:lineRule="atLeast"/>
        <w:jc w:val="both"/>
        <w:rPr>
          <w:rFonts w:ascii="Arial Narrow" w:hAnsi="Arial Narrow" w:cs="Arial Narrow"/>
          <w:sz w:val="22"/>
          <w:szCs w:val="22"/>
          <w:u w:val="single"/>
        </w:rPr>
      </w:pPr>
      <w:r w:rsidRPr="007705A9">
        <w:rPr>
          <w:rFonts w:ascii="Arial Narrow" w:hAnsi="Arial Narrow" w:cs="Arial Narrow"/>
          <w:sz w:val="22"/>
          <w:szCs w:val="22"/>
        </w:rPr>
        <w:t xml:space="preserve">V súvislosti s reformou hlasovania a členských podielov v IBRD a zvýšenými požiadavkami na poskytovanie rozvojových zdrojov IBRD z dôvodu globálnej finančnej a hospodárskej krízy IBRD </w:t>
      </w:r>
      <w:r>
        <w:rPr>
          <w:rFonts w:ascii="Arial Narrow" w:hAnsi="Arial Narrow" w:cs="Arial Narrow"/>
          <w:sz w:val="22"/>
          <w:szCs w:val="22"/>
        </w:rPr>
        <w:t xml:space="preserve">v apríli 2010 </w:t>
      </w:r>
      <w:r w:rsidRPr="007705A9">
        <w:rPr>
          <w:rFonts w:ascii="Arial Narrow" w:hAnsi="Arial Narrow" w:cs="Arial Narrow"/>
          <w:sz w:val="22"/>
          <w:szCs w:val="22"/>
        </w:rPr>
        <w:t>schvá</w:t>
      </w:r>
      <w:r>
        <w:rPr>
          <w:rFonts w:ascii="Arial Narrow" w:hAnsi="Arial Narrow" w:cs="Arial Narrow"/>
          <w:sz w:val="22"/>
          <w:szCs w:val="22"/>
        </w:rPr>
        <w:t>li</w:t>
      </w:r>
      <w:r w:rsidRPr="007705A9">
        <w:rPr>
          <w:rFonts w:ascii="Arial Narrow" w:hAnsi="Arial Narrow" w:cs="Arial Narrow"/>
          <w:sz w:val="22"/>
          <w:szCs w:val="22"/>
        </w:rPr>
        <w:t>l</w:t>
      </w:r>
      <w:r>
        <w:rPr>
          <w:rFonts w:ascii="Arial Narrow" w:hAnsi="Arial Narrow" w:cs="Arial Narrow"/>
          <w:sz w:val="22"/>
          <w:szCs w:val="22"/>
        </w:rPr>
        <w:t>a</w:t>
      </w:r>
      <w:r w:rsidRPr="007705A9">
        <w:rPr>
          <w:rFonts w:ascii="Arial Narrow" w:hAnsi="Arial Narrow" w:cs="Arial Narrow"/>
          <w:sz w:val="22"/>
          <w:szCs w:val="22"/>
        </w:rPr>
        <w:t xml:space="preserve"> </w:t>
      </w:r>
      <w:r>
        <w:rPr>
          <w:rFonts w:ascii="Arial Narrow" w:hAnsi="Arial Narrow" w:cs="Arial Narrow"/>
          <w:sz w:val="22"/>
          <w:szCs w:val="22"/>
        </w:rPr>
        <w:t>zvýšenie</w:t>
      </w:r>
      <w:r w:rsidRPr="007705A9">
        <w:rPr>
          <w:rFonts w:ascii="Arial Narrow" w:hAnsi="Arial Narrow" w:cs="Arial Narrow"/>
          <w:sz w:val="22"/>
          <w:szCs w:val="22"/>
        </w:rPr>
        <w:t xml:space="preserve"> svojho kapitálu</w:t>
      </w:r>
      <w:r>
        <w:rPr>
          <w:rFonts w:ascii="Arial Narrow" w:hAnsi="Arial Narrow" w:cs="Arial Narrow"/>
          <w:sz w:val="22"/>
          <w:szCs w:val="22"/>
        </w:rPr>
        <w:t xml:space="preserve">, ktoré </w:t>
      </w:r>
      <w:r w:rsidRPr="007705A9">
        <w:rPr>
          <w:rFonts w:ascii="Arial Narrow" w:hAnsi="Arial Narrow" w:cs="Arial Narrow"/>
          <w:sz w:val="22"/>
          <w:szCs w:val="22"/>
        </w:rPr>
        <w:t>bude financované zo strany členských krajín IBRD.</w:t>
      </w:r>
      <w:r>
        <w:rPr>
          <w:rFonts w:ascii="Arial Narrow" w:hAnsi="Arial Narrow" w:cs="Arial Narrow"/>
          <w:sz w:val="22"/>
          <w:szCs w:val="22"/>
        </w:rPr>
        <w:t xml:space="preserve"> V tejto súvislosti sa navrhuje vyčleniť pre rok 2011 čiastku 2 mil. eur.</w:t>
      </w:r>
    </w:p>
    <w:p w:rsidR="00DD0950" w:rsidRPr="00920F81" w:rsidP="00DD0950">
      <w:pPr>
        <w:bidi w:val="0"/>
        <w:rPr>
          <w:rFonts w:ascii="Arial Narrow" w:hAnsi="Arial Narrow" w:cs="Arial Narrow"/>
          <w:color w:val="1F497D"/>
          <w:sz w:val="10"/>
          <w:szCs w:val="10"/>
        </w:rPr>
      </w:pPr>
    </w:p>
    <w:p w:rsidR="00DD0950" w:rsidRPr="00920F81" w:rsidP="00DD0950">
      <w:pPr>
        <w:bidi w:val="0"/>
        <w:jc w:val="both"/>
        <w:rPr>
          <w:rFonts w:ascii="Arial Narrow" w:hAnsi="Arial Narrow" w:cs="Arial Narrow"/>
          <w:i/>
          <w:iCs/>
          <w:sz w:val="22"/>
          <w:szCs w:val="22"/>
        </w:rPr>
      </w:pPr>
      <w:r w:rsidRPr="00920F81">
        <w:rPr>
          <w:rFonts w:ascii="Arial Narrow" w:hAnsi="Arial Narrow" w:cs="Arial Narrow"/>
          <w:i/>
          <w:iCs/>
          <w:sz w:val="22"/>
          <w:szCs w:val="22"/>
        </w:rPr>
        <w:t>EIB - Európska investičná banka - poskytnutie záruky SR v prospech EIB na základe záručnej zmluvy</w:t>
      </w:r>
    </w:p>
    <w:p w:rsidR="00DD0950" w:rsidRPr="007373DB" w:rsidP="00DD0950">
      <w:pPr>
        <w:autoSpaceDE w:val="0"/>
        <w:autoSpaceDN w:val="0"/>
        <w:bidi w:val="0"/>
        <w:adjustRightInd w:val="0"/>
        <w:spacing w:line="240" w:lineRule="atLeast"/>
        <w:jc w:val="both"/>
        <w:rPr>
          <w:rFonts w:ascii="Arial Narrow" w:hAnsi="Arial Narrow" w:cs="Arial Narrow"/>
          <w:color w:val="000000"/>
          <w:sz w:val="22"/>
          <w:szCs w:val="22"/>
          <w:u w:val="single"/>
        </w:rPr>
      </w:pPr>
      <w:r>
        <w:rPr>
          <w:rFonts w:ascii="Arial Narrow" w:hAnsi="Arial Narrow" w:cs="Arial Narrow"/>
          <w:sz w:val="22"/>
          <w:szCs w:val="22"/>
        </w:rPr>
        <w:t xml:space="preserve">Vláda SR uznesením č. 606 z 10. septembra 2008  súhlasila s uzatvorením Záručnej zmluvy medzi členskými štátmi EIB a EIB ohľadom úverov, ktoré poskytne EIB v prospech investičných projektov v štátoch Afriky, Karibiku a Tichomoria a v zámorských krajinách a územiach. Na základe tejto záručnej zmluvy SR poskytne záruku v prospech EIB. Očakávaná čistá angažovanosť SR z titulu uplatnených záruk v EUR predstavuje čiastky vo výške 186,2 tis. eur v roku 2011, 285,5 tis. eur v roku 2012 a vo výške 401,9 tis. eur v roku 2013. Tieto prostriedky predstavujú aktíva SR a budú úročené do okamihu uplatnenia záruky.  </w:t>
      </w:r>
    </w:p>
    <w:p w:rsidR="00DD0950" w:rsidRPr="007B0A8E" w:rsidP="00DD0950">
      <w:pPr>
        <w:pStyle w:val="BodyText"/>
        <w:widowControl w:val="0"/>
        <w:bidi w:val="0"/>
        <w:outlineLvl w:val="0"/>
        <w:rPr>
          <w:rFonts w:ascii="Arial Narrow" w:hAnsi="Arial Narrow" w:cs="Arial Narrow"/>
          <w:sz w:val="22"/>
          <w:szCs w:val="22"/>
          <w:highlight w:val="yellow"/>
        </w:rPr>
      </w:pPr>
    </w:p>
    <w:p w:rsidR="00DD0950" w:rsidRPr="003B2DEA" w:rsidP="00DD0950">
      <w:pPr>
        <w:pStyle w:val="Heading1"/>
        <w:bidi w:val="0"/>
        <w:spacing w:after="0"/>
        <w:rPr>
          <w:rFonts w:ascii="Arial Narrow" w:hAnsi="Arial Narrow" w:cs="Arial Narrow"/>
          <w:sz w:val="28"/>
          <w:szCs w:val="28"/>
        </w:rPr>
      </w:pPr>
      <w:bookmarkStart w:id="90" w:name="_Toc141529503"/>
      <w:bookmarkStart w:id="91" w:name="_Toc143348617"/>
      <w:bookmarkStart w:id="92" w:name="_Toc148255264"/>
      <w:bookmarkStart w:id="93" w:name="_Toc174871979"/>
      <w:bookmarkStart w:id="94" w:name="_Toc206478414"/>
      <w:bookmarkStart w:id="95" w:name="_Toc241846652"/>
      <w:bookmarkStart w:id="96" w:name="_Toc273979635"/>
      <w:bookmarkEnd w:id="89"/>
      <w:r w:rsidRPr="003B2DEA">
        <w:rPr>
          <w:rFonts w:ascii="Arial Narrow" w:hAnsi="Arial Narrow" w:cs="Arial Narrow"/>
          <w:sz w:val="28"/>
          <w:szCs w:val="28"/>
        </w:rPr>
        <w:t>6. Štátny rozpočet v metodike ESA 95</w:t>
      </w:r>
      <w:bookmarkEnd w:id="90"/>
      <w:bookmarkEnd w:id="91"/>
      <w:bookmarkEnd w:id="92"/>
      <w:bookmarkEnd w:id="93"/>
      <w:bookmarkEnd w:id="94"/>
      <w:bookmarkEnd w:id="95"/>
      <w:bookmarkEnd w:id="96"/>
    </w:p>
    <w:p w:rsidR="00DD0950" w:rsidRPr="00362451" w:rsidP="00DD0950">
      <w:pPr>
        <w:bidi w:val="0"/>
        <w:jc w:val="both"/>
        <w:rPr>
          <w:rFonts w:ascii="Arial Narrow" w:hAnsi="Arial Narrow" w:cs="Arial Narrow"/>
          <w:sz w:val="22"/>
          <w:szCs w:val="22"/>
        </w:rPr>
      </w:pPr>
    </w:p>
    <w:p w:rsidR="00DD0950" w:rsidP="00335880">
      <w:pPr>
        <w:pStyle w:val="BodyTextIndent"/>
        <w:bidi w:val="0"/>
        <w:spacing w:after="0"/>
        <w:ind w:left="0" w:firstLine="708"/>
        <w:jc w:val="both"/>
        <w:rPr>
          <w:rFonts w:ascii="Arial Narrow" w:hAnsi="Arial Narrow" w:cs="Arial Narrow"/>
          <w:sz w:val="22"/>
          <w:szCs w:val="22"/>
        </w:rPr>
      </w:pPr>
      <w:r>
        <w:rPr>
          <w:rFonts w:ascii="Arial Narrow" w:hAnsi="Arial Narrow" w:cs="Arial Narrow"/>
          <w:sz w:val="22"/>
          <w:szCs w:val="22"/>
        </w:rPr>
        <w:t>Na schodok štátneho rozpočtu na hotovostnom princípe majú vplyv modifikujúce faktory, ktoré predstavujú rozdiel medzi rozpočtovaním na hotovostnom a na akruálnom princípe (metodika ESA 95). Súčasťou modifikujúcich faktorov je saldo rozpočtových operácií štátnych finančných aktív bez finančných operácií a zahrnutie položiek časového rozlíšenia daňových príjmov, úrokov súvisiacich s obsluhou štátneho dlhu, medziročná zmena stavu pohľadávok SR voči EÚ a medziročná zmena objemu prenášaných limitov výdavkov štátneho rozpočtu</w:t>
      </w:r>
      <w:r w:rsidRPr="00DF0A80">
        <w:rPr>
          <w:rFonts w:ascii="Arial Narrow" w:hAnsi="Arial Narrow" w:cs="Arial Narrow"/>
          <w:sz w:val="22"/>
          <w:szCs w:val="22"/>
        </w:rPr>
        <w:t>.</w:t>
      </w:r>
      <w:r>
        <w:rPr>
          <w:rFonts w:ascii="Arial Narrow" w:hAnsi="Arial Narrow" w:cs="Arial Narrow"/>
          <w:sz w:val="22"/>
          <w:szCs w:val="22"/>
        </w:rPr>
        <w:t xml:space="preserve"> </w:t>
      </w:r>
    </w:p>
    <w:p w:rsidR="00DD0950" w:rsidP="00DD0950">
      <w:pPr>
        <w:pStyle w:val="BodyTextIndent"/>
        <w:bidi w:val="0"/>
        <w:spacing w:after="0"/>
        <w:ind w:firstLine="709"/>
        <w:jc w:val="both"/>
        <w:rPr>
          <w:rFonts w:ascii="Arial Narrow" w:hAnsi="Arial Narrow" w:cs="Arial Narrow"/>
          <w:sz w:val="22"/>
          <w:szCs w:val="22"/>
        </w:rPr>
      </w:pPr>
    </w:p>
    <w:tbl>
      <w:tblPr>
        <w:tblStyle w:val="TableNormal"/>
        <w:tblW w:w="9140" w:type="dxa"/>
        <w:jc w:val="center"/>
        <w:tblCellMar>
          <w:left w:w="70" w:type="dxa"/>
          <w:right w:w="70" w:type="dxa"/>
        </w:tblCellMar>
      </w:tblPr>
      <w:tblGrid>
        <w:gridCol w:w="3860"/>
        <w:gridCol w:w="880"/>
        <w:gridCol w:w="880"/>
        <w:gridCol w:w="880"/>
        <w:gridCol w:w="880"/>
        <w:gridCol w:w="880"/>
        <w:gridCol w:w="880"/>
      </w:tblGrid>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noWrap/>
            <w:textDirection w:val="lrTb"/>
            <w:vAlign w:val="top"/>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2013 N</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shd w:val="clear" w:color="auto" w:fill="C0C0C0"/>
            <w:noWrap/>
            <w:textDirection w:val="lrTb"/>
            <w:vAlign w:val="center"/>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Modifikujúce faktory</w:t>
            </w:r>
            <w:r w:rsidRPr="00DA32B2">
              <w:rPr>
                <w:rFonts w:ascii="Arial Narrow" w:hAnsi="Arial Narrow" w:cs="Arial Narrow"/>
                <w:sz w:val="16"/>
                <w:szCs w:val="16"/>
                <w:lang w:eastAsia="sk-SK"/>
              </w:rPr>
              <w:t>, z toho:</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-989 179</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-1 562 404</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226 385</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106 435</w:t>
            </w:r>
          </w:p>
        </w:tc>
        <w:tc>
          <w:tcPr>
            <w:tcW w:w="880" w:type="dxa"/>
            <w:tcBorders>
              <w:top w:val="nil"/>
              <w:left w:val="nil"/>
              <w:bottom w:val="single" w:sz="4"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7 092</w:t>
            </w:r>
          </w:p>
        </w:tc>
        <w:tc>
          <w:tcPr>
            <w:tcW w:w="880" w:type="dxa"/>
            <w:tcBorders>
              <w:top w:val="nil"/>
              <w:left w:val="nil"/>
              <w:bottom w:val="single" w:sz="4" w:space="0" w:color="auto"/>
              <w:right w:val="single" w:sz="8"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-102 590</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1. saldo rozpočtových operácií ŠFA bez FO</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-557 127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-1 297 048</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14 117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35 873</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22 008</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22 340</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2. medziročná zmena stavu mimorozpočtových účtov</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-697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56 452</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-14 607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3. vplyv čas. rozlíšenia platených úrokov</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-103 266</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-164 206</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36 187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-106 781</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89 141</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-40 197</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4. časové rozlíšenie daňových príjmov</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-151 895</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-394 970</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22 848</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177 343</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-104 057</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-84 733</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5. medziročná zmena stavu pohľadávok EÚ</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84 147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235 047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167 840</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r>
      <w:tr>
        <w:tblPrEx>
          <w:tblW w:w="9140" w:type="dxa"/>
          <w:jc w:val="center"/>
          <w:tblCellMar>
            <w:left w:w="70" w:type="dxa"/>
            <w:right w:w="70" w:type="dxa"/>
          </w:tblCellMar>
        </w:tblPrEx>
        <w:trPr>
          <w:trHeight w:val="270"/>
          <w:jc w:val="center"/>
        </w:trPr>
        <w:tc>
          <w:tcPr>
            <w:tcW w:w="3860" w:type="dxa"/>
            <w:tcBorders>
              <w:top w:val="nil"/>
              <w:left w:val="single" w:sz="8" w:space="0" w:color="auto"/>
              <w:bottom w:val="single" w:sz="8"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6. ostatné úpravy</w:t>
            </w:r>
          </w:p>
        </w:tc>
        <w:tc>
          <w:tcPr>
            <w:tcW w:w="880" w:type="dxa"/>
            <w:tcBorders>
              <w:top w:val="nil"/>
              <w:left w:val="nil"/>
              <w:bottom w:val="single" w:sz="8"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-260 341</w:t>
            </w:r>
          </w:p>
        </w:tc>
        <w:tc>
          <w:tcPr>
            <w:tcW w:w="880" w:type="dxa"/>
            <w:tcBorders>
              <w:top w:val="nil"/>
              <w:left w:val="nil"/>
              <w:bottom w:val="single" w:sz="8"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2 321</w:t>
            </w:r>
          </w:p>
        </w:tc>
        <w:tc>
          <w:tcPr>
            <w:tcW w:w="880" w:type="dxa"/>
            <w:tcBorders>
              <w:top w:val="nil"/>
              <w:left w:val="nil"/>
              <w:bottom w:val="single" w:sz="8"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8"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8"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c>
          <w:tcPr>
            <w:tcW w:w="880" w:type="dxa"/>
            <w:tcBorders>
              <w:top w:val="nil"/>
              <w:left w:val="nil"/>
              <w:bottom w:val="single" w:sz="8"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0</w:t>
            </w:r>
          </w:p>
        </w:tc>
      </w:tr>
    </w:tbl>
    <w:p w:rsidR="00DD0950" w:rsidP="00DD0950">
      <w:pPr>
        <w:bidi w:val="0"/>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6.1.</w:t>
        <w:tab/>
        <w:t>Saldo rozpočtových operácií štátnych finančných aktív bez finančných operácií je uvedené v predchádzajúcej časti 5. Štátne finančné aktíva.</w:t>
      </w:r>
    </w:p>
    <w:p w:rsidR="00DD0950" w:rsidP="00DD0950">
      <w:pPr>
        <w:bidi w:val="0"/>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6.2.</w:t>
        <w:tab/>
        <w:t>Schodok štátneho rozpočtu je taktiež ovplyvnený medziročnou zmenou stavu na mimorozpočtových účtoch. V rámci rozpočtového rámca 2011 až 2013 sa nepredpokladá medziročná zmena stavu na mimorozpočtových účtoch.</w:t>
      </w:r>
    </w:p>
    <w:p w:rsidR="00DD0950" w:rsidP="00DD0950">
      <w:pPr>
        <w:bidi w:val="0"/>
        <w:ind w:firstLine="708"/>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6.3</w:t>
      </w:r>
      <w:r w:rsidRPr="00DF0A80">
        <w:rPr>
          <w:rFonts w:ascii="Arial Narrow" w:hAnsi="Arial Narrow" w:cs="Arial Narrow"/>
          <w:sz w:val="22"/>
          <w:szCs w:val="22"/>
        </w:rPr>
        <w:t>.</w:t>
        <w:tab/>
        <w:t>Položky časového rozlíšenia štátneho rozpočtu obsahujú vplyv časového rozlíšenia platených úrokov</w:t>
      </w:r>
      <w:r>
        <w:rPr>
          <w:rFonts w:ascii="Arial Narrow" w:hAnsi="Arial Narrow" w:cs="Arial Narrow"/>
          <w:sz w:val="22"/>
          <w:szCs w:val="22"/>
        </w:rPr>
        <w:t xml:space="preserve"> (rozdiel medzi objemom hotovostných a akruálnych úrokov) súvisiacich so štátnym dlhom. Očakávaný vývoj platených úrokov zobrazuje nasledovná tabuľka. </w:t>
      </w:r>
    </w:p>
    <w:p w:rsidR="00DD0950" w:rsidP="00DD0950">
      <w:pPr>
        <w:bidi w:val="0"/>
        <w:jc w:val="both"/>
        <w:rPr>
          <w:rFonts w:ascii="Arial Narrow" w:hAnsi="Arial Narrow" w:cs="Arial Narrow"/>
          <w:sz w:val="22"/>
          <w:szCs w:val="22"/>
        </w:rPr>
      </w:pPr>
    </w:p>
    <w:tbl>
      <w:tblPr>
        <w:tblStyle w:val="TableNormal"/>
        <w:tblW w:w="9140" w:type="dxa"/>
        <w:jc w:val="center"/>
        <w:tblCellMar>
          <w:left w:w="70" w:type="dxa"/>
          <w:right w:w="70" w:type="dxa"/>
        </w:tblCellMar>
      </w:tblPr>
      <w:tblGrid>
        <w:gridCol w:w="3860"/>
        <w:gridCol w:w="880"/>
        <w:gridCol w:w="880"/>
        <w:gridCol w:w="880"/>
        <w:gridCol w:w="880"/>
        <w:gridCol w:w="880"/>
        <w:gridCol w:w="880"/>
      </w:tblGrid>
      <w:tr>
        <w:tblPrEx>
          <w:tblW w:w="9140" w:type="dxa"/>
          <w:jc w:val="center"/>
          <w:tblCellMar>
            <w:left w:w="70" w:type="dxa"/>
            <w:right w:w="70" w:type="dxa"/>
          </w:tblCellMar>
        </w:tblPrEx>
        <w:trPr>
          <w:trHeight w:val="525"/>
          <w:jc w:val="center"/>
        </w:trPr>
        <w:tc>
          <w:tcPr>
            <w:tcW w:w="3860" w:type="dxa"/>
            <w:tcBorders>
              <w:top w:val="single" w:sz="8" w:space="0" w:color="auto"/>
              <w:left w:val="single" w:sz="8" w:space="0" w:color="auto"/>
              <w:bottom w:val="single" w:sz="8" w:space="0" w:color="auto"/>
              <w:right w:val="single" w:sz="4" w:space="0" w:color="auto"/>
            </w:tcBorders>
            <w:textDirection w:val="lrTb"/>
            <w:vAlign w:val="center"/>
          </w:tcPr>
          <w:p w:rsidR="00DD0950" w:rsidRPr="00906237" w:rsidP="006863AF">
            <w:pPr>
              <w:bidi w:val="0"/>
              <w:rPr>
                <w:rFonts w:ascii="Arial Narrow" w:hAnsi="Arial Narrow" w:cs="Arial Narrow"/>
                <w:b/>
                <w:bCs/>
                <w:sz w:val="16"/>
                <w:szCs w:val="16"/>
                <w:lang w:eastAsia="sk-SK"/>
              </w:rPr>
            </w:pPr>
            <w:r w:rsidRPr="00906237">
              <w:rPr>
                <w:rFonts w:ascii="Arial Narrow" w:hAnsi="Arial Narrow" w:cs="Arial Narrow"/>
                <w:b/>
                <w:bCs/>
                <w:sz w:val="16"/>
                <w:szCs w:val="16"/>
                <w:lang w:eastAsia="sk-SK"/>
              </w:rPr>
              <w:t>Platené úroky</w:t>
              <w:b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906237" w:rsidP="006863AF">
            <w:pPr>
              <w:bidi w:val="0"/>
              <w:jc w:val="center"/>
              <w:rPr>
                <w:rFonts w:ascii="Arial Narrow" w:hAnsi="Arial Narrow" w:cs="Arial Narrow"/>
                <w:b/>
                <w:bCs/>
                <w:sz w:val="16"/>
                <w:szCs w:val="16"/>
                <w:lang w:eastAsia="sk-SK"/>
              </w:rPr>
            </w:pPr>
            <w:r w:rsidRPr="00906237">
              <w:rPr>
                <w:rFonts w:ascii="Arial Narrow" w:hAnsi="Arial Narrow" w:cs="Arial Narrow"/>
                <w:b/>
                <w:bCs/>
                <w:sz w:val="16"/>
                <w:szCs w:val="16"/>
                <w:lang w:eastAsia="sk-SK"/>
              </w:rPr>
              <w:t>2013 N</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906237" w:rsidP="006863AF">
            <w:pPr>
              <w:bidi w:val="0"/>
              <w:rPr>
                <w:rFonts w:ascii="Arial Narrow" w:hAnsi="Arial Narrow" w:cs="Arial Narrow"/>
                <w:sz w:val="16"/>
                <w:szCs w:val="16"/>
                <w:lang w:eastAsia="sk-SK"/>
              </w:rPr>
            </w:pPr>
            <w:r w:rsidRPr="00906237">
              <w:rPr>
                <w:rFonts w:ascii="Arial Narrow" w:hAnsi="Arial Narrow" w:cs="Arial Narrow"/>
                <w:sz w:val="16"/>
                <w:szCs w:val="16"/>
                <w:lang w:eastAsia="sk-SK"/>
              </w:rPr>
              <w:t>Hotovostný princíp</w:t>
            </w:r>
          </w:p>
        </w:tc>
        <w:tc>
          <w:tcPr>
            <w:tcW w:w="880" w:type="dxa"/>
            <w:tcBorders>
              <w:top w:val="nil"/>
              <w:left w:val="nil"/>
              <w:bottom w:val="single" w:sz="4" w:space="0" w:color="auto"/>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884 917</w:t>
            </w:r>
          </w:p>
        </w:tc>
        <w:tc>
          <w:tcPr>
            <w:tcW w:w="880" w:type="dxa"/>
            <w:tcBorders>
              <w:top w:val="nil"/>
              <w:left w:val="nil"/>
              <w:bottom w:val="single" w:sz="4" w:space="0" w:color="auto"/>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762 712</w:t>
            </w:r>
          </w:p>
        </w:tc>
        <w:tc>
          <w:tcPr>
            <w:tcW w:w="880" w:type="dxa"/>
            <w:tcBorders>
              <w:top w:val="nil"/>
              <w:left w:val="nil"/>
              <w:bottom w:val="single" w:sz="4" w:space="0" w:color="auto"/>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965 691</w:t>
            </w:r>
          </w:p>
        </w:tc>
        <w:tc>
          <w:tcPr>
            <w:tcW w:w="880" w:type="dxa"/>
            <w:tcBorders>
              <w:top w:val="nil"/>
              <w:left w:val="nil"/>
              <w:bottom w:val="single" w:sz="4" w:space="0" w:color="auto"/>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1 1</w:t>
            </w:r>
            <w:r w:rsidR="002E2734">
              <w:rPr>
                <w:rFonts w:ascii="Arial Narrow" w:hAnsi="Arial Narrow" w:cs="Arial Narrow"/>
                <w:sz w:val="16"/>
                <w:szCs w:val="16"/>
                <w:lang w:eastAsia="sk-SK"/>
              </w:rPr>
              <w:t>6</w:t>
            </w:r>
            <w:r w:rsidRPr="00906237">
              <w:rPr>
                <w:rFonts w:ascii="Arial Narrow" w:hAnsi="Arial Narrow" w:cs="Arial Narrow"/>
                <w:sz w:val="16"/>
                <w:szCs w:val="16"/>
                <w:lang w:eastAsia="sk-SK"/>
              </w:rPr>
              <w:t>3 188</w:t>
            </w:r>
          </w:p>
        </w:tc>
        <w:tc>
          <w:tcPr>
            <w:tcW w:w="880" w:type="dxa"/>
            <w:tcBorders>
              <w:top w:val="nil"/>
              <w:left w:val="nil"/>
              <w:bottom w:val="single" w:sz="4" w:space="0" w:color="auto"/>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1 609 990</w:t>
            </w:r>
          </w:p>
        </w:tc>
        <w:tc>
          <w:tcPr>
            <w:tcW w:w="880" w:type="dxa"/>
            <w:tcBorders>
              <w:top w:val="nil"/>
              <w:left w:val="nil"/>
              <w:bottom w:val="single" w:sz="4" w:space="0" w:color="auto"/>
              <w:right w:val="single" w:sz="8"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1 645 031</w:t>
            </w:r>
          </w:p>
        </w:tc>
      </w:tr>
      <w:tr>
        <w:tblPrEx>
          <w:tblW w:w="9140" w:type="dxa"/>
          <w:jc w:val="center"/>
          <w:tblCellMar>
            <w:left w:w="70" w:type="dxa"/>
            <w:right w:w="70" w:type="dxa"/>
          </w:tblCellMar>
        </w:tblPrEx>
        <w:trPr>
          <w:trHeight w:val="270"/>
          <w:jc w:val="center"/>
        </w:trPr>
        <w:tc>
          <w:tcPr>
            <w:tcW w:w="3860" w:type="dxa"/>
            <w:tcBorders>
              <w:top w:val="nil"/>
              <w:left w:val="single" w:sz="8" w:space="0" w:color="auto"/>
              <w:bottom w:val="nil"/>
              <w:right w:val="single" w:sz="4" w:space="0" w:color="auto"/>
            </w:tcBorders>
            <w:noWrap/>
            <w:textDirection w:val="lrTb"/>
            <w:vAlign w:val="center"/>
          </w:tcPr>
          <w:p w:rsidR="00DD0950" w:rsidRPr="00906237" w:rsidP="006863AF">
            <w:pPr>
              <w:bidi w:val="0"/>
              <w:rPr>
                <w:rFonts w:ascii="Arial Narrow" w:hAnsi="Arial Narrow" w:cs="Arial Narrow"/>
                <w:sz w:val="16"/>
                <w:szCs w:val="16"/>
                <w:lang w:eastAsia="sk-SK"/>
              </w:rPr>
            </w:pPr>
            <w:r w:rsidRPr="00906237">
              <w:rPr>
                <w:rFonts w:ascii="Arial Narrow" w:hAnsi="Arial Narrow" w:cs="Arial Narrow"/>
                <w:sz w:val="16"/>
                <w:szCs w:val="16"/>
                <w:lang w:eastAsia="sk-SK"/>
              </w:rPr>
              <w:t>Akruálny princíp</w:t>
            </w:r>
          </w:p>
        </w:tc>
        <w:tc>
          <w:tcPr>
            <w:tcW w:w="880" w:type="dxa"/>
            <w:tcBorders>
              <w:top w:val="nil"/>
              <w:left w:val="nil"/>
              <w:bottom w:val="nil"/>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988 183</w:t>
            </w:r>
          </w:p>
        </w:tc>
        <w:tc>
          <w:tcPr>
            <w:tcW w:w="880" w:type="dxa"/>
            <w:tcBorders>
              <w:top w:val="nil"/>
              <w:left w:val="nil"/>
              <w:bottom w:val="nil"/>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926 918</w:t>
            </w:r>
          </w:p>
        </w:tc>
        <w:tc>
          <w:tcPr>
            <w:tcW w:w="880" w:type="dxa"/>
            <w:tcBorders>
              <w:top w:val="nil"/>
              <w:left w:val="nil"/>
              <w:bottom w:val="nil"/>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929 504</w:t>
            </w:r>
          </w:p>
        </w:tc>
        <w:tc>
          <w:tcPr>
            <w:tcW w:w="880" w:type="dxa"/>
            <w:tcBorders>
              <w:top w:val="nil"/>
              <w:left w:val="nil"/>
              <w:bottom w:val="nil"/>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002E2734">
              <w:rPr>
                <w:rFonts w:ascii="Arial Narrow" w:hAnsi="Arial Narrow" w:cs="Arial Narrow"/>
                <w:sz w:val="16"/>
                <w:szCs w:val="16"/>
                <w:lang w:eastAsia="sk-SK"/>
              </w:rPr>
              <w:t>1 26</w:t>
            </w:r>
            <w:r w:rsidRPr="00906237">
              <w:rPr>
                <w:rFonts w:ascii="Arial Narrow" w:hAnsi="Arial Narrow" w:cs="Arial Narrow"/>
                <w:sz w:val="16"/>
                <w:szCs w:val="16"/>
                <w:lang w:eastAsia="sk-SK"/>
              </w:rPr>
              <w:t>9 969</w:t>
            </w:r>
          </w:p>
        </w:tc>
        <w:tc>
          <w:tcPr>
            <w:tcW w:w="880" w:type="dxa"/>
            <w:tcBorders>
              <w:top w:val="nil"/>
              <w:left w:val="nil"/>
              <w:bottom w:val="nil"/>
              <w:right w:val="single" w:sz="4"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1 520 849</w:t>
            </w:r>
          </w:p>
        </w:tc>
        <w:tc>
          <w:tcPr>
            <w:tcW w:w="880" w:type="dxa"/>
            <w:tcBorders>
              <w:top w:val="nil"/>
              <w:left w:val="nil"/>
              <w:bottom w:val="nil"/>
              <w:right w:val="single" w:sz="8" w:space="0" w:color="auto"/>
            </w:tcBorders>
            <w:noWrap/>
            <w:textDirection w:val="lrTb"/>
            <w:vAlign w:val="center"/>
          </w:tcPr>
          <w:p w:rsidR="00DD0950" w:rsidRPr="00906237" w:rsidP="006863AF">
            <w:pPr>
              <w:bidi w:val="0"/>
              <w:jc w:val="right"/>
              <w:rPr>
                <w:rFonts w:ascii="Arial Narrow" w:hAnsi="Arial Narrow" w:cs="Arial Narrow"/>
                <w:sz w:val="16"/>
                <w:szCs w:val="16"/>
                <w:lang w:eastAsia="sk-SK"/>
              </w:rPr>
            </w:pPr>
            <w:r w:rsidRPr="00906237">
              <w:rPr>
                <w:rFonts w:ascii="Arial Narrow" w:hAnsi="Arial Narrow" w:cs="Arial Narrow"/>
                <w:sz w:val="16"/>
                <w:szCs w:val="16"/>
                <w:lang w:eastAsia="sk-SK"/>
              </w:rPr>
              <w:t>1 685 228</w:t>
            </w:r>
          </w:p>
        </w:tc>
      </w:tr>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shd w:val="clear" w:color="auto" w:fill="C0C0C0"/>
            <w:noWrap/>
            <w:textDirection w:val="lrTb"/>
            <w:vAlign w:val="center"/>
          </w:tcPr>
          <w:p w:rsidR="00DD0950" w:rsidRPr="00906237" w:rsidP="006863AF">
            <w:pPr>
              <w:bidi w:val="0"/>
              <w:rPr>
                <w:rFonts w:ascii="Arial Narrow" w:hAnsi="Arial Narrow" w:cs="Arial Narrow"/>
                <w:b/>
                <w:bCs/>
                <w:sz w:val="16"/>
                <w:szCs w:val="16"/>
                <w:lang w:eastAsia="sk-SK"/>
              </w:rPr>
            </w:pPr>
            <w:r w:rsidRPr="00906237">
              <w:rPr>
                <w:rFonts w:ascii="Arial Narrow" w:hAnsi="Arial Narrow" w:cs="Arial Narrow"/>
                <w:b/>
                <w:bCs/>
                <w:sz w:val="16"/>
                <w:szCs w:val="16"/>
                <w:lang w:eastAsia="sk-SK"/>
              </w:rPr>
              <w:t>Rozdiel</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-103 266</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-164 206</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36 187</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-106 781</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89 141</w:t>
            </w:r>
          </w:p>
        </w:tc>
        <w:tc>
          <w:tcPr>
            <w:tcW w:w="880" w:type="dxa"/>
            <w:tcBorders>
              <w:top w:val="single" w:sz="8" w:space="0" w:color="auto"/>
              <w:left w:val="nil"/>
              <w:bottom w:val="single" w:sz="8" w:space="0" w:color="auto"/>
              <w:right w:val="single" w:sz="8" w:space="0" w:color="auto"/>
            </w:tcBorders>
            <w:shd w:val="clear" w:color="auto" w:fill="C0C0C0"/>
            <w:noWrap/>
            <w:textDirection w:val="lrTb"/>
            <w:vAlign w:val="center"/>
          </w:tcPr>
          <w:p w:rsidR="00DD0950" w:rsidRPr="00906237" w:rsidP="006863AF">
            <w:pPr>
              <w:bidi w:val="0"/>
              <w:jc w:val="right"/>
              <w:rPr>
                <w:rFonts w:ascii="Arial Narrow" w:hAnsi="Arial Narrow" w:cs="Arial Narrow"/>
                <w:b/>
                <w:bCs/>
                <w:sz w:val="16"/>
                <w:szCs w:val="16"/>
                <w:lang w:eastAsia="sk-SK"/>
              </w:rPr>
            </w:pPr>
            <w:r w:rsidRPr="00906237">
              <w:rPr>
                <w:rFonts w:ascii="Arial Narrow" w:hAnsi="Arial Narrow" w:cs="Arial Narrow"/>
                <w:b/>
                <w:bCs/>
                <w:sz w:val="16"/>
                <w:szCs w:val="16"/>
                <w:lang w:eastAsia="sk-SK"/>
              </w:rPr>
              <w:t>-40 197</w:t>
            </w:r>
          </w:p>
        </w:tc>
      </w:tr>
    </w:tbl>
    <w:p w:rsidR="00DD0950" w:rsidRPr="00DF0A80" w:rsidP="00DD0950">
      <w:pPr>
        <w:bidi w:val="0"/>
        <w:ind w:firstLine="708"/>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r w:rsidRPr="000D58E4">
        <w:rPr>
          <w:rFonts w:ascii="Arial Narrow" w:hAnsi="Arial Narrow" w:cs="Arial Narrow"/>
          <w:sz w:val="22"/>
          <w:szCs w:val="22"/>
        </w:rPr>
        <w:t>6.</w:t>
      </w:r>
      <w:r w:rsidR="00126C30">
        <w:rPr>
          <w:rFonts w:ascii="Arial Narrow" w:hAnsi="Arial Narrow" w:cs="Arial Narrow"/>
          <w:sz w:val="22"/>
          <w:szCs w:val="22"/>
        </w:rPr>
        <w:t>4</w:t>
      </w:r>
      <w:r w:rsidRPr="000D58E4">
        <w:rPr>
          <w:rFonts w:ascii="Arial Narrow" w:hAnsi="Arial Narrow" w:cs="Arial Narrow"/>
          <w:sz w:val="22"/>
          <w:szCs w:val="22"/>
        </w:rPr>
        <w:t>.</w:t>
        <w:tab/>
        <w:t>Časové rozlíšenie daňových príjmov (časť 3.2. Akruálne dane pre návrh rozpočtu verejnej správy na roky 2011 až 2013) je ďalším faktorom, ktorý ovplyvňuje schodok štátneho rozpočtu. Ide o rozdiel hotovostných</w:t>
      </w:r>
      <w:r>
        <w:rPr>
          <w:rFonts w:ascii="Arial Narrow" w:hAnsi="Arial Narrow" w:cs="Arial Narrow"/>
          <w:sz w:val="22"/>
          <w:szCs w:val="22"/>
        </w:rPr>
        <w:t xml:space="preserve"> a akruálnych daní, ako aj výdavkov určených na verejnoprospešný účel.</w:t>
      </w:r>
    </w:p>
    <w:p w:rsidR="00DD0950" w:rsidP="00DD0950">
      <w:pPr>
        <w:bidi w:val="0"/>
        <w:jc w:val="both"/>
        <w:rPr>
          <w:rFonts w:ascii="Arial Narrow" w:hAnsi="Arial Narrow" w:cs="Arial Narrow"/>
          <w:sz w:val="22"/>
          <w:szCs w:val="22"/>
        </w:rPr>
      </w:pPr>
    </w:p>
    <w:tbl>
      <w:tblPr>
        <w:tblStyle w:val="TableNormal"/>
        <w:tblW w:w="9140" w:type="dxa"/>
        <w:jc w:val="center"/>
        <w:tblCellMar>
          <w:left w:w="70" w:type="dxa"/>
          <w:right w:w="70" w:type="dxa"/>
        </w:tblCellMar>
      </w:tblPr>
      <w:tblGrid>
        <w:gridCol w:w="3860"/>
        <w:gridCol w:w="880"/>
        <w:gridCol w:w="880"/>
        <w:gridCol w:w="880"/>
        <w:gridCol w:w="880"/>
        <w:gridCol w:w="880"/>
        <w:gridCol w:w="880"/>
      </w:tblGrid>
      <w:tr>
        <w:tblPrEx>
          <w:tblW w:w="9140" w:type="dxa"/>
          <w:jc w:val="center"/>
          <w:tblCellMar>
            <w:left w:w="70" w:type="dxa"/>
            <w:right w:w="70" w:type="dxa"/>
          </w:tblCellMar>
        </w:tblPrEx>
        <w:trPr>
          <w:trHeight w:val="525"/>
          <w:jc w:val="center"/>
        </w:trPr>
        <w:tc>
          <w:tcPr>
            <w:tcW w:w="3860" w:type="dxa"/>
            <w:tcBorders>
              <w:top w:val="single" w:sz="8" w:space="0" w:color="auto"/>
              <w:left w:val="single" w:sz="8" w:space="0" w:color="auto"/>
              <w:bottom w:val="single" w:sz="8" w:space="0" w:color="auto"/>
              <w:right w:val="single" w:sz="4" w:space="0" w:color="auto"/>
            </w:tcBorders>
            <w:textDirection w:val="lrTb"/>
            <w:vAlign w:val="center"/>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Daňové príjmy štátneho rozpočtu</w:t>
              <w:b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2013 N</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Akruálny princíp</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8 921 032</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7 684 513</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8 039 515</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8 941 160</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9 295 684</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9 968 239</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Hotovostný princíp</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9 023 767</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8 024 303</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7 975 415</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8 731 398</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9 359 517</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10 013 628</w:t>
            </w:r>
          </w:p>
        </w:tc>
      </w:tr>
      <w:tr>
        <w:tblPrEx>
          <w:tblW w:w="9140" w:type="dxa"/>
          <w:jc w:val="center"/>
          <w:tblCellMar>
            <w:left w:w="70" w:type="dxa"/>
            <w:right w:w="70" w:type="dxa"/>
          </w:tblCellMar>
        </w:tblPrEx>
        <w:trPr>
          <w:trHeight w:val="270"/>
          <w:jc w:val="center"/>
        </w:trPr>
        <w:tc>
          <w:tcPr>
            <w:tcW w:w="3860" w:type="dxa"/>
            <w:tcBorders>
              <w:top w:val="nil"/>
              <w:left w:val="single" w:sz="8" w:space="0" w:color="auto"/>
              <w:bottom w:val="nil"/>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Výdavky na verejnoprospešný účel</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49 160</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55 180</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41 252</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32 419</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40 224</w:t>
            </w:r>
          </w:p>
        </w:tc>
        <w:tc>
          <w:tcPr>
            <w:tcW w:w="880" w:type="dxa"/>
            <w:tcBorders>
              <w:top w:val="nil"/>
              <w:left w:val="nil"/>
              <w:bottom w:val="nil"/>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39 344</w:t>
            </w:r>
          </w:p>
        </w:tc>
      </w:tr>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shd w:val="clear" w:color="auto" w:fill="C0C0C0"/>
            <w:noWrap/>
            <w:textDirection w:val="lrTb"/>
            <w:vAlign w:val="center"/>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Rozdiel</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-151 895</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-394 970</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22 848</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177 343</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-104 057</w:t>
            </w:r>
          </w:p>
        </w:tc>
        <w:tc>
          <w:tcPr>
            <w:tcW w:w="880" w:type="dxa"/>
            <w:tcBorders>
              <w:top w:val="single" w:sz="8" w:space="0" w:color="auto"/>
              <w:left w:val="nil"/>
              <w:bottom w:val="single" w:sz="8" w:space="0" w:color="auto"/>
              <w:right w:val="single" w:sz="8"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-84 733</w:t>
            </w:r>
          </w:p>
        </w:tc>
      </w:tr>
      <w:tr>
        <w:tblPrEx>
          <w:tblW w:w="9140" w:type="dxa"/>
          <w:jc w:val="center"/>
          <w:tblCellMar>
            <w:left w:w="70" w:type="dxa"/>
            <w:right w:w="70" w:type="dxa"/>
          </w:tblCellMar>
        </w:tblPrEx>
        <w:trPr>
          <w:trHeight w:val="255"/>
          <w:jc w:val="center"/>
        </w:trPr>
        <w:tc>
          <w:tcPr>
            <w:tcW w:w="9140" w:type="dxa"/>
            <w:gridSpan w:val="7"/>
            <w:tcBorders>
              <w:top w:val="nil"/>
              <w:left w:val="nil"/>
              <w:bottom w:val="nil"/>
              <w:right w:val="nil"/>
            </w:tcBorders>
            <w:textDirection w:val="lrTb"/>
            <w:vAlign w:val="center"/>
          </w:tcPr>
          <w:p w:rsidR="00DD0950" w:rsidRPr="00DA32B2" w:rsidP="006863AF">
            <w:pPr>
              <w:bidi w:val="0"/>
              <w:rPr>
                <w:rFonts w:ascii="Arial Narrow" w:hAnsi="Arial Narrow" w:cs="Arial Narrow"/>
                <w:i/>
                <w:iCs/>
                <w:sz w:val="16"/>
                <w:szCs w:val="16"/>
                <w:lang w:eastAsia="sk-SK"/>
              </w:rPr>
            </w:pPr>
            <w:r w:rsidRPr="00DA32B2">
              <w:rPr>
                <w:rFonts w:ascii="Arial Narrow" w:hAnsi="Arial Narrow" w:cs="Arial Narrow"/>
                <w:i/>
                <w:iCs/>
                <w:sz w:val="16"/>
                <w:szCs w:val="16"/>
                <w:lang w:eastAsia="sk-SK"/>
              </w:rPr>
              <w:t>Poznámka : Z hľadiska konzistentnosti materiálu sú údaje na akruálnom aj hotovostnom princípe uvedené vrátane sankcií.</w:t>
            </w:r>
          </w:p>
        </w:tc>
      </w:tr>
    </w:tbl>
    <w:p w:rsidR="00DD0950" w:rsidP="00DD0950">
      <w:pPr>
        <w:bidi w:val="0"/>
        <w:jc w:val="both"/>
        <w:rPr>
          <w:rFonts w:ascii="Arial Narrow" w:hAnsi="Arial Narrow" w:cs="Arial Narrow"/>
          <w:sz w:val="22"/>
          <w:szCs w:val="22"/>
        </w:rPr>
      </w:pPr>
    </w:p>
    <w:p w:rsidR="00DD0950" w:rsidRPr="00DF0A80" w:rsidP="00DD0950">
      <w:pPr>
        <w:bidi w:val="0"/>
        <w:jc w:val="both"/>
        <w:rPr>
          <w:rFonts w:ascii="Arial Narrow" w:hAnsi="Arial Narrow" w:cs="Arial Narrow"/>
          <w:sz w:val="22"/>
          <w:szCs w:val="22"/>
        </w:rPr>
      </w:pPr>
      <w:r>
        <w:rPr>
          <w:rFonts w:ascii="Arial Narrow" w:hAnsi="Arial Narrow" w:cs="Arial Narrow"/>
          <w:sz w:val="22"/>
          <w:szCs w:val="22"/>
        </w:rPr>
        <w:t>6.</w:t>
      </w:r>
      <w:r w:rsidR="00126C30">
        <w:rPr>
          <w:rFonts w:ascii="Arial Narrow" w:hAnsi="Arial Narrow" w:cs="Arial Narrow"/>
          <w:sz w:val="22"/>
          <w:szCs w:val="22"/>
        </w:rPr>
        <w:t>5</w:t>
      </w:r>
      <w:r>
        <w:rPr>
          <w:rFonts w:ascii="Arial Narrow" w:hAnsi="Arial Narrow" w:cs="Arial Narrow"/>
          <w:sz w:val="22"/>
          <w:szCs w:val="22"/>
        </w:rPr>
        <w:t>.</w:t>
        <w:tab/>
        <w:t xml:space="preserve">Medziročnú zmenu stavu pohľadávok SR  voči EÚ tvoria pohľadávky na priame platby, predvstupový </w:t>
      </w:r>
      <w:r w:rsidRPr="000D58E4">
        <w:rPr>
          <w:rFonts w:ascii="Arial Narrow" w:hAnsi="Arial Narrow" w:cs="Arial Narrow"/>
          <w:sz w:val="22"/>
          <w:szCs w:val="22"/>
        </w:rPr>
        <w:t>fond ISPA a na štrukturálne fondy.</w:t>
      </w:r>
    </w:p>
    <w:p w:rsidR="00DD0950" w:rsidRPr="0026527B" w:rsidP="00DD0950">
      <w:pPr>
        <w:bidi w:val="0"/>
        <w:jc w:val="both"/>
        <w:rPr>
          <w:rFonts w:ascii="Arial Narrow" w:hAnsi="Arial Narrow" w:cs="Arial Narrow"/>
          <w:sz w:val="22"/>
          <w:szCs w:val="22"/>
        </w:rPr>
      </w:pPr>
    </w:p>
    <w:p w:rsidR="00DD0950" w:rsidP="00DD0950">
      <w:pPr>
        <w:bidi w:val="0"/>
        <w:jc w:val="both"/>
        <w:rPr>
          <w:rFonts w:ascii="Arial Narrow" w:hAnsi="Arial Narrow" w:cs="Arial Narrow"/>
          <w:sz w:val="22"/>
          <w:szCs w:val="22"/>
        </w:rPr>
      </w:pPr>
      <w:r>
        <w:rPr>
          <w:rFonts w:ascii="Arial Narrow" w:hAnsi="Arial Narrow" w:cs="Arial Narrow"/>
          <w:sz w:val="22"/>
          <w:szCs w:val="22"/>
        </w:rPr>
        <w:t xml:space="preserve">           Akrualizácia štátneho rozpočtu je ďalej vykonaná za predpokladu:</w:t>
      </w:r>
    </w:p>
    <w:p w:rsidR="00DD0950" w:rsidP="00BE7180">
      <w:pPr>
        <w:numPr>
          <w:numId w:val="2"/>
        </w:numPr>
        <w:tabs>
          <w:tab w:val="num" w:pos="540"/>
          <w:tab w:val="clear" w:pos="2160"/>
        </w:tabs>
        <w:bidi w:val="0"/>
        <w:ind w:left="540" w:hanging="540"/>
        <w:jc w:val="both"/>
        <w:rPr>
          <w:rFonts w:ascii="Arial Narrow" w:hAnsi="Arial Narrow" w:cs="Arial Narrow"/>
          <w:sz w:val="22"/>
          <w:szCs w:val="22"/>
        </w:rPr>
      </w:pPr>
      <w:r>
        <w:rPr>
          <w:rFonts w:ascii="Arial Narrow" w:hAnsi="Arial Narrow" w:cs="Arial Narrow"/>
          <w:sz w:val="22"/>
          <w:szCs w:val="22"/>
        </w:rPr>
        <w:t xml:space="preserve">nulovej zmeny stavu pohľadávok a záväzkov rozpočtových organizácií, </w:t>
      </w:r>
    </w:p>
    <w:p w:rsidR="00DD0950" w:rsidP="00BE7180">
      <w:pPr>
        <w:numPr>
          <w:numId w:val="1"/>
        </w:numPr>
        <w:tabs>
          <w:tab w:val="clear" w:pos="420"/>
          <w:tab w:val="num" w:pos="540"/>
        </w:tabs>
        <w:bidi w:val="0"/>
        <w:ind w:left="540" w:hanging="540"/>
        <w:jc w:val="both"/>
        <w:rPr>
          <w:rFonts w:ascii="Arial Narrow" w:hAnsi="Arial Narrow" w:cs="Arial Narrow"/>
          <w:sz w:val="22"/>
          <w:szCs w:val="22"/>
        </w:rPr>
      </w:pPr>
      <w:r>
        <w:rPr>
          <w:rFonts w:ascii="Arial Narrow" w:hAnsi="Arial Narrow" w:cs="Arial Narrow"/>
          <w:sz w:val="22"/>
          <w:szCs w:val="22"/>
        </w:rPr>
        <w:t>nerealizovania tovarových deblokácií,</w:t>
      </w:r>
    </w:p>
    <w:p w:rsidR="00DD0950" w:rsidP="00BE7180">
      <w:pPr>
        <w:numPr>
          <w:numId w:val="1"/>
        </w:numPr>
        <w:tabs>
          <w:tab w:val="clear" w:pos="420"/>
          <w:tab w:val="num" w:pos="540"/>
        </w:tabs>
        <w:bidi w:val="0"/>
        <w:ind w:left="540" w:hanging="540"/>
        <w:jc w:val="both"/>
        <w:rPr>
          <w:rFonts w:ascii="Arial Narrow" w:hAnsi="Arial Narrow" w:cs="Arial Narrow"/>
          <w:sz w:val="22"/>
          <w:szCs w:val="22"/>
        </w:rPr>
      </w:pPr>
      <w:r>
        <w:rPr>
          <w:rFonts w:ascii="Arial Narrow" w:hAnsi="Arial Narrow" w:cs="Arial Narrow"/>
          <w:sz w:val="22"/>
          <w:szCs w:val="22"/>
        </w:rPr>
        <w:t xml:space="preserve">neodpúšťania pohľadávok voči zahraničiu. </w:t>
      </w:r>
    </w:p>
    <w:p w:rsidR="00DD0950" w:rsidP="00DD0950">
      <w:pPr>
        <w:bidi w:val="0"/>
        <w:jc w:val="both"/>
        <w:rPr>
          <w:rFonts w:ascii="Arial Narrow" w:hAnsi="Arial Narrow" w:cs="Arial Narrow"/>
          <w:sz w:val="22"/>
          <w:szCs w:val="22"/>
        </w:rPr>
      </w:pPr>
    </w:p>
    <w:p w:rsidR="00DD0950" w:rsidP="00DD0950">
      <w:pPr>
        <w:pStyle w:val="BodyText"/>
        <w:bidi w:val="0"/>
        <w:ind w:firstLine="709"/>
        <w:rPr>
          <w:rFonts w:ascii="Arial Narrow" w:hAnsi="Arial Narrow" w:cs="Arial Narrow"/>
          <w:sz w:val="22"/>
          <w:szCs w:val="22"/>
        </w:rPr>
      </w:pPr>
      <w:r>
        <w:rPr>
          <w:rFonts w:ascii="Arial Narrow" w:hAnsi="Arial Narrow" w:cs="Arial Narrow"/>
          <w:b/>
          <w:bCs/>
          <w:sz w:val="22"/>
          <w:szCs w:val="22"/>
        </w:rPr>
        <w:t>Schodok štátneho rozpočtu na hotovostnom princípe upravený o modifikujúce faktory predstavuje schodok štátneho rozpočtu v metodike ESA 95</w:t>
      </w:r>
      <w:r>
        <w:rPr>
          <w:rFonts w:ascii="Arial Narrow" w:hAnsi="Arial Narrow" w:cs="Arial Narrow"/>
          <w:sz w:val="22"/>
          <w:szCs w:val="22"/>
        </w:rPr>
        <w:t xml:space="preserve"> a v rokoch 2011 až 2013 sa predpokladá nasledovne.</w:t>
      </w:r>
    </w:p>
    <w:p w:rsidR="00DD0950" w:rsidRPr="00B7325C" w:rsidP="00DD0950">
      <w:pPr>
        <w:pStyle w:val="BodyText"/>
        <w:bidi w:val="0"/>
        <w:ind w:firstLine="709"/>
        <w:rPr>
          <w:rFonts w:ascii="Arial Narrow" w:hAnsi="Arial Narrow" w:cs="Arial Narrow"/>
          <w:sz w:val="22"/>
          <w:szCs w:val="22"/>
        </w:rPr>
      </w:pPr>
    </w:p>
    <w:tbl>
      <w:tblPr>
        <w:tblStyle w:val="TableNormal"/>
        <w:tblW w:w="9140" w:type="dxa"/>
        <w:jc w:val="center"/>
        <w:tblCellMar>
          <w:left w:w="70" w:type="dxa"/>
          <w:right w:w="70" w:type="dxa"/>
        </w:tblCellMar>
      </w:tblPr>
      <w:tblGrid>
        <w:gridCol w:w="3860"/>
        <w:gridCol w:w="880"/>
        <w:gridCol w:w="880"/>
        <w:gridCol w:w="880"/>
        <w:gridCol w:w="880"/>
        <w:gridCol w:w="880"/>
        <w:gridCol w:w="880"/>
      </w:tblGrid>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noWrap/>
            <w:textDirection w:val="lrTb"/>
            <w:vAlign w:val="top"/>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(v tis. eur)</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2008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2009 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2010 OS</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2011 N</w:t>
            </w:r>
          </w:p>
        </w:tc>
        <w:tc>
          <w:tcPr>
            <w:tcW w:w="880" w:type="dxa"/>
            <w:tcBorders>
              <w:top w:val="single" w:sz="8" w:space="0" w:color="auto"/>
              <w:left w:val="nil"/>
              <w:bottom w:val="single" w:sz="8" w:space="0" w:color="auto"/>
              <w:right w:val="single" w:sz="4"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2012 N</w:t>
            </w:r>
          </w:p>
        </w:tc>
        <w:tc>
          <w:tcPr>
            <w:tcW w:w="880" w:type="dxa"/>
            <w:tcBorders>
              <w:top w:val="single" w:sz="8" w:space="0" w:color="auto"/>
              <w:left w:val="nil"/>
              <w:bottom w:val="single" w:sz="8" w:space="0" w:color="auto"/>
              <w:right w:val="single" w:sz="8" w:space="0" w:color="auto"/>
            </w:tcBorders>
            <w:noWrap/>
            <w:textDirection w:val="lrTb"/>
            <w:vAlign w:val="center"/>
          </w:tcPr>
          <w:p w:rsidR="00DD0950" w:rsidRPr="00DA32B2" w:rsidP="006863AF">
            <w:pPr>
              <w:bidi w:val="0"/>
              <w:jc w:val="center"/>
              <w:rPr>
                <w:rFonts w:ascii="Arial Narrow" w:hAnsi="Arial Narrow" w:cs="Arial Narrow"/>
                <w:b/>
                <w:bCs/>
                <w:sz w:val="16"/>
                <w:szCs w:val="16"/>
                <w:lang w:eastAsia="sk-SK"/>
              </w:rPr>
            </w:pPr>
            <w:r w:rsidRPr="00DA32B2">
              <w:rPr>
                <w:rFonts w:ascii="Arial Narrow" w:hAnsi="Arial Narrow" w:cs="Arial Narrow"/>
                <w:b/>
                <w:bCs/>
                <w:sz w:val="16"/>
                <w:szCs w:val="16"/>
                <w:lang w:eastAsia="sk-SK"/>
              </w:rPr>
              <w:t>2013 N</w:t>
            </w:r>
          </w:p>
        </w:tc>
      </w:tr>
      <w:tr>
        <w:tblPrEx>
          <w:tblW w:w="9140" w:type="dxa"/>
          <w:jc w:val="center"/>
          <w:tblCellMar>
            <w:left w:w="70" w:type="dxa"/>
            <w:right w:w="70" w:type="dxa"/>
          </w:tblCellMar>
        </w:tblPrEx>
        <w:trPr>
          <w:trHeight w:val="255"/>
          <w:jc w:val="center"/>
        </w:trPr>
        <w:tc>
          <w:tcPr>
            <w:tcW w:w="3860" w:type="dxa"/>
            <w:tcBorders>
              <w:top w:val="nil"/>
              <w:left w:val="single" w:sz="8" w:space="0" w:color="auto"/>
              <w:bottom w:val="single" w:sz="4" w:space="0" w:color="auto"/>
              <w:right w:val="single" w:sz="4" w:space="0" w:color="auto"/>
            </w:tcBorders>
            <w:noWrap/>
            <w:textDirection w:val="lrTb"/>
            <w:vAlign w:val="center"/>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Schodok ŠR na hotovostnom princípe</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-704 176</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-2 791 251</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-4 699 668</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-3 8</w:t>
            </w:r>
            <w:r w:rsidR="002E2734">
              <w:rPr>
                <w:rFonts w:ascii="Arial Narrow" w:hAnsi="Arial Narrow" w:cs="Arial Narrow"/>
                <w:b/>
                <w:bCs/>
                <w:sz w:val="16"/>
                <w:szCs w:val="16"/>
                <w:lang w:eastAsia="sk-SK"/>
              </w:rPr>
              <w:t>3</w:t>
            </w:r>
            <w:r w:rsidRPr="00DA32B2">
              <w:rPr>
                <w:rFonts w:ascii="Arial Narrow" w:hAnsi="Arial Narrow" w:cs="Arial Narrow"/>
                <w:b/>
                <w:bCs/>
                <w:sz w:val="16"/>
                <w:szCs w:val="16"/>
                <w:lang w:eastAsia="sk-SK"/>
              </w:rPr>
              <w:t>3 155</w:t>
            </w:r>
          </w:p>
        </w:tc>
        <w:tc>
          <w:tcPr>
            <w:tcW w:w="880" w:type="dxa"/>
            <w:tcBorders>
              <w:top w:val="nil"/>
              <w:left w:val="nil"/>
              <w:bottom w:val="single" w:sz="4" w:space="0" w:color="auto"/>
              <w:right w:val="single" w:sz="4"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-3 162 421</w:t>
            </w:r>
          </w:p>
        </w:tc>
        <w:tc>
          <w:tcPr>
            <w:tcW w:w="880" w:type="dxa"/>
            <w:tcBorders>
              <w:top w:val="nil"/>
              <w:left w:val="nil"/>
              <w:bottom w:val="single" w:sz="4" w:space="0" w:color="auto"/>
              <w:right w:val="single" w:sz="8" w:space="0" w:color="auto"/>
            </w:tcBorders>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-2 586 400</w:t>
            </w:r>
          </w:p>
        </w:tc>
      </w:tr>
      <w:tr>
        <w:tblPrEx>
          <w:tblW w:w="9140" w:type="dxa"/>
          <w:jc w:val="center"/>
          <w:tblCellMar>
            <w:left w:w="70" w:type="dxa"/>
            <w:right w:w="70" w:type="dxa"/>
          </w:tblCellMar>
        </w:tblPrEx>
        <w:trPr>
          <w:trHeight w:val="270"/>
          <w:jc w:val="center"/>
        </w:trPr>
        <w:tc>
          <w:tcPr>
            <w:tcW w:w="3860" w:type="dxa"/>
            <w:tcBorders>
              <w:top w:val="nil"/>
              <w:left w:val="single" w:sz="8" w:space="0" w:color="auto"/>
              <w:bottom w:val="nil"/>
              <w:right w:val="single" w:sz="4" w:space="0" w:color="auto"/>
            </w:tcBorders>
            <w:noWrap/>
            <w:textDirection w:val="lrTb"/>
            <w:vAlign w:val="center"/>
          </w:tcPr>
          <w:p w:rsidR="00DD0950" w:rsidRPr="00DA32B2" w:rsidP="006863AF">
            <w:pPr>
              <w:bidi w:val="0"/>
              <w:rPr>
                <w:rFonts w:ascii="Arial Narrow" w:hAnsi="Arial Narrow" w:cs="Arial Narrow"/>
                <w:sz w:val="16"/>
                <w:szCs w:val="16"/>
                <w:lang w:eastAsia="sk-SK"/>
              </w:rPr>
            </w:pPr>
            <w:r w:rsidRPr="00DA32B2">
              <w:rPr>
                <w:rFonts w:ascii="Arial Narrow" w:hAnsi="Arial Narrow" w:cs="Arial Narrow"/>
                <w:sz w:val="16"/>
                <w:szCs w:val="16"/>
                <w:lang w:eastAsia="sk-SK"/>
              </w:rPr>
              <w:t>Modifikujúce faktory</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-989 179</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-1 562 404</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226 385</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106 435</w:t>
            </w:r>
          </w:p>
        </w:tc>
        <w:tc>
          <w:tcPr>
            <w:tcW w:w="880" w:type="dxa"/>
            <w:tcBorders>
              <w:top w:val="nil"/>
              <w:left w:val="nil"/>
              <w:bottom w:val="nil"/>
              <w:right w:val="single" w:sz="4"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7 092</w:t>
            </w:r>
          </w:p>
        </w:tc>
        <w:tc>
          <w:tcPr>
            <w:tcW w:w="880" w:type="dxa"/>
            <w:tcBorders>
              <w:top w:val="nil"/>
              <w:left w:val="nil"/>
              <w:bottom w:val="nil"/>
              <w:right w:val="single" w:sz="8" w:space="0" w:color="auto"/>
            </w:tcBorders>
            <w:noWrap/>
            <w:textDirection w:val="lrTb"/>
            <w:vAlign w:val="center"/>
          </w:tcPr>
          <w:p w:rsidR="00DD0950" w:rsidRPr="00DA32B2" w:rsidP="006863AF">
            <w:pPr>
              <w:bidi w:val="0"/>
              <w:jc w:val="right"/>
              <w:rPr>
                <w:rFonts w:ascii="Arial Narrow" w:hAnsi="Arial Narrow" w:cs="Arial Narrow"/>
                <w:sz w:val="16"/>
                <w:szCs w:val="16"/>
                <w:lang w:eastAsia="sk-SK"/>
              </w:rPr>
            </w:pPr>
            <w:r w:rsidRPr="00DA32B2">
              <w:rPr>
                <w:rFonts w:ascii="Arial Narrow" w:hAnsi="Arial Narrow" w:cs="Arial Narrow"/>
                <w:sz w:val="16"/>
                <w:szCs w:val="16"/>
                <w:lang w:eastAsia="sk-SK"/>
              </w:rPr>
              <w:t>-102 590</w:t>
            </w:r>
          </w:p>
        </w:tc>
      </w:tr>
      <w:tr>
        <w:tblPrEx>
          <w:tblW w:w="9140" w:type="dxa"/>
          <w:jc w:val="center"/>
          <w:tblCellMar>
            <w:left w:w="70" w:type="dxa"/>
            <w:right w:w="70" w:type="dxa"/>
          </w:tblCellMar>
        </w:tblPrEx>
        <w:trPr>
          <w:trHeight w:val="270"/>
          <w:jc w:val="center"/>
        </w:trPr>
        <w:tc>
          <w:tcPr>
            <w:tcW w:w="3860" w:type="dxa"/>
            <w:tcBorders>
              <w:top w:val="single" w:sz="8" w:space="0" w:color="auto"/>
              <w:left w:val="single" w:sz="8" w:space="0" w:color="auto"/>
              <w:bottom w:val="single" w:sz="8" w:space="0" w:color="auto"/>
              <w:right w:val="single" w:sz="4" w:space="0" w:color="auto"/>
            </w:tcBorders>
            <w:shd w:val="clear" w:color="auto" w:fill="C0C0C0"/>
            <w:noWrap/>
            <w:textDirection w:val="lrTb"/>
            <w:vAlign w:val="center"/>
          </w:tcPr>
          <w:p w:rsidR="00DD0950" w:rsidRPr="00DA32B2" w:rsidP="006863AF">
            <w:pPr>
              <w:bidi w:val="0"/>
              <w:rPr>
                <w:rFonts w:ascii="Arial Narrow" w:hAnsi="Arial Narrow" w:cs="Arial Narrow"/>
                <w:b/>
                <w:bCs/>
                <w:sz w:val="16"/>
                <w:szCs w:val="16"/>
                <w:lang w:eastAsia="sk-SK"/>
              </w:rPr>
            </w:pPr>
            <w:r w:rsidRPr="00DA32B2">
              <w:rPr>
                <w:rFonts w:ascii="Arial Narrow" w:hAnsi="Arial Narrow" w:cs="Arial Narrow"/>
                <w:b/>
                <w:bCs/>
                <w:sz w:val="16"/>
                <w:szCs w:val="16"/>
                <w:lang w:eastAsia="sk-SK"/>
              </w:rPr>
              <w:t>Schodok ŠR (ESA 95)</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-1 693 355</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-4 353 655</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-4 473 283</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-3 7</w:t>
            </w:r>
            <w:r w:rsidR="002E2734">
              <w:rPr>
                <w:rFonts w:ascii="Arial Narrow" w:hAnsi="Arial Narrow" w:cs="Arial Narrow"/>
                <w:b/>
                <w:bCs/>
                <w:sz w:val="16"/>
                <w:szCs w:val="16"/>
                <w:lang w:eastAsia="sk-SK"/>
              </w:rPr>
              <w:t>2</w:t>
            </w:r>
            <w:r w:rsidRPr="00DA32B2">
              <w:rPr>
                <w:rFonts w:ascii="Arial Narrow" w:hAnsi="Arial Narrow" w:cs="Arial Narrow"/>
                <w:b/>
                <w:bCs/>
                <w:sz w:val="16"/>
                <w:szCs w:val="16"/>
                <w:lang w:eastAsia="sk-SK"/>
              </w:rPr>
              <w:t>6 720</w:t>
            </w:r>
          </w:p>
        </w:tc>
        <w:tc>
          <w:tcPr>
            <w:tcW w:w="880" w:type="dxa"/>
            <w:tcBorders>
              <w:top w:val="single" w:sz="8" w:space="0" w:color="auto"/>
              <w:left w:val="nil"/>
              <w:bottom w:val="single" w:sz="8" w:space="0" w:color="auto"/>
              <w:right w:val="single" w:sz="4"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-3 155 329</w:t>
            </w:r>
          </w:p>
        </w:tc>
        <w:tc>
          <w:tcPr>
            <w:tcW w:w="880" w:type="dxa"/>
            <w:tcBorders>
              <w:top w:val="single" w:sz="8" w:space="0" w:color="auto"/>
              <w:left w:val="nil"/>
              <w:bottom w:val="single" w:sz="8" w:space="0" w:color="auto"/>
              <w:right w:val="single" w:sz="8" w:space="0" w:color="auto"/>
            </w:tcBorders>
            <w:shd w:val="clear" w:color="auto" w:fill="C0C0C0"/>
            <w:noWrap/>
            <w:textDirection w:val="lrTb"/>
            <w:vAlign w:val="center"/>
          </w:tcPr>
          <w:p w:rsidR="00DD0950" w:rsidRPr="00DA32B2" w:rsidP="006863AF">
            <w:pPr>
              <w:bidi w:val="0"/>
              <w:jc w:val="right"/>
              <w:rPr>
                <w:rFonts w:ascii="Arial Narrow" w:hAnsi="Arial Narrow" w:cs="Arial Narrow"/>
                <w:b/>
                <w:bCs/>
                <w:sz w:val="16"/>
                <w:szCs w:val="16"/>
                <w:lang w:eastAsia="sk-SK"/>
              </w:rPr>
            </w:pPr>
            <w:r w:rsidRPr="00DA32B2">
              <w:rPr>
                <w:rFonts w:ascii="Arial Narrow" w:hAnsi="Arial Narrow" w:cs="Arial Narrow"/>
                <w:b/>
                <w:bCs/>
                <w:sz w:val="16"/>
                <w:szCs w:val="16"/>
                <w:lang w:eastAsia="sk-SK"/>
              </w:rPr>
              <w:t>-2 688 990</w:t>
            </w:r>
          </w:p>
        </w:tc>
      </w:tr>
    </w:tbl>
    <w:p w:rsidR="00DD0950" w:rsidP="00DD0950">
      <w:pPr>
        <w:bidi w:val="0"/>
      </w:pPr>
    </w:p>
    <w:p w:rsidR="00DD0950" w:rsidP="00DD0950">
      <w:pPr>
        <w:bidi w:val="0"/>
      </w:pPr>
    </w:p>
    <w:p w:rsidR="00DD0950" w:rsidRPr="00B47F31" w:rsidP="007C0316">
      <w:pPr>
        <w:bidi w:val="0"/>
        <w:rPr>
          <w:rFonts w:ascii="Arial Narrow" w:hAnsi="Arial Narrow" w:cs="Arial Narrow"/>
          <w:sz w:val="22"/>
          <w:szCs w:val="22"/>
        </w:rPr>
      </w:pPr>
      <w:bookmarkEnd w:id="64"/>
      <w:bookmarkEnd w:id="65"/>
      <w:bookmarkEnd w:id="66"/>
    </w:p>
    <w:sectPr w:rsidSect="00980265">
      <w:footerReference w:type="defaul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1010600010101010101"/>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Arial Black">
    <w:panose1 w:val="020B0A0402010202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0" w:rsidRPr="003058B0">
    <w:pPr>
      <w:pStyle w:val="Footer"/>
      <w:bidi w:val="0"/>
      <w:jc w:val="center"/>
      <w:rPr>
        <w:rFonts w:ascii="Arial Narrow" w:hAnsi="Arial Narrow" w:cs="Arial Narrow"/>
        <w:sz w:val="22"/>
        <w:szCs w:val="22"/>
      </w:rPr>
    </w:pPr>
    <w:r w:rsidRPr="003058B0">
      <w:rPr>
        <w:rFonts w:ascii="Arial Narrow" w:hAnsi="Arial Narrow" w:cs="Arial Narrow"/>
        <w:sz w:val="22"/>
        <w:szCs w:val="22"/>
      </w:rPr>
      <w:fldChar w:fldCharType="begin"/>
    </w:r>
    <w:r w:rsidRPr="003058B0">
      <w:rPr>
        <w:rFonts w:ascii="Arial Narrow" w:hAnsi="Arial Narrow" w:cs="Arial Narrow"/>
        <w:sz w:val="22"/>
        <w:szCs w:val="22"/>
      </w:rPr>
      <w:instrText xml:space="preserve"> PAGE   \* MERGEFORMAT </w:instrText>
    </w:r>
    <w:r w:rsidRPr="003058B0">
      <w:rPr>
        <w:rFonts w:ascii="Arial Narrow" w:hAnsi="Arial Narrow" w:cs="Arial Narrow"/>
        <w:sz w:val="22"/>
        <w:szCs w:val="22"/>
      </w:rPr>
      <w:fldChar w:fldCharType="separate"/>
    </w:r>
    <w:r w:rsidR="00BE7180">
      <w:rPr>
        <w:rFonts w:ascii="Arial Narrow" w:hAnsi="Arial Narrow" w:cs="Arial Narrow"/>
        <w:noProof/>
        <w:sz w:val="22"/>
        <w:szCs w:val="22"/>
      </w:rPr>
      <w:t>48</w:t>
    </w:r>
    <w:r w:rsidRPr="003058B0">
      <w:rPr>
        <w:rFonts w:ascii="Arial Narrow" w:hAnsi="Arial Narrow" w:cs="Arial Narrow"/>
        <w:sz w:val="22"/>
        <w:szCs w:val="22"/>
      </w:rPr>
      <w:fldChar w:fldCharType="end"/>
    </w:r>
  </w:p>
  <w:p w:rsidR="00AA7C40" w:rsidRPr="003058B0">
    <w:pPr>
      <w:pStyle w:val="Footer"/>
      <w:bidi w:val="0"/>
      <w:rPr>
        <w:rFonts w:ascii="Arial Narrow" w:hAnsi="Arial Narrow" w:cs="Arial Narrow"/>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B39">
      <w:pPr>
        <w:bidi w:val="0"/>
      </w:pPr>
      <w:r>
        <w:separator/>
      </w:r>
    </w:p>
  </w:footnote>
  <w:footnote w:type="continuationSeparator" w:id="1">
    <w:p w:rsidR="00E36B39">
      <w:pPr>
        <w:bidi w:val="0"/>
      </w:pPr>
      <w:r>
        <w:continuationSeparator/>
      </w:r>
    </w:p>
  </w:footnote>
  <w:footnote w:id="2">
    <w:p w:rsidP="00A22ED7">
      <w:pPr>
        <w:pStyle w:val="FootnoteText"/>
        <w:bidi w:val="0"/>
        <w:ind w:left="180" w:hanging="180"/>
        <w:jc w:val="both"/>
      </w:pPr>
      <w:r w:rsidRPr="00DD5735" w:rsidR="00AA7C40">
        <w:rPr>
          <w:rStyle w:val="FootnoteReference"/>
          <w:rFonts w:ascii="Arial Narrow" w:hAnsi="Arial Narrow" w:cs="Arial Narrow"/>
          <w:sz w:val="18"/>
          <w:szCs w:val="18"/>
        </w:rPr>
        <w:footnoteRef/>
      </w:r>
      <w:r w:rsidRPr="00DD5735" w:rsidR="00AA7C40">
        <w:rPr>
          <w:rFonts w:ascii="Arial Narrow" w:hAnsi="Arial Narrow" w:cs="Arial Narrow"/>
          <w:sz w:val="18"/>
          <w:szCs w:val="18"/>
        </w:rPr>
        <w:t xml:space="preserve"> </w:t>
        <w:tab/>
        <w:t xml:space="preserve">Všetky uvádzané hodnoty sú počítané v metodike, ktorá sa používa pri posudzovaní plnenia maastrichtského kritéria pre výšku hrubého dlhu verejnej správy – tzv. maastrichtský hrubý dlh verejnej správy. </w:t>
      </w:r>
    </w:p>
  </w:footnote>
  <w:footnote w:id="3">
    <w:p w:rsidP="00A1281C">
      <w:pPr>
        <w:pStyle w:val="FootnoteText"/>
        <w:tabs>
          <w:tab w:val="left" w:pos="142"/>
        </w:tabs>
        <w:bidi w:val="0"/>
        <w:ind w:left="142" w:hanging="142"/>
        <w:jc w:val="both"/>
      </w:pPr>
      <w:r w:rsidRPr="00CB1971" w:rsidR="00AA7C40">
        <w:rPr>
          <w:rStyle w:val="FootnoteReference"/>
          <w:rFonts w:ascii="Arial Narrow" w:hAnsi="Arial Narrow" w:cs="Arial Narrow"/>
          <w:sz w:val="18"/>
          <w:szCs w:val="18"/>
        </w:rPr>
        <w:footnoteRef/>
      </w:r>
      <w:r w:rsidRPr="00CB1971" w:rsidR="00AA7C40">
        <w:rPr>
          <w:rFonts w:ascii="Arial Narrow" w:hAnsi="Arial Narrow" w:cs="Arial Narrow"/>
          <w:sz w:val="18"/>
          <w:szCs w:val="18"/>
        </w:rPr>
        <w:t xml:space="preserve"> Konsolidačné opatrenia zahŕňajú legislatívne zmeny v oblasti dane z príjmov, DPH, spotrebných daní, rozširovanie vymeriavacieho</w:t>
      </w:r>
      <w:r w:rsidRPr="00AA291B" w:rsidR="00AA7C40">
        <w:rPr>
          <w:rFonts w:ascii="Arial Narrow" w:hAnsi="Arial Narrow" w:cs="Arial Narrow"/>
          <w:sz w:val="18"/>
          <w:szCs w:val="18"/>
        </w:rPr>
        <w:t xml:space="preserve"> základu pre výpočet sociálnych a zdravotných odvodov</w:t>
      </w:r>
      <w:r w:rsidR="00AA7C40">
        <w:rPr>
          <w:rFonts w:ascii="Arial Narrow" w:hAnsi="Arial Narrow" w:cs="Arial Narrow"/>
          <w:sz w:val="18"/>
          <w:szCs w:val="18"/>
        </w:rPr>
        <w:t>,</w:t>
      </w:r>
      <w:r w:rsidRPr="00AA291B" w:rsidR="00AA7C40">
        <w:rPr>
          <w:rFonts w:ascii="Arial Narrow" w:hAnsi="Arial Narrow" w:cs="Arial Narrow"/>
          <w:sz w:val="18"/>
          <w:szCs w:val="18"/>
        </w:rPr>
        <w:t xml:space="preserve"> ako aj niektoré opatrenia v oblasti nedaňových príjmov, ktor</w:t>
      </w:r>
      <w:r w:rsidR="00AA7C40">
        <w:rPr>
          <w:rFonts w:ascii="Arial Narrow" w:hAnsi="Arial Narrow" w:cs="Arial Narrow"/>
          <w:sz w:val="18"/>
          <w:szCs w:val="18"/>
        </w:rPr>
        <w:t>é sú z hľadiska ESA 95 považované</w:t>
      </w:r>
      <w:r w:rsidRPr="00AA291B" w:rsidR="00AA7C40">
        <w:rPr>
          <w:rFonts w:ascii="Arial Narrow" w:hAnsi="Arial Narrow" w:cs="Arial Narrow"/>
          <w:sz w:val="18"/>
          <w:szCs w:val="18"/>
        </w:rPr>
        <w:t xml:space="preserve"> za dane (poplatok pre Štátne  hmotné rezervy vo výške 1,7 centa na liter benzínu a nafty; poplatok pre Jadrový fond vo výške 3EUR/MWh). V rámci legislatívy nie je zahrnutý vplyv zníženie platby štátu nad rámec odvodových opatrení, aj keď </w:t>
      </w:r>
      <w:r w:rsidR="00AA7C40">
        <w:rPr>
          <w:rFonts w:ascii="Arial Narrow" w:hAnsi="Arial Narrow" w:cs="Arial Narrow"/>
          <w:sz w:val="18"/>
          <w:szCs w:val="18"/>
        </w:rPr>
        <w:t>má vplyv na vývoj daňovej kvóty. Rovnako tam nie je zahrnuté zrušenie koncesionárskych poplatkov STV a SRo. Z nedaňových príjmov tam nie sú zahrnuté výnosy z diaľničných nálepiek ani výnosy z predaja emisných kvót, pretože nie sú príjmom verejnej správy (diaľničné známky) alebo nie sú podľa metodiky ESA 95 považované za dane (emisné kvóty).</w:t>
      </w:r>
    </w:p>
  </w:footnote>
  <w:footnote w:id="4">
    <w:p w:rsidP="00A1281C">
      <w:pPr>
        <w:pStyle w:val="FootnoteText"/>
        <w:bidi w:val="0"/>
        <w:ind w:left="142" w:hanging="142"/>
        <w:jc w:val="both"/>
      </w:pPr>
      <w:r w:rsidRPr="00695C93" w:rsidR="00AA7C40">
        <w:rPr>
          <w:rStyle w:val="FootnoteReference"/>
          <w:rFonts w:ascii="Arial Narrow" w:hAnsi="Arial Narrow" w:cs="Arial Narrow"/>
          <w:sz w:val="18"/>
          <w:szCs w:val="18"/>
        </w:rPr>
        <w:footnoteRef/>
      </w:r>
      <w:r w:rsidRPr="00695C93" w:rsidR="00AA7C40">
        <w:rPr>
          <w:rFonts w:ascii="Arial Narrow" w:hAnsi="Arial Narrow" w:cs="Arial Narrow"/>
          <w:sz w:val="18"/>
          <w:szCs w:val="18"/>
        </w:rPr>
        <w:t xml:space="preserve"> Zvyčajne mzdy zamestnancov rastú rýchlejšie ako nezdaniteľné časti základu dane, ktoré sú indexované približne na úrovni inflácie. Tento efekt zvyšuje daňové zaťaženie jednotlivca aj napriek tomu, že každý rok zarába napr. priemernú mzdu (jeho pozícia na mzdovej distribúcii sa nemení)</w:t>
      </w:r>
      <w:r w:rsidR="00AA7C40">
        <w:rPr>
          <w:rFonts w:ascii="Arial Narrow" w:hAnsi="Arial Narrow" w:cs="Arial Narrow"/>
          <w:sz w:val="18"/>
          <w:szCs w:val="18"/>
        </w:rPr>
        <w:t>.</w:t>
      </w:r>
    </w:p>
  </w:footnote>
  <w:footnote w:id="5">
    <w:p w:rsidP="00A1281C">
      <w:pPr>
        <w:autoSpaceDE w:val="0"/>
        <w:autoSpaceDN w:val="0"/>
        <w:bidi w:val="0"/>
        <w:adjustRightInd w:val="0"/>
        <w:ind w:left="180" w:hanging="180"/>
        <w:jc w:val="both"/>
      </w:pPr>
      <w:r w:rsidRPr="008268E3" w:rsidR="00AA7C40">
        <w:rPr>
          <w:rStyle w:val="FootnoteReference"/>
          <w:rFonts w:ascii="Arial Narrow" w:hAnsi="Arial Narrow" w:cs="Arial Narrow"/>
          <w:sz w:val="18"/>
          <w:szCs w:val="18"/>
        </w:rPr>
        <w:footnoteRef/>
      </w:r>
      <w:r w:rsidRPr="008268E3" w:rsidR="00AA7C40">
        <w:rPr>
          <w:rFonts w:ascii="Arial Narrow" w:hAnsi="Arial Narrow" w:cs="Arial Narrow"/>
          <w:sz w:val="18"/>
          <w:szCs w:val="18"/>
        </w:rPr>
        <w:t xml:space="preserve"> </w:t>
        <w:tab/>
        <w:t>Transmisný program Eurostatu; tabuľka 200 (Obsahuje daňové príjmy verejnej správy - sektor S13); Notifikácia deficitu a dlhu k 1.4.2010.</w:t>
      </w:r>
      <w:r w:rsidR="00AA7C40">
        <w:rPr>
          <w:rFonts w:ascii="Arial Narrow" w:hAnsi="Arial Narrow" w:cs="Arial Narrow"/>
          <w:sz w:val="18"/>
          <w:szCs w:val="18"/>
        </w:rPr>
        <w:t xml:space="preserve"> Údaje za Slovensko boli aktualizované.</w:t>
      </w:r>
    </w:p>
  </w:footnote>
  <w:footnote w:id="6">
    <w:p w:rsidP="00A1281C">
      <w:pPr>
        <w:pStyle w:val="FootnoteText"/>
        <w:bidi w:val="0"/>
        <w:ind w:left="180" w:hanging="180"/>
        <w:jc w:val="both"/>
      </w:pPr>
      <w:r w:rsidRPr="008268E3" w:rsidR="00AA7C40">
        <w:rPr>
          <w:rStyle w:val="FootnoteReference"/>
          <w:rFonts w:ascii="Arial Narrow" w:hAnsi="Arial Narrow" w:cs="Arial Narrow"/>
          <w:sz w:val="18"/>
          <w:szCs w:val="18"/>
        </w:rPr>
        <w:footnoteRef/>
      </w:r>
      <w:r w:rsidRPr="008268E3" w:rsidR="00AA7C40">
        <w:rPr>
          <w:rFonts w:ascii="Arial Narrow" w:hAnsi="Arial Narrow" w:cs="Arial Narrow"/>
        </w:rPr>
        <w:t xml:space="preserve"> </w:t>
        <w:tab/>
      </w:r>
      <w:r w:rsidR="00AA7C40">
        <w:rPr>
          <w:rFonts w:ascii="Arial Narrow" w:hAnsi="Arial Narrow" w:cs="Arial Narrow"/>
          <w:sz w:val="18"/>
          <w:szCs w:val="18"/>
        </w:rPr>
        <w:t>Daňové príjmy podľa metodiky ESA 95 v sebe zahŕňajú okrem daní a odvodov v zmysle rozpočtovej klasifikácie aj časť nedaňových príjmov (poplatky a iné platby), ktoré spĺňajú charakter dane. (napr. odvody z hazardných hier, vybrané administratívne poplatky, a pod.)</w:t>
      </w:r>
    </w:p>
  </w:footnote>
  <w:footnote w:id="7">
    <w:p w:rsidP="00A1281C">
      <w:pPr>
        <w:pStyle w:val="FootnoteText"/>
        <w:bidi w:val="0"/>
        <w:ind w:left="181" w:hanging="181"/>
        <w:jc w:val="both"/>
      </w:pPr>
      <w:r w:rsidRPr="008268E3" w:rsidR="00AA7C40">
        <w:rPr>
          <w:rStyle w:val="FootnoteReference"/>
          <w:rFonts w:ascii="Arial Narrow" w:hAnsi="Arial Narrow" w:cs="Arial Narrow"/>
        </w:rPr>
        <w:footnoteRef/>
      </w:r>
      <w:r w:rsidRPr="008268E3" w:rsidR="00AA7C40">
        <w:rPr>
          <w:rFonts w:ascii="Arial Narrow" w:hAnsi="Arial Narrow" w:cs="Arial Narrow"/>
        </w:rPr>
        <w:t xml:space="preserve"> </w:t>
        <w:tab/>
      </w:r>
      <w:r w:rsidRPr="00AA291B" w:rsidR="00AA7C40">
        <w:rPr>
          <w:rFonts w:ascii="Arial Narrow" w:hAnsi="Arial Narrow" w:cs="Arial Narrow"/>
          <w:sz w:val="18"/>
          <w:szCs w:val="18"/>
        </w:rPr>
        <w:t>Ak je priemerná odchýlka prognózy člena (vyjadrená v %) od prognózy MF SR v intervale &lt;-1; 1&gt;, prognóza MF SR je realistická, ak je väčšia ako 1, tak prognóza MF SR je podhodnotená a ak je menšia ako -1, vtedy je nadhodnotená. Jednotlivé odchýlky v rokoch majú rozdielne váhy pri výpočte celkovej odchýlky od prognózy MFSR v závislosti od dôležitosti pre najbližší rozpočtový rok.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4D5"/>
    <w:multiLevelType w:val="hybridMultilevel"/>
    <w:tmpl w:val="D7A6BE08"/>
    <w:lvl w:ilvl="0">
      <w:start w:val="0"/>
      <w:numFmt w:val="bullet"/>
      <w:lvlText w:val="-"/>
      <w:lvlJc w:val="left"/>
      <w:pPr>
        <w:tabs>
          <w:tab w:val="num" w:pos="2160"/>
        </w:tabs>
        <w:ind w:left="216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EF7DA8"/>
    <w:multiLevelType w:val="hybridMultilevel"/>
    <w:tmpl w:val="3C5846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82A1C9E"/>
    <w:multiLevelType w:val="hybridMultilevel"/>
    <w:tmpl w:val="187822B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0D16BEA"/>
    <w:multiLevelType w:val="hybridMultilevel"/>
    <w:tmpl w:val="886E884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5721159"/>
    <w:multiLevelType w:val="hybridMultilevel"/>
    <w:tmpl w:val="F970EE12"/>
    <w:lvl w:ilvl="0">
      <w:start w:val="0"/>
      <w:numFmt w:val="bullet"/>
      <w:lvlText w:val="-"/>
      <w:lvlJc w:val="left"/>
      <w:pPr>
        <w:ind w:left="405" w:hanging="360"/>
      </w:pPr>
      <w:rPr>
        <w:rFonts w:ascii="Arial Narrow" w:eastAsia="Times New Roman" w:hAnsi="Arial Narrow"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5">
    <w:nsid w:val="3D3F5E22"/>
    <w:multiLevelType w:val="hybridMultilevel"/>
    <w:tmpl w:val="F07EB1A0"/>
    <w:lvl w:ilvl="0">
      <w:start w:val="0"/>
      <w:numFmt w:val="bullet"/>
      <w:lvlText w:val="-"/>
      <w:lvlJc w:val="left"/>
      <w:pPr>
        <w:tabs>
          <w:tab w:val="num" w:pos="420"/>
        </w:tabs>
        <w:ind w:left="4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3C06612"/>
    <w:multiLevelType w:val="hybridMultilevel"/>
    <w:tmpl w:val="3FA2ACF2"/>
    <w:lvl w:ilvl="0">
      <w:start w:val="0"/>
      <w:numFmt w:val="bullet"/>
      <w:lvlText w:val="–"/>
      <w:lvlJc w:val="left"/>
      <w:pPr>
        <w:ind w:left="1428" w:hanging="360"/>
      </w:pPr>
      <w:rPr>
        <w:rFonts w:ascii="Arial Narrow" w:eastAsia="Times New Roman" w:hAnsi="Arial Narro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FEA5A5C"/>
    <w:multiLevelType w:val="hybridMultilevel"/>
    <w:tmpl w:val="9710DBFC"/>
    <w:lvl w:ilvl="0">
      <w:start w:val="0"/>
      <w:numFmt w:val="bullet"/>
      <w:lvlText w:val="–"/>
      <w:lvlJc w:val="left"/>
      <w:pPr>
        <w:tabs>
          <w:tab w:val="num" w:pos="289"/>
        </w:tabs>
        <w:ind w:left="289" w:hanging="289"/>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06D0A77"/>
    <w:multiLevelType w:val="hybridMultilevel"/>
    <w:tmpl w:val="2D1C0B38"/>
    <w:lvl w:ilvl="0">
      <w:start w:val="1"/>
      <w:numFmt w:val="bullet"/>
      <w:lvlText w:val="-"/>
      <w:lvlJc w:val="left"/>
      <w:pPr>
        <w:tabs>
          <w:tab w:val="num" w:pos="397"/>
        </w:tabs>
        <w:ind w:left="397" w:hanging="397"/>
      </w:pPr>
      <w:rPr>
        <w:rFonts w:ascii="Arial Narrow"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2727C1"/>
    <w:multiLevelType w:val="hybridMultilevel"/>
    <w:tmpl w:val="9F946F7A"/>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7"/>
  </w:num>
  <w:num w:numId="8">
    <w:abstractNumId w:val="6"/>
  </w:num>
  <w:num w:numId="9">
    <w:abstractNumId w:val="9"/>
  </w:num>
  <w:num w:numId="10">
    <w:abstractNumId w:val="8"/>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9B0704"/>
    <w:rsid w:val="0000001F"/>
    <w:rsid w:val="000045C9"/>
    <w:rsid w:val="00006F79"/>
    <w:rsid w:val="00007DFA"/>
    <w:rsid w:val="000100AC"/>
    <w:rsid w:val="00010118"/>
    <w:rsid w:val="00010648"/>
    <w:rsid w:val="00010E39"/>
    <w:rsid w:val="00012DD6"/>
    <w:rsid w:val="000146D2"/>
    <w:rsid w:val="000147A9"/>
    <w:rsid w:val="00014B3C"/>
    <w:rsid w:val="000159AC"/>
    <w:rsid w:val="00017045"/>
    <w:rsid w:val="00017776"/>
    <w:rsid w:val="00017A0F"/>
    <w:rsid w:val="0002003F"/>
    <w:rsid w:val="000200E7"/>
    <w:rsid w:val="00021F2A"/>
    <w:rsid w:val="00025343"/>
    <w:rsid w:val="00026163"/>
    <w:rsid w:val="000301B0"/>
    <w:rsid w:val="000342A9"/>
    <w:rsid w:val="0003625D"/>
    <w:rsid w:val="00037E56"/>
    <w:rsid w:val="0004161D"/>
    <w:rsid w:val="0004192D"/>
    <w:rsid w:val="00041F24"/>
    <w:rsid w:val="00042F37"/>
    <w:rsid w:val="000432AB"/>
    <w:rsid w:val="00045367"/>
    <w:rsid w:val="00045E3D"/>
    <w:rsid w:val="00047D1A"/>
    <w:rsid w:val="00047D64"/>
    <w:rsid w:val="000522B4"/>
    <w:rsid w:val="00052718"/>
    <w:rsid w:val="00053930"/>
    <w:rsid w:val="000544EF"/>
    <w:rsid w:val="000604A9"/>
    <w:rsid w:val="000608CC"/>
    <w:rsid w:val="000609F0"/>
    <w:rsid w:val="00061A30"/>
    <w:rsid w:val="00062C83"/>
    <w:rsid w:val="00063249"/>
    <w:rsid w:val="0006415D"/>
    <w:rsid w:val="00070631"/>
    <w:rsid w:val="000706A2"/>
    <w:rsid w:val="000722B6"/>
    <w:rsid w:val="00072A8D"/>
    <w:rsid w:val="000746A7"/>
    <w:rsid w:val="000758F3"/>
    <w:rsid w:val="000761AB"/>
    <w:rsid w:val="000809AE"/>
    <w:rsid w:val="00080CEB"/>
    <w:rsid w:val="00082AAC"/>
    <w:rsid w:val="00083ACE"/>
    <w:rsid w:val="000842EC"/>
    <w:rsid w:val="00084BEA"/>
    <w:rsid w:val="0008605E"/>
    <w:rsid w:val="00087B0A"/>
    <w:rsid w:val="00091201"/>
    <w:rsid w:val="00091889"/>
    <w:rsid w:val="000943DD"/>
    <w:rsid w:val="000955DC"/>
    <w:rsid w:val="000A0F2A"/>
    <w:rsid w:val="000A1193"/>
    <w:rsid w:val="000A1B77"/>
    <w:rsid w:val="000A20DF"/>
    <w:rsid w:val="000A2234"/>
    <w:rsid w:val="000A301E"/>
    <w:rsid w:val="000A3519"/>
    <w:rsid w:val="000A3796"/>
    <w:rsid w:val="000A3E21"/>
    <w:rsid w:val="000A6556"/>
    <w:rsid w:val="000A7BD6"/>
    <w:rsid w:val="000B1488"/>
    <w:rsid w:val="000B17D0"/>
    <w:rsid w:val="000B1EC2"/>
    <w:rsid w:val="000B360F"/>
    <w:rsid w:val="000B4E38"/>
    <w:rsid w:val="000B51C0"/>
    <w:rsid w:val="000B6404"/>
    <w:rsid w:val="000B7656"/>
    <w:rsid w:val="000C1243"/>
    <w:rsid w:val="000C20CD"/>
    <w:rsid w:val="000C3C9A"/>
    <w:rsid w:val="000C538E"/>
    <w:rsid w:val="000C5B2C"/>
    <w:rsid w:val="000D2123"/>
    <w:rsid w:val="000D2BB2"/>
    <w:rsid w:val="000D3AE3"/>
    <w:rsid w:val="000D5771"/>
    <w:rsid w:val="000D58E4"/>
    <w:rsid w:val="000D5B19"/>
    <w:rsid w:val="000D7887"/>
    <w:rsid w:val="000E21F3"/>
    <w:rsid w:val="000E3F67"/>
    <w:rsid w:val="000E6406"/>
    <w:rsid w:val="000E77B2"/>
    <w:rsid w:val="000F15F9"/>
    <w:rsid w:val="000F2C05"/>
    <w:rsid w:val="000F2FD8"/>
    <w:rsid w:val="000F3285"/>
    <w:rsid w:val="000F375B"/>
    <w:rsid w:val="000F3ADF"/>
    <w:rsid w:val="000F41ED"/>
    <w:rsid w:val="000F654E"/>
    <w:rsid w:val="000F7974"/>
    <w:rsid w:val="001007C0"/>
    <w:rsid w:val="001007E9"/>
    <w:rsid w:val="00101099"/>
    <w:rsid w:val="00103765"/>
    <w:rsid w:val="001048F3"/>
    <w:rsid w:val="001070F7"/>
    <w:rsid w:val="0011044E"/>
    <w:rsid w:val="00111051"/>
    <w:rsid w:val="00113C25"/>
    <w:rsid w:val="001156C8"/>
    <w:rsid w:val="00117911"/>
    <w:rsid w:val="00117F1D"/>
    <w:rsid w:val="0012043D"/>
    <w:rsid w:val="001217FA"/>
    <w:rsid w:val="001229B1"/>
    <w:rsid w:val="00123748"/>
    <w:rsid w:val="0012379F"/>
    <w:rsid w:val="001258F0"/>
    <w:rsid w:val="00125926"/>
    <w:rsid w:val="0012609C"/>
    <w:rsid w:val="001263CC"/>
    <w:rsid w:val="0012688D"/>
    <w:rsid w:val="00126C30"/>
    <w:rsid w:val="00131A28"/>
    <w:rsid w:val="00132117"/>
    <w:rsid w:val="00132F80"/>
    <w:rsid w:val="001330FD"/>
    <w:rsid w:val="001339B7"/>
    <w:rsid w:val="00133B9A"/>
    <w:rsid w:val="00134799"/>
    <w:rsid w:val="0013660A"/>
    <w:rsid w:val="001366FE"/>
    <w:rsid w:val="00137107"/>
    <w:rsid w:val="001373AA"/>
    <w:rsid w:val="00140E1D"/>
    <w:rsid w:val="00140F6D"/>
    <w:rsid w:val="00141173"/>
    <w:rsid w:val="00141DEB"/>
    <w:rsid w:val="00142F2B"/>
    <w:rsid w:val="001433B3"/>
    <w:rsid w:val="001479D4"/>
    <w:rsid w:val="00152079"/>
    <w:rsid w:val="0015326A"/>
    <w:rsid w:val="00153E46"/>
    <w:rsid w:val="001567FF"/>
    <w:rsid w:val="00156985"/>
    <w:rsid w:val="00156E47"/>
    <w:rsid w:val="0015768D"/>
    <w:rsid w:val="00157F83"/>
    <w:rsid w:val="001604DF"/>
    <w:rsid w:val="001609C3"/>
    <w:rsid w:val="001610DA"/>
    <w:rsid w:val="00162220"/>
    <w:rsid w:val="001649F0"/>
    <w:rsid w:val="00167B4F"/>
    <w:rsid w:val="00170164"/>
    <w:rsid w:val="00170932"/>
    <w:rsid w:val="00170A18"/>
    <w:rsid w:val="00171B19"/>
    <w:rsid w:val="00171F0A"/>
    <w:rsid w:val="00172548"/>
    <w:rsid w:val="00177C7E"/>
    <w:rsid w:val="001823F2"/>
    <w:rsid w:val="0018345F"/>
    <w:rsid w:val="00183C84"/>
    <w:rsid w:val="00185838"/>
    <w:rsid w:val="00186155"/>
    <w:rsid w:val="00186B1C"/>
    <w:rsid w:val="001900A1"/>
    <w:rsid w:val="001906D9"/>
    <w:rsid w:val="00194186"/>
    <w:rsid w:val="00194601"/>
    <w:rsid w:val="00195A1D"/>
    <w:rsid w:val="00195DFF"/>
    <w:rsid w:val="001A0C2B"/>
    <w:rsid w:val="001A0C6D"/>
    <w:rsid w:val="001A24BB"/>
    <w:rsid w:val="001A2AD9"/>
    <w:rsid w:val="001A2D28"/>
    <w:rsid w:val="001A652B"/>
    <w:rsid w:val="001A79ED"/>
    <w:rsid w:val="001B60E1"/>
    <w:rsid w:val="001B6B83"/>
    <w:rsid w:val="001B7124"/>
    <w:rsid w:val="001B72B3"/>
    <w:rsid w:val="001C4041"/>
    <w:rsid w:val="001C4A92"/>
    <w:rsid w:val="001C4AEA"/>
    <w:rsid w:val="001C4E30"/>
    <w:rsid w:val="001C5DCC"/>
    <w:rsid w:val="001C71C0"/>
    <w:rsid w:val="001C775B"/>
    <w:rsid w:val="001C7941"/>
    <w:rsid w:val="001D0449"/>
    <w:rsid w:val="001D7103"/>
    <w:rsid w:val="001E020F"/>
    <w:rsid w:val="001E0718"/>
    <w:rsid w:val="001E0BA2"/>
    <w:rsid w:val="001E397B"/>
    <w:rsid w:val="001E4D63"/>
    <w:rsid w:val="001E5046"/>
    <w:rsid w:val="001E5B24"/>
    <w:rsid w:val="001E5DD2"/>
    <w:rsid w:val="001E70C4"/>
    <w:rsid w:val="001F21DD"/>
    <w:rsid w:val="001F28CD"/>
    <w:rsid w:val="001F30F9"/>
    <w:rsid w:val="001F3142"/>
    <w:rsid w:val="001F5B7D"/>
    <w:rsid w:val="001F634D"/>
    <w:rsid w:val="001F65F1"/>
    <w:rsid w:val="001F6C3F"/>
    <w:rsid w:val="001F6C50"/>
    <w:rsid w:val="001F6CEF"/>
    <w:rsid w:val="001F6E9C"/>
    <w:rsid w:val="00200D60"/>
    <w:rsid w:val="002020CE"/>
    <w:rsid w:val="00202F83"/>
    <w:rsid w:val="002042D4"/>
    <w:rsid w:val="0020566B"/>
    <w:rsid w:val="0020644E"/>
    <w:rsid w:val="00210C01"/>
    <w:rsid w:val="0021120F"/>
    <w:rsid w:val="002120D0"/>
    <w:rsid w:val="0021292A"/>
    <w:rsid w:val="002131ED"/>
    <w:rsid w:val="00213A52"/>
    <w:rsid w:val="002144A1"/>
    <w:rsid w:val="002151E7"/>
    <w:rsid w:val="00215294"/>
    <w:rsid w:val="00217456"/>
    <w:rsid w:val="00217D9B"/>
    <w:rsid w:val="00220276"/>
    <w:rsid w:val="002222B3"/>
    <w:rsid w:val="002223B1"/>
    <w:rsid w:val="00224E65"/>
    <w:rsid w:val="0022571F"/>
    <w:rsid w:val="00225872"/>
    <w:rsid w:val="00226967"/>
    <w:rsid w:val="00226EFF"/>
    <w:rsid w:val="0022755B"/>
    <w:rsid w:val="00227FF0"/>
    <w:rsid w:val="00236978"/>
    <w:rsid w:val="00236AA2"/>
    <w:rsid w:val="00236F5D"/>
    <w:rsid w:val="002376AE"/>
    <w:rsid w:val="002379FE"/>
    <w:rsid w:val="002401EB"/>
    <w:rsid w:val="0024039E"/>
    <w:rsid w:val="00240E04"/>
    <w:rsid w:val="00241E7A"/>
    <w:rsid w:val="00242CF9"/>
    <w:rsid w:val="00244191"/>
    <w:rsid w:val="0024598E"/>
    <w:rsid w:val="00245F1A"/>
    <w:rsid w:val="00246EAF"/>
    <w:rsid w:val="002504EC"/>
    <w:rsid w:val="00250A42"/>
    <w:rsid w:val="002525C9"/>
    <w:rsid w:val="00252954"/>
    <w:rsid w:val="0025332E"/>
    <w:rsid w:val="002536AA"/>
    <w:rsid w:val="00256B13"/>
    <w:rsid w:val="00257B24"/>
    <w:rsid w:val="00260972"/>
    <w:rsid w:val="00262059"/>
    <w:rsid w:val="002624D8"/>
    <w:rsid w:val="002629A1"/>
    <w:rsid w:val="002635D2"/>
    <w:rsid w:val="0026527B"/>
    <w:rsid w:val="002658D5"/>
    <w:rsid w:val="0026655D"/>
    <w:rsid w:val="002667D6"/>
    <w:rsid w:val="002670B5"/>
    <w:rsid w:val="00267942"/>
    <w:rsid w:val="00270749"/>
    <w:rsid w:val="00270961"/>
    <w:rsid w:val="00270A26"/>
    <w:rsid w:val="002710B5"/>
    <w:rsid w:val="00271764"/>
    <w:rsid w:val="00271F94"/>
    <w:rsid w:val="00272676"/>
    <w:rsid w:val="00272CC4"/>
    <w:rsid w:val="00274F1D"/>
    <w:rsid w:val="0027561E"/>
    <w:rsid w:val="00276114"/>
    <w:rsid w:val="00276B7D"/>
    <w:rsid w:val="00277FF2"/>
    <w:rsid w:val="002824F0"/>
    <w:rsid w:val="002837D9"/>
    <w:rsid w:val="00284BDB"/>
    <w:rsid w:val="00284C5F"/>
    <w:rsid w:val="0028799D"/>
    <w:rsid w:val="00287CC6"/>
    <w:rsid w:val="00293CA1"/>
    <w:rsid w:val="0029685E"/>
    <w:rsid w:val="00296DFD"/>
    <w:rsid w:val="002A181B"/>
    <w:rsid w:val="002A1937"/>
    <w:rsid w:val="002A2011"/>
    <w:rsid w:val="002A2269"/>
    <w:rsid w:val="002A4A3A"/>
    <w:rsid w:val="002A4DD2"/>
    <w:rsid w:val="002A5B9B"/>
    <w:rsid w:val="002A6464"/>
    <w:rsid w:val="002A7190"/>
    <w:rsid w:val="002A7807"/>
    <w:rsid w:val="002B3431"/>
    <w:rsid w:val="002B3F91"/>
    <w:rsid w:val="002B4324"/>
    <w:rsid w:val="002B595A"/>
    <w:rsid w:val="002B5DFC"/>
    <w:rsid w:val="002B5F98"/>
    <w:rsid w:val="002B62DA"/>
    <w:rsid w:val="002B6579"/>
    <w:rsid w:val="002C0507"/>
    <w:rsid w:val="002C1940"/>
    <w:rsid w:val="002C26B7"/>
    <w:rsid w:val="002C4A29"/>
    <w:rsid w:val="002C4BAE"/>
    <w:rsid w:val="002C751E"/>
    <w:rsid w:val="002D099D"/>
    <w:rsid w:val="002D1700"/>
    <w:rsid w:val="002D340C"/>
    <w:rsid w:val="002D5035"/>
    <w:rsid w:val="002E2734"/>
    <w:rsid w:val="002E29D5"/>
    <w:rsid w:val="002E42A9"/>
    <w:rsid w:val="002E520B"/>
    <w:rsid w:val="002E6150"/>
    <w:rsid w:val="002E62FC"/>
    <w:rsid w:val="002E6E27"/>
    <w:rsid w:val="002F062B"/>
    <w:rsid w:val="002F23EC"/>
    <w:rsid w:val="002F2617"/>
    <w:rsid w:val="002F2D15"/>
    <w:rsid w:val="002F3DFD"/>
    <w:rsid w:val="002F5A6E"/>
    <w:rsid w:val="002F5AD4"/>
    <w:rsid w:val="002F669B"/>
    <w:rsid w:val="002F72E5"/>
    <w:rsid w:val="00301967"/>
    <w:rsid w:val="00301A94"/>
    <w:rsid w:val="003037D8"/>
    <w:rsid w:val="00304534"/>
    <w:rsid w:val="003058B0"/>
    <w:rsid w:val="00305C9D"/>
    <w:rsid w:val="00310B5D"/>
    <w:rsid w:val="00310D0B"/>
    <w:rsid w:val="00311DA0"/>
    <w:rsid w:val="00311E96"/>
    <w:rsid w:val="003121F3"/>
    <w:rsid w:val="00312541"/>
    <w:rsid w:val="00312A6A"/>
    <w:rsid w:val="0031328A"/>
    <w:rsid w:val="00313B59"/>
    <w:rsid w:val="00314343"/>
    <w:rsid w:val="003156E9"/>
    <w:rsid w:val="00316D6D"/>
    <w:rsid w:val="003176AC"/>
    <w:rsid w:val="00317C6A"/>
    <w:rsid w:val="00320621"/>
    <w:rsid w:val="003212E4"/>
    <w:rsid w:val="0032218B"/>
    <w:rsid w:val="003236C6"/>
    <w:rsid w:val="0032398F"/>
    <w:rsid w:val="003241C3"/>
    <w:rsid w:val="003248B4"/>
    <w:rsid w:val="003252E1"/>
    <w:rsid w:val="00326842"/>
    <w:rsid w:val="00330116"/>
    <w:rsid w:val="00330D12"/>
    <w:rsid w:val="00330F5E"/>
    <w:rsid w:val="00331C6B"/>
    <w:rsid w:val="00331DFF"/>
    <w:rsid w:val="00332D0E"/>
    <w:rsid w:val="00332E24"/>
    <w:rsid w:val="00335880"/>
    <w:rsid w:val="00335AD8"/>
    <w:rsid w:val="003360A5"/>
    <w:rsid w:val="00336860"/>
    <w:rsid w:val="00337D03"/>
    <w:rsid w:val="00340883"/>
    <w:rsid w:val="00341EB6"/>
    <w:rsid w:val="00342188"/>
    <w:rsid w:val="00342D05"/>
    <w:rsid w:val="003455F2"/>
    <w:rsid w:val="00345D36"/>
    <w:rsid w:val="003461AC"/>
    <w:rsid w:val="003463C2"/>
    <w:rsid w:val="0034694F"/>
    <w:rsid w:val="00351D57"/>
    <w:rsid w:val="0035271C"/>
    <w:rsid w:val="0035367F"/>
    <w:rsid w:val="00355CD9"/>
    <w:rsid w:val="00355E8E"/>
    <w:rsid w:val="0035636D"/>
    <w:rsid w:val="003567B1"/>
    <w:rsid w:val="00357806"/>
    <w:rsid w:val="003603E5"/>
    <w:rsid w:val="003606E5"/>
    <w:rsid w:val="00361258"/>
    <w:rsid w:val="003618AE"/>
    <w:rsid w:val="003623FB"/>
    <w:rsid w:val="00362451"/>
    <w:rsid w:val="0036267F"/>
    <w:rsid w:val="0036344B"/>
    <w:rsid w:val="00364E41"/>
    <w:rsid w:val="00365053"/>
    <w:rsid w:val="00365B3B"/>
    <w:rsid w:val="00366554"/>
    <w:rsid w:val="003669E0"/>
    <w:rsid w:val="00366E2A"/>
    <w:rsid w:val="00371116"/>
    <w:rsid w:val="00377C15"/>
    <w:rsid w:val="00377C2F"/>
    <w:rsid w:val="00382090"/>
    <w:rsid w:val="003821DE"/>
    <w:rsid w:val="00383F41"/>
    <w:rsid w:val="00385239"/>
    <w:rsid w:val="00386145"/>
    <w:rsid w:val="00386303"/>
    <w:rsid w:val="00386A8C"/>
    <w:rsid w:val="00386FFA"/>
    <w:rsid w:val="00392235"/>
    <w:rsid w:val="0039307E"/>
    <w:rsid w:val="003943BB"/>
    <w:rsid w:val="00397228"/>
    <w:rsid w:val="003A3E94"/>
    <w:rsid w:val="003A42EE"/>
    <w:rsid w:val="003A43C5"/>
    <w:rsid w:val="003A7796"/>
    <w:rsid w:val="003B03EE"/>
    <w:rsid w:val="003B069F"/>
    <w:rsid w:val="003B097E"/>
    <w:rsid w:val="003B2263"/>
    <w:rsid w:val="003B2DEA"/>
    <w:rsid w:val="003B30FC"/>
    <w:rsid w:val="003B4712"/>
    <w:rsid w:val="003B5EAD"/>
    <w:rsid w:val="003B614B"/>
    <w:rsid w:val="003C0DEA"/>
    <w:rsid w:val="003C0DFC"/>
    <w:rsid w:val="003C30F4"/>
    <w:rsid w:val="003C37E9"/>
    <w:rsid w:val="003C4AE0"/>
    <w:rsid w:val="003C5072"/>
    <w:rsid w:val="003C5E94"/>
    <w:rsid w:val="003C6177"/>
    <w:rsid w:val="003C7460"/>
    <w:rsid w:val="003D06B2"/>
    <w:rsid w:val="003D2F51"/>
    <w:rsid w:val="003D47FB"/>
    <w:rsid w:val="003D4829"/>
    <w:rsid w:val="003D5269"/>
    <w:rsid w:val="003E39F7"/>
    <w:rsid w:val="003E491C"/>
    <w:rsid w:val="003E4BFE"/>
    <w:rsid w:val="003E59EB"/>
    <w:rsid w:val="003E6979"/>
    <w:rsid w:val="003E6D94"/>
    <w:rsid w:val="003E74A1"/>
    <w:rsid w:val="003F081B"/>
    <w:rsid w:val="003F11C4"/>
    <w:rsid w:val="003F188E"/>
    <w:rsid w:val="003F222A"/>
    <w:rsid w:val="003F2381"/>
    <w:rsid w:val="003F3A15"/>
    <w:rsid w:val="003F4626"/>
    <w:rsid w:val="003F4735"/>
    <w:rsid w:val="003F5E5F"/>
    <w:rsid w:val="003F66E8"/>
    <w:rsid w:val="003F702E"/>
    <w:rsid w:val="003F7BC6"/>
    <w:rsid w:val="00400142"/>
    <w:rsid w:val="004025CC"/>
    <w:rsid w:val="004028BB"/>
    <w:rsid w:val="00403A9F"/>
    <w:rsid w:val="00404A75"/>
    <w:rsid w:val="00410D11"/>
    <w:rsid w:val="0041370A"/>
    <w:rsid w:val="004158B3"/>
    <w:rsid w:val="00416A9A"/>
    <w:rsid w:val="00417604"/>
    <w:rsid w:val="00421E7F"/>
    <w:rsid w:val="004226BE"/>
    <w:rsid w:val="004226C0"/>
    <w:rsid w:val="004227A6"/>
    <w:rsid w:val="00422D8C"/>
    <w:rsid w:val="00424D51"/>
    <w:rsid w:val="004273AE"/>
    <w:rsid w:val="00427981"/>
    <w:rsid w:val="00433EC9"/>
    <w:rsid w:val="0043414D"/>
    <w:rsid w:val="00434F7A"/>
    <w:rsid w:val="00435441"/>
    <w:rsid w:val="0043546E"/>
    <w:rsid w:val="004361AF"/>
    <w:rsid w:val="00440338"/>
    <w:rsid w:val="004427D2"/>
    <w:rsid w:val="00442F85"/>
    <w:rsid w:val="004430CB"/>
    <w:rsid w:val="0044618F"/>
    <w:rsid w:val="00451F07"/>
    <w:rsid w:val="00452D6D"/>
    <w:rsid w:val="00453364"/>
    <w:rsid w:val="00453811"/>
    <w:rsid w:val="00453D14"/>
    <w:rsid w:val="0045463B"/>
    <w:rsid w:val="00454A22"/>
    <w:rsid w:val="00457E34"/>
    <w:rsid w:val="00461DFB"/>
    <w:rsid w:val="00462B6C"/>
    <w:rsid w:val="00464DB9"/>
    <w:rsid w:val="00466373"/>
    <w:rsid w:val="00475175"/>
    <w:rsid w:val="00475F5B"/>
    <w:rsid w:val="00476AF0"/>
    <w:rsid w:val="0048039F"/>
    <w:rsid w:val="00480C5A"/>
    <w:rsid w:val="00483008"/>
    <w:rsid w:val="0048479C"/>
    <w:rsid w:val="0048657D"/>
    <w:rsid w:val="00487FC4"/>
    <w:rsid w:val="004907D8"/>
    <w:rsid w:val="00491C66"/>
    <w:rsid w:val="00492AF2"/>
    <w:rsid w:val="00492B1C"/>
    <w:rsid w:val="0049302A"/>
    <w:rsid w:val="00495032"/>
    <w:rsid w:val="0049527F"/>
    <w:rsid w:val="00496D91"/>
    <w:rsid w:val="004A0822"/>
    <w:rsid w:val="004A0C95"/>
    <w:rsid w:val="004A19E0"/>
    <w:rsid w:val="004A1B93"/>
    <w:rsid w:val="004A2399"/>
    <w:rsid w:val="004A2973"/>
    <w:rsid w:val="004A3238"/>
    <w:rsid w:val="004A41FE"/>
    <w:rsid w:val="004A442B"/>
    <w:rsid w:val="004A514C"/>
    <w:rsid w:val="004A7F5C"/>
    <w:rsid w:val="004B04C7"/>
    <w:rsid w:val="004B0772"/>
    <w:rsid w:val="004B0D35"/>
    <w:rsid w:val="004B25ED"/>
    <w:rsid w:val="004B386D"/>
    <w:rsid w:val="004B5FB5"/>
    <w:rsid w:val="004C1104"/>
    <w:rsid w:val="004C137B"/>
    <w:rsid w:val="004C2830"/>
    <w:rsid w:val="004C2D5D"/>
    <w:rsid w:val="004C4915"/>
    <w:rsid w:val="004C51AF"/>
    <w:rsid w:val="004D044F"/>
    <w:rsid w:val="004D25EB"/>
    <w:rsid w:val="004D2732"/>
    <w:rsid w:val="004D4350"/>
    <w:rsid w:val="004D53A1"/>
    <w:rsid w:val="004D5404"/>
    <w:rsid w:val="004D64AC"/>
    <w:rsid w:val="004D7A0E"/>
    <w:rsid w:val="004D7CA9"/>
    <w:rsid w:val="004E17F9"/>
    <w:rsid w:val="004E20EF"/>
    <w:rsid w:val="004E32FC"/>
    <w:rsid w:val="004F4021"/>
    <w:rsid w:val="00500261"/>
    <w:rsid w:val="005009DD"/>
    <w:rsid w:val="00501C5E"/>
    <w:rsid w:val="005023E7"/>
    <w:rsid w:val="00502F98"/>
    <w:rsid w:val="00504C14"/>
    <w:rsid w:val="00504DBA"/>
    <w:rsid w:val="00511906"/>
    <w:rsid w:val="0051255B"/>
    <w:rsid w:val="00512FEC"/>
    <w:rsid w:val="00513C58"/>
    <w:rsid w:val="00513FFB"/>
    <w:rsid w:val="005140B2"/>
    <w:rsid w:val="00514B77"/>
    <w:rsid w:val="00514F3A"/>
    <w:rsid w:val="0051597B"/>
    <w:rsid w:val="00515CCC"/>
    <w:rsid w:val="005176B0"/>
    <w:rsid w:val="00521F81"/>
    <w:rsid w:val="00522432"/>
    <w:rsid w:val="00530D23"/>
    <w:rsid w:val="00533B04"/>
    <w:rsid w:val="00534915"/>
    <w:rsid w:val="00535C00"/>
    <w:rsid w:val="00535DD4"/>
    <w:rsid w:val="005373E8"/>
    <w:rsid w:val="005373EF"/>
    <w:rsid w:val="00537A9A"/>
    <w:rsid w:val="005408A2"/>
    <w:rsid w:val="00542B3A"/>
    <w:rsid w:val="00542EC0"/>
    <w:rsid w:val="0054345C"/>
    <w:rsid w:val="0054548B"/>
    <w:rsid w:val="00547A4E"/>
    <w:rsid w:val="00552652"/>
    <w:rsid w:val="005527C3"/>
    <w:rsid w:val="00554655"/>
    <w:rsid w:val="00555783"/>
    <w:rsid w:val="0055660C"/>
    <w:rsid w:val="00557E85"/>
    <w:rsid w:val="00560753"/>
    <w:rsid w:val="00560BAF"/>
    <w:rsid w:val="005621A8"/>
    <w:rsid w:val="00562BB3"/>
    <w:rsid w:val="0056346E"/>
    <w:rsid w:val="005649B0"/>
    <w:rsid w:val="00564AFA"/>
    <w:rsid w:val="00566B16"/>
    <w:rsid w:val="0056720E"/>
    <w:rsid w:val="00567C63"/>
    <w:rsid w:val="005711EE"/>
    <w:rsid w:val="005716ED"/>
    <w:rsid w:val="00571936"/>
    <w:rsid w:val="00571A99"/>
    <w:rsid w:val="00572360"/>
    <w:rsid w:val="0057295D"/>
    <w:rsid w:val="0057485E"/>
    <w:rsid w:val="00576635"/>
    <w:rsid w:val="005804FA"/>
    <w:rsid w:val="005810B9"/>
    <w:rsid w:val="005811B5"/>
    <w:rsid w:val="00581272"/>
    <w:rsid w:val="00581BE6"/>
    <w:rsid w:val="005821D8"/>
    <w:rsid w:val="00582496"/>
    <w:rsid w:val="00582A96"/>
    <w:rsid w:val="00582D28"/>
    <w:rsid w:val="005834F3"/>
    <w:rsid w:val="005835E9"/>
    <w:rsid w:val="00583DFD"/>
    <w:rsid w:val="00585588"/>
    <w:rsid w:val="005856A6"/>
    <w:rsid w:val="00585C16"/>
    <w:rsid w:val="00586541"/>
    <w:rsid w:val="00587675"/>
    <w:rsid w:val="005879A3"/>
    <w:rsid w:val="00590D6F"/>
    <w:rsid w:val="005924FD"/>
    <w:rsid w:val="0059478E"/>
    <w:rsid w:val="00596C79"/>
    <w:rsid w:val="005976AF"/>
    <w:rsid w:val="005A0462"/>
    <w:rsid w:val="005A1F9C"/>
    <w:rsid w:val="005A3CF7"/>
    <w:rsid w:val="005A3FEB"/>
    <w:rsid w:val="005A5E6C"/>
    <w:rsid w:val="005A7C86"/>
    <w:rsid w:val="005B0A55"/>
    <w:rsid w:val="005B17AC"/>
    <w:rsid w:val="005B219F"/>
    <w:rsid w:val="005B2427"/>
    <w:rsid w:val="005B25F9"/>
    <w:rsid w:val="005B3387"/>
    <w:rsid w:val="005B5212"/>
    <w:rsid w:val="005B5768"/>
    <w:rsid w:val="005C03BF"/>
    <w:rsid w:val="005C15B7"/>
    <w:rsid w:val="005C1825"/>
    <w:rsid w:val="005C2AB4"/>
    <w:rsid w:val="005C43FB"/>
    <w:rsid w:val="005C4D41"/>
    <w:rsid w:val="005C5649"/>
    <w:rsid w:val="005C5D3D"/>
    <w:rsid w:val="005C7707"/>
    <w:rsid w:val="005C7EBC"/>
    <w:rsid w:val="005C7F51"/>
    <w:rsid w:val="005D1819"/>
    <w:rsid w:val="005D365D"/>
    <w:rsid w:val="005D53B0"/>
    <w:rsid w:val="005D542B"/>
    <w:rsid w:val="005D54BF"/>
    <w:rsid w:val="005D6462"/>
    <w:rsid w:val="005D6FF5"/>
    <w:rsid w:val="005D702C"/>
    <w:rsid w:val="005E01C7"/>
    <w:rsid w:val="005E0EC0"/>
    <w:rsid w:val="005E2A99"/>
    <w:rsid w:val="005E2B1C"/>
    <w:rsid w:val="005E3FDD"/>
    <w:rsid w:val="005F090E"/>
    <w:rsid w:val="005F1148"/>
    <w:rsid w:val="005F3167"/>
    <w:rsid w:val="005F3B4A"/>
    <w:rsid w:val="005F3CD0"/>
    <w:rsid w:val="005F3D29"/>
    <w:rsid w:val="005F6BC7"/>
    <w:rsid w:val="005F78F0"/>
    <w:rsid w:val="005F7D06"/>
    <w:rsid w:val="006008B1"/>
    <w:rsid w:val="00601702"/>
    <w:rsid w:val="006037E4"/>
    <w:rsid w:val="00603E35"/>
    <w:rsid w:val="00604243"/>
    <w:rsid w:val="00612AE1"/>
    <w:rsid w:val="00613079"/>
    <w:rsid w:val="006135C5"/>
    <w:rsid w:val="00613F6B"/>
    <w:rsid w:val="006144DC"/>
    <w:rsid w:val="0061616E"/>
    <w:rsid w:val="006166D7"/>
    <w:rsid w:val="006173F9"/>
    <w:rsid w:val="00620BA0"/>
    <w:rsid w:val="00621613"/>
    <w:rsid w:val="0062204C"/>
    <w:rsid w:val="0062217B"/>
    <w:rsid w:val="006235F7"/>
    <w:rsid w:val="006239FF"/>
    <w:rsid w:val="006259BE"/>
    <w:rsid w:val="00625B4E"/>
    <w:rsid w:val="006263EE"/>
    <w:rsid w:val="00627EC1"/>
    <w:rsid w:val="006307D4"/>
    <w:rsid w:val="0063093C"/>
    <w:rsid w:val="006312DA"/>
    <w:rsid w:val="006331FB"/>
    <w:rsid w:val="006345F1"/>
    <w:rsid w:val="006368B9"/>
    <w:rsid w:val="00637CAE"/>
    <w:rsid w:val="00637D84"/>
    <w:rsid w:val="006406D4"/>
    <w:rsid w:val="00641CAE"/>
    <w:rsid w:val="00644926"/>
    <w:rsid w:val="00645FB5"/>
    <w:rsid w:val="00646B4B"/>
    <w:rsid w:val="00647068"/>
    <w:rsid w:val="006476D3"/>
    <w:rsid w:val="00650469"/>
    <w:rsid w:val="00650A8F"/>
    <w:rsid w:val="006513D6"/>
    <w:rsid w:val="00651CD4"/>
    <w:rsid w:val="00653405"/>
    <w:rsid w:val="00653EB6"/>
    <w:rsid w:val="00654552"/>
    <w:rsid w:val="00655061"/>
    <w:rsid w:val="006561AB"/>
    <w:rsid w:val="00656402"/>
    <w:rsid w:val="006566EC"/>
    <w:rsid w:val="00656C18"/>
    <w:rsid w:val="0065747C"/>
    <w:rsid w:val="00661FAA"/>
    <w:rsid w:val="00662D69"/>
    <w:rsid w:val="00663A5C"/>
    <w:rsid w:val="00665D33"/>
    <w:rsid w:val="006660DC"/>
    <w:rsid w:val="00670754"/>
    <w:rsid w:val="00670835"/>
    <w:rsid w:val="00670E9D"/>
    <w:rsid w:val="00671AFA"/>
    <w:rsid w:val="006740C3"/>
    <w:rsid w:val="00674EF9"/>
    <w:rsid w:val="006750EC"/>
    <w:rsid w:val="00676349"/>
    <w:rsid w:val="00676B28"/>
    <w:rsid w:val="00684945"/>
    <w:rsid w:val="00684CF8"/>
    <w:rsid w:val="006863AF"/>
    <w:rsid w:val="006877C5"/>
    <w:rsid w:val="00691E81"/>
    <w:rsid w:val="00693C83"/>
    <w:rsid w:val="006947D3"/>
    <w:rsid w:val="00695C93"/>
    <w:rsid w:val="0069777F"/>
    <w:rsid w:val="006A0EAA"/>
    <w:rsid w:val="006A0EC7"/>
    <w:rsid w:val="006A1681"/>
    <w:rsid w:val="006A2EC7"/>
    <w:rsid w:val="006A53C0"/>
    <w:rsid w:val="006A5C1F"/>
    <w:rsid w:val="006B0508"/>
    <w:rsid w:val="006B3382"/>
    <w:rsid w:val="006B34EF"/>
    <w:rsid w:val="006B3A85"/>
    <w:rsid w:val="006B3C13"/>
    <w:rsid w:val="006B42C8"/>
    <w:rsid w:val="006B4767"/>
    <w:rsid w:val="006B56C8"/>
    <w:rsid w:val="006B5B52"/>
    <w:rsid w:val="006B6AE2"/>
    <w:rsid w:val="006B6C76"/>
    <w:rsid w:val="006B6D82"/>
    <w:rsid w:val="006C1CA5"/>
    <w:rsid w:val="006C21E7"/>
    <w:rsid w:val="006C5027"/>
    <w:rsid w:val="006C5E3E"/>
    <w:rsid w:val="006C6685"/>
    <w:rsid w:val="006D1415"/>
    <w:rsid w:val="006D2393"/>
    <w:rsid w:val="006D3641"/>
    <w:rsid w:val="006D38D8"/>
    <w:rsid w:val="006D48A5"/>
    <w:rsid w:val="006D706B"/>
    <w:rsid w:val="006E18D5"/>
    <w:rsid w:val="006E2DC1"/>
    <w:rsid w:val="006E33EE"/>
    <w:rsid w:val="006E4045"/>
    <w:rsid w:val="006E5AEF"/>
    <w:rsid w:val="006E6ACF"/>
    <w:rsid w:val="006F0ED8"/>
    <w:rsid w:val="006F1C0D"/>
    <w:rsid w:val="006F2A18"/>
    <w:rsid w:val="006F3E2D"/>
    <w:rsid w:val="006F4FC3"/>
    <w:rsid w:val="006F5C6E"/>
    <w:rsid w:val="006F720C"/>
    <w:rsid w:val="006F7698"/>
    <w:rsid w:val="006F783B"/>
    <w:rsid w:val="00701D9A"/>
    <w:rsid w:val="00702306"/>
    <w:rsid w:val="0071058F"/>
    <w:rsid w:val="007108BB"/>
    <w:rsid w:val="00711C31"/>
    <w:rsid w:val="00712FD9"/>
    <w:rsid w:val="00713174"/>
    <w:rsid w:val="0071685E"/>
    <w:rsid w:val="007168CF"/>
    <w:rsid w:val="007173EA"/>
    <w:rsid w:val="00717FAD"/>
    <w:rsid w:val="00721F6E"/>
    <w:rsid w:val="0072216E"/>
    <w:rsid w:val="0072445C"/>
    <w:rsid w:val="00724970"/>
    <w:rsid w:val="007251E8"/>
    <w:rsid w:val="007265B4"/>
    <w:rsid w:val="00726CE8"/>
    <w:rsid w:val="0073047B"/>
    <w:rsid w:val="0073347F"/>
    <w:rsid w:val="00734971"/>
    <w:rsid w:val="007360C3"/>
    <w:rsid w:val="0073721A"/>
    <w:rsid w:val="007373DB"/>
    <w:rsid w:val="007374A4"/>
    <w:rsid w:val="00737DE3"/>
    <w:rsid w:val="00740125"/>
    <w:rsid w:val="007418A3"/>
    <w:rsid w:val="00741CB4"/>
    <w:rsid w:val="0074269B"/>
    <w:rsid w:val="00743333"/>
    <w:rsid w:val="007449F1"/>
    <w:rsid w:val="00746663"/>
    <w:rsid w:val="0074759A"/>
    <w:rsid w:val="00747A57"/>
    <w:rsid w:val="00747DB6"/>
    <w:rsid w:val="0075024D"/>
    <w:rsid w:val="00751BEB"/>
    <w:rsid w:val="00751EE8"/>
    <w:rsid w:val="00752B85"/>
    <w:rsid w:val="00754351"/>
    <w:rsid w:val="007555C2"/>
    <w:rsid w:val="007579E1"/>
    <w:rsid w:val="00760208"/>
    <w:rsid w:val="00762722"/>
    <w:rsid w:val="007634C7"/>
    <w:rsid w:val="007634CF"/>
    <w:rsid w:val="00764860"/>
    <w:rsid w:val="00764ACA"/>
    <w:rsid w:val="00764B75"/>
    <w:rsid w:val="00765180"/>
    <w:rsid w:val="007669EF"/>
    <w:rsid w:val="007705A9"/>
    <w:rsid w:val="007720CE"/>
    <w:rsid w:val="00772153"/>
    <w:rsid w:val="00773BA8"/>
    <w:rsid w:val="00774484"/>
    <w:rsid w:val="00775228"/>
    <w:rsid w:val="00775566"/>
    <w:rsid w:val="0077653E"/>
    <w:rsid w:val="007775A4"/>
    <w:rsid w:val="00780FA6"/>
    <w:rsid w:val="007819CB"/>
    <w:rsid w:val="00781A2C"/>
    <w:rsid w:val="00782282"/>
    <w:rsid w:val="007835F8"/>
    <w:rsid w:val="00783727"/>
    <w:rsid w:val="007842C9"/>
    <w:rsid w:val="00784AD0"/>
    <w:rsid w:val="00790C9C"/>
    <w:rsid w:val="007910E8"/>
    <w:rsid w:val="00791610"/>
    <w:rsid w:val="00791DAA"/>
    <w:rsid w:val="00795632"/>
    <w:rsid w:val="007959C2"/>
    <w:rsid w:val="00797147"/>
    <w:rsid w:val="007A0A10"/>
    <w:rsid w:val="007A180B"/>
    <w:rsid w:val="007A2386"/>
    <w:rsid w:val="007A5A7A"/>
    <w:rsid w:val="007A6189"/>
    <w:rsid w:val="007A65A7"/>
    <w:rsid w:val="007B0A8E"/>
    <w:rsid w:val="007B0C2A"/>
    <w:rsid w:val="007B2577"/>
    <w:rsid w:val="007B2B4F"/>
    <w:rsid w:val="007B318E"/>
    <w:rsid w:val="007B37B5"/>
    <w:rsid w:val="007B45A1"/>
    <w:rsid w:val="007B48FB"/>
    <w:rsid w:val="007B619C"/>
    <w:rsid w:val="007B748A"/>
    <w:rsid w:val="007C0316"/>
    <w:rsid w:val="007C11CA"/>
    <w:rsid w:val="007C39A7"/>
    <w:rsid w:val="007C3DE2"/>
    <w:rsid w:val="007C7DA8"/>
    <w:rsid w:val="007D36C6"/>
    <w:rsid w:val="007D3FE9"/>
    <w:rsid w:val="007D632C"/>
    <w:rsid w:val="007E0B73"/>
    <w:rsid w:val="007E0DBE"/>
    <w:rsid w:val="007E4E12"/>
    <w:rsid w:val="007E54C1"/>
    <w:rsid w:val="007E5EAA"/>
    <w:rsid w:val="007E5FFA"/>
    <w:rsid w:val="007E6EF6"/>
    <w:rsid w:val="007E72A2"/>
    <w:rsid w:val="007F21EA"/>
    <w:rsid w:val="007F336A"/>
    <w:rsid w:val="007F38F2"/>
    <w:rsid w:val="007F5008"/>
    <w:rsid w:val="007F6F02"/>
    <w:rsid w:val="007F7037"/>
    <w:rsid w:val="00802531"/>
    <w:rsid w:val="0080590C"/>
    <w:rsid w:val="00806F3D"/>
    <w:rsid w:val="0080765E"/>
    <w:rsid w:val="008076AF"/>
    <w:rsid w:val="008100A3"/>
    <w:rsid w:val="00810E43"/>
    <w:rsid w:val="008112A0"/>
    <w:rsid w:val="00811446"/>
    <w:rsid w:val="0081154C"/>
    <w:rsid w:val="008128F4"/>
    <w:rsid w:val="0081330A"/>
    <w:rsid w:val="00813904"/>
    <w:rsid w:val="0081571E"/>
    <w:rsid w:val="00817175"/>
    <w:rsid w:val="0081760C"/>
    <w:rsid w:val="008177C0"/>
    <w:rsid w:val="008226C3"/>
    <w:rsid w:val="0082282A"/>
    <w:rsid w:val="00823DFC"/>
    <w:rsid w:val="00824E54"/>
    <w:rsid w:val="008259CB"/>
    <w:rsid w:val="00825CEF"/>
    <w:rsid w:val="008268E3"/>
    <w:rsid w:val="00830307"/>
    <w:rsid w:val="0083082A"/>
    <w:rsid w:val="00832B61"/>
    <w:rsid w:val="00833264"/>
    <w:rsid w:val="00833441"/>
    <w:rsid w:val="0083429E"/>
    <w:rsid w:val="00834A77"/>
    <w:rsid w:val="00837F70"/>
    <w:rsid w:val="00841AEB"/>
    <w:rsid w:val="00843984"/>
    <w:rsid w:val="00845B1A"/>
    <w:rsid w:val="00846A90"/>
    <w:rsid w:val="0084738D"/>
    <w:rsid w:val="008544E8"/>
    <w:rsid w:val="0085629A"/>
    <w:rsid w:val="00856CE6"/>
    <w:rsid w:val="00860164"/>
    <w:rsid w:val="00860FA1"/>
    <w:rsid w:val="00862695"/>
    <w:rsid w:val="00863B24"/>
    <w:rsid w:val="0086568C"/>
    <w:rsid w:val="00866495"/>
    <w:rsid w:val="00866628"/>
    <w:rsid w:val="0086697E"/>
    <w:rsid w:val="008703A1"/>
    <w:rsid w:val="0087062F"/>
    <w:rsid w:val="00870DB2"/>
    <w:rsid w:val="00872CE5"/>
    <w:rsid w:val="00872D46"/>
    <w:rsid w:val="008743FF"/>
    <w:rsid w:val="00874B04"/>
    <w:rsid w:val="00874E83"/>
    <w:rsid w:val="00875385"/>
    <w:rsid w:val="0087604E"/>
    <w:rsid w:val="008760C6"/>
    <w:rsid w:val="008770A6"/>
    <w:rsid w:val="00880BC3"/>
    <w:rsid w:val="008813AA"/>
    <w:rsid w:val="00884926"/>
    <w:rsid w:val="00885C78"/>
    <w:rsid w:val="0088621A"/>
    <w:rsid w:val="00886432"/>
    <w:rsid w:val="00886BDE"/>
    <w:rsid w:val="00887481"/>
    <w:rsid w:val="00887550"/>
    <w:rsid w:val="0088775E"/>
    <w:rsid w:val="00887F53"/>
    <w:rsid w:val="00891366"/>
    <w:rsid w:val="00891454"/>
    <w:rsid w:val="00892B6B"/>
    <w:rsid w:val="00893237"/>
    <w:rsid w:val="00893B27"/>
    <w:rsid w:val="00897A06"/>
    <w:rsid w:val="008A0165"/>
    <w:rsid w:val="008A0C83"/>
    <w:rsid w:val="008A199F"/>
    <w:rsid w:val="008A19F5"/>
    <w:rsid w:val="008A1CF7"/>
    <w:rsid w:val="008A1E50"/>
    <w:rsid w:val="008A2A8E"/>
    <w:rsid w:val="008A2E64"/>
    <w:rsid w:val="008A3769"/>
    <w:rsid w:val="008A4068"/>
    <w:rsid w:val="008A41FA"/>
    <w:rsid w:val="008A498B"/>
    <w:rsid w:val="008B3B0C"/>
    <w:rsid w:val="008B4C71"/>
    <w:rsid w:val="008B6B7C"/>
    <w:rsid w:val="008B7210"/>
    <w:rsid w:val="008C0F2A"/>
    <w:rsid w:val="008C1301"/>
    <w:rsid w:val="008C1E7A"/>
    <w:rsid w:val="008C21BB"/>
    <w:rsid w:val="008C31E5"/>
    <w:rsid w:val="008C4668"/>
    <w:rsid w:val="008C58D9"/>
    <w:rsid w:val="008C5D48"/>
    <w:rsid w:val="008C5F17"/>
    <w:rsid w:val="008C648D"/>
    <w:rsid w:val="008C7868"/>
    <w:rsid w:val="008D03D2"/>
    <w:rsid w:val="008D0767"/>
    <w:rsid w:val="008D0A55"/>
    <w:rsid w:val="008D2798"/>
    <w:rsid w:val="008D4633"/>
    <w:rsid w:val="008D782C"/>
    <w:rsid w:val="008D78D9"/>
    <w:rsid w:val="008E0850"/>
    <w:rsid w:val="008E16E6"/>
    <w:rsid w:val="008E54F1"/>
    <w:rsid w:val="008E59B4"/>
    <w:rsid w:val="008E695D"/>
    <w:rsid w:val="008E6FB5"/>
    <w:rsid w:val="008E7CE2"/>
    <w:rsid w:val="008F27DE"/>
    <w:rsid w:val="008F5E74"/>
    <w:rsid w:val="008F77E6"/>
    <w:rsid w:val="009060CA"/>
    <w:rsid w:val="00906237"/>
    <w:rsid w:val="00907C5D"/>
    <w:rsid w:val="00907D7F"/>
    <w:rsid w:val="0091041B"/>
    <w:rsid w:val="00910A0E"/>
    <w:rsid w:val="00912E84"/>
    <w:rsid w:val="009137FD"/>
    <w:rsid w:val="0091460B"/>
    <w:rsid w:val="00914BE6"/>
    <w:rsid w:val="0091540E"/>
    <w:rsid w:val="00915682"/>
    <w:rsid w:val="00915BE2"/>
    <w:rsid w:val="00915DE6"/>
    <w:rsid w:val="009164A4"/>
    <w:rsid w:val="009178F0"/>
    <w:rsid w:val="00920F81"/>
    <w:rsid w:val="0092170A"/>
    <w:rsid w:val="009220F7"/>
    <w:rsid w:val="009241F7"/>
    <w:rsid w:val="0092542E"/>
    <w:rsid w:val="00925A3C"/>
    <w:rsid w:val="00926691"/>
    <w:rsid w:val="00930AC2"/>
    <w:rsid w:val="00931AB5"/>
    <w:rsid w:val="00931E54"/>
    <w:rsid w:val="009324C7"/>
    <w:rsid w:val="00933E4B"/>
    <w:rsid w:val="0093425B"/>
    <w:rsid w:val="00934A7B"/>
    <w:rsid w:val="00935ABF"/>
    <w:rsid w:val="00936A47"/>
    <w:rsid w:val="00936BAF"/>
    <w:rsid w:val="00940CA7"/>
    <w:rsid w:val="009440D6"/>
    <w:rsid w:val="00944406"/>
    <w:rsid w:val="00950B03"/>
    <w:rsid w:val="00951265"/>
    <w:rsid w:val="00951CC4"/>
    <w:rsid w:val="009538A8"/>
    <w:rsid w:val="009543B9"/>
    <w:rsid w:val="0095586E"/>
    <w:rsid w:val="009560AB"/>
    <w:rsid w:val="009579AE"/>
    <w:rsid w:val="00960A81"/>
    <w:rsid w:val="0096107A"/>
    <w:rsid w:val="00962EBD"/>
    <w:rsid w:val="00963089"/>
    <w:rsid w:val="00963F53"/>
    <w:rsid w:val="009675E1"/>
    <w:rsid w:val="00967A6F"/>
    <w:rsid w:val="009731C7"/>
    <w:rsid w:val="00975577"/>
    <w:rsid w:val="009756FA"/>
    <w:rsid w:val="00976532"/>
    <w:rsid w:val="0097777D"/>
    <w:rsid w:val="00977DA1"/>
    <w:rsid w:val="00980265"/>
    <w:rsid w:val="00981D4F"/>
    <w:rsid w:val="009835BC"/>
    <w:rsid w:val="009836E4"/>
    <w:rsid w:val="00983D7A"/>
    <w:rsid w:val="009840C8"/>
    <w:rsid w:val="009843B5"/>
    <w:rsid w:val="00984456"/>
    <w:rsid w:val="00984830"/>
    <w:rsid w:val="00984D06"/>
    <w:rsid w:val="00985C1E"/>
    <w:rsid w:val="00986FF2"/>
    <w:rsid w:val="009901E8"/>
    <w:rsid w:val="00990D26"/>
    <w:rsid w:val="009916DF"/>
    <w:rsid w:val="00992269"/>
    <w:rsid w:val="009928E7"/>
    <w:rsid w:val="009951A2"/>
    <w:rsid w:val="00995E34"/>
    <w:rsid w:val="00997400"/>
    <w:rsid w:val="009A13E8"/>
    <w:rsid w:val="009A1E17"/>
    <w:rsid w:val="009A24FB"/>
    <w:rsid w:val="009A37EC"/>
    <w:rsid w:val="009A4392"/>
    <w:rsid w:val="009A4719"/>
    <w:rsid w:val="009A4FED"/>
    <w:rsid w:val="009A50DC"/>
    <w:rsid w:val="009A7C4D"/>
    <w:rsid w:val="009B0704"/>
    <w:rsid w:val="009B1229"/>
    <w:rsid w:val="009B226A"/>
    <w:rsid w:val="009B2391"/>
    <w:rsid w:val="009B763B"/>
    <w:rsid w:val="009B7DA0"/>
    <w:rsid w:val="009C0380"/>
    <w:rsid w:val="009C06A8"/>
    <w:rsid w:val="009C09FA"/>
    <w:rsid w:val="009C2D62"/>
    <w:rsid w:val="009C3273"/>
    <w:rsid w:val="009C4242"/>
    <w:rsid w:val="009C5636"/>
    <w:rsid w:val="009C7BD1"/>
    <w:rsid w:val="009D0459"/>
    <w:rsid w:val="009D1B4C"/>
    <w:rsid w:val="009D2D4A"/>
    <w:rsid w:val="009D3848"/>
    <w:rsid w:val="009D3E4B"/>
    <w:rsid w:val="009D52E7"/>
    <w:rsid w:val="009D5730"/>
    <w:rsid w:val="009D5A01"/>
    <w:rsid w:val="009D6BA1"/>
    <w:rsid w:val="009D6CF9"/>
    <w:rsid w:val="009E1E77"/>
    <w:rsid w:val="009E2394"/>
    <w:rsid w:val="009E2FC2"/>
    <w:rsid w:val="009E39A5"/>
    <w:rsid w:val="009E3FE1"/>
    <w:rsid w:val="009E6903"/>
    <w:rsid w:val="009F1757"/>
    <w:rsid w:val="009F2851"/>
    <w:rsid w:val="009F2993"/>
    <w:rsid w:val="009F2CC5"/>
    <w:rsid w:val="009F3467"/>
    <w:rsid w:val="009F659D"/>
    <w:rsid w:val="009F68DF"/>
    <w:rsid w:val="009F6B58"/>
    <w:rsid w:val="00A003A3"/>
    <w:rsid w:val="00A017D2"/>
    <w:rsid w:val="00A033FD"/>
    <w:rsid w:val="00A03BE1"/>
    <w:rsid w:val="00A05014"/>
    <w:rsid w:val="00A0628B"/>
    <w:rsid w:val="00A06655"/>
    <w:rsid w:val="00A07131"/>
    <w:rsid w:val="00A07506"/>
    <w:rsid w:val="00A110FE"/>
    <w:rsid w:val="00A1281C"/>
    <w:rsid w:val="00A13C10"/>
    <w:rsid w:val="00A15281"/>
    <w:rsid w:val="00A157AB"/>
    <w:rsid w:val="00A157C0"/>
    <w:rsid w:val="00A1658B"/>
    <w:rsid w:val="00A20837"/>
    <w:rsid w:val="00A208CD"/>
    <w:rsid w:val="00A22D83"/>
    <w:rsid w:val="00A22ED7"/>
    <w:rsid w:val="00A23E5F"/>
    <w:rsid w:val="00A24303"/>
    <w:rsid w:val="00A2473F"/>
    <w:rsid w:val="00A2729F"/>
    <w:rsid w:val="00A33AEF"/>
    <w:rsid w:val="00A33B99"/>
    <w:rsid w:val="00A376E8"/>
    <w:rsid w:val="00A41563"/>
    <w:rsid w:val="00A427BC"/>
    <w:rsid w:val="00A439DB"/>
    <w:rsid w:val="00A43C11"/>
    <w:rsid w:val="00A4524E"/>
    <w:rsid w:val="00A45CBA"/>
    <w:rsid w:val="00A4728B"/>
    <w:rsid w:val="00A50940"/>
    <w:rsid w:val="00A533F4"/>
    <w:rsid w:val="00A53BC5"/>
    <w:rsid w:val="00A54502"/>
    <w:rsid w:val="00A56739"/>
    <w:rsid w:val="00A57BFD"/>
    <w:rsid w:val="00A6177F"/>
    <w:rsid w:val="00A65B78"/>
    <w:rsid w:val="00A660A7"/>
    <w:rsid w:val="00A664B2"/>
    <w:rsid w:val="00A70AF6"/>
    <w:rsid w:val="00A713A8"/>
    <w:rsid w:val="00A716A6"/>
    <w:rsid w:val="00A71765"/>
    <w:rsid w:val="00A7258A"/>
    <w:rsid w:val="00A759B5"/>
    <w:rsid w:val="00A7675E"/>
    <w:rsid w:val="00A76C1C"/>
    <w:rsid w:val="00A81E1E"/>
    <w:rsid w:val="00A822E4"/>
    <w:rsid w:val="00A829DD"/>
    <w:rsid w:val="00A847B3"/>
    <w:rsid w:val="00A84F78"/>
    <w:rsid w:val="00A8609F"/>
    <w:rsid w:val="00A8787F"/>
    <w:rsid w:val="00A9263E"/>
    <w:rsid w:val="00A94343"/>
    <w:rsid w:val="00A9578F"/>
    <w:rsid w:val="00A969CB"/>
    <w:rsid w:val="00A97379"/>
    <w:rsid w:val="00A97717"/>
    <w:rsid w:val="00A97FD4"/>
    <w:rsid w:val="00AA224D"/>
    <w:rsid w:val="00AA291B"/>
    <w:rsid w:val="00AA2CB5"/>
    <w:rsid w:val="00AA2E9B"/>
    <w:rsid w:val="00AA2F04"/>
    <w:rsid w:val="00AA3A2D"/>
    <w:rsid w:val="00AA460D"/>
    <w:rsid w:val="00AA50C9"/>
    <w:rsid w:val="00AA5E00"/>
    <w:rsid w:val="00AA66FD"/>
    <w:rsid w:val="00AA6CC9"/>
    <w:rsid w:val="00AA7C40"/>
    <w:rsid w:val="00AB2E76"/>
    <w:rsid w:val="00AB3897"/>
    <w:rsid w:val="00AB3D82"/>
    <w:rsid w:val="00AB426D"/>
    <w:rsid w:val="00AB653C"/>
    <w:rsid w:val="00AB6AD9"/>
    <w:rsid w:val="00AB74A6"/>
    <w:rsid w:val="00AB7C91"/>
    <w:rsid w:val="00AC218B"/>
    <w:rsid w:val="00AC2A53"/>
    <w:rsid w:val="00AC367B"/>
    <w:rsid w:val="00AC6294"/>
    <w:rsid w:val="00AC678D"/>
    <w:rsid w:val="00AD1684"/>
    <w:rsid w:val="00AD214A"/>
    <w:rsid w:val="00AD2521"/>
    <w:rsid w:val="00AD2B41"/>
    <w:rsid w:val="00AD387D"/>
    <w:rsid w:val="00AD4541"/>
    <w:rsid w:val="00AD5446"/>
    <w:rsid w:val="00AD5CD1"/>
    <w:rsid w:val="00AD72ED"/>
    <w:rsid w:val="00AD7E50"/>
    <w:rsid w:val="00AE2DA8"/>
    <w:rsid w:val="00AE4ACC"/>
    <w:rsid w:val="00AE4E33"/>
    <w:rsid w:val="00AE557C"/>
    <w:rsid w:val="00AE65EF"/>
    <w:rsid w:val="00AF0E2D"/>
    <w:rsid w:val="00AF0E69"/>
    <w:rsid w:val="00AF1F0E"/>
    <w:rsid w:val="00AF2160"/>
    <w:rsid w:val="00AF2330"/>
    <w:rsid w:val="00AF4B52"/>
    <w:rsid w:val="00AF6615"/>
    <w:rsid w:val="00AF7248"/>
    <w:rsid w:val="00AF7300"/>
    <w:rsid w:val="00B00EBC"/>
    <w:rsid w:val="00B0152A"/>
    <w:rsid w:val="00B04249"/>
    <w:rsid w:val="00B04AD9"/>
    <w:rsid w:val="00B04DE7"/>
    <w:rsid w:val="00B055AB"/>
    <w:rsid w:val="00B05D76"/>
    <w:rsid w:val="00B069AA"/>
    <w:rsid w:val="00B06A04"/>
    <w:rsid w:val="00B06E95"/>
    <w:rsid w:val="00B10064"/>
    <w:rsid w:val="00B10AE9"/>
    <w:rsid w:val="00B1233B"/>
    <w:rsid w:val="00B12C4D"/>
    <w:rsid w:val="00B13A0D"/>
    <w:rsid w:val="00B14EA6"/>
    <w:rsid w:val="00B14FBE"/>
    <w:rsid w:val="00B17F0D"/>
    <w:rsid w:val="00B20135"/>
    <w:rsid w:val="00B21E32"/>
    <w:rsid w:val="00B22A31"/>
    <w:rsid w:val="00B22BF0"/>
    <w:rsid w:val="00B231EF"/>
    <w:rsid w:val="00B2441D"/>
    <w:rsid w:val="00B24D74"/>
    <w:rsid w:val="00B25405"/>
    <w:rsid w:val="00B255BA"/>
    <w:rsid w:val="00B25893"/>
    <w:rsid w:val="00B272EA"/>
    <w:rsid w:val="00B30497"/>
    <w:rsid w:val="00B31117"/>
    <w:rsid w:val="00B31502"/>
    <w:rsid w:val="00B319B7"/>
    <w:rsid w:val="00B329B2"/>
    <w:rsid w:val="00B32DF6"/>
    <w:rsid w:val="00B34DDF"/>
    <w:rsid w:val="00B3563A"/>
    <w:rsid w:val="00B3568D"/>
    <w:rsid w:val="00B362A5"/>
    <w:rsid w:val="00B377DE"/>
    <w:rsid w:val="00B37BC1"/>
    <w:rsid w:val="00B40316"/>
    <w:rsid w:val="00B412C5"/>
    <w:rsid w:val="00B412F7"/>
    <w:rsid w:val="00B417A4"/>
    <w:rsid w:val="00B420D4"/>
    <w:rsid w:val="00B439F5"/>
    <w:rsid w:val="00B44C1B"/>
    <w:rsid w:val="00B44D24"/>
    <w:rsid w:val="00B4540B"/>
    <w:rsid w:val="00B4586E"/>
    <w:rsid w:val="00B464F0"/>
    <w:rsid w:val="00B46D1E"/>
    <w:rsid w:val="00B47F31"/>
    <w:rsid w:val="00B51A0D"/>
    <w:rsid w:val="00B53AD4"/>
    <w:rsid w:val="00B55E3C"/>
    <w:rsid w:val="00B56FCF"/>
    <w:rsid w:val="00B57DB6"/>
    <w:rsid w:val="00B6013B"/>
    <w:rsid w:val="00B6072D"/>
    <w:rsid w:val="00B62AED"/>
    <w:rsid w:val="00B647EF"/>
    <w:rsid w:val="00B65061"/>
    <w:rsid w:val="00B70FAD"/>
    <w:rsid w:val="00B718F0"/>
    <w:rsid w:val="00B71E1C"/>
    <w:rsid w:val="00B7325C"/>
    <w:rsid w:val="00B75413"/>
    <w:rsid w:val="00B763E8"/>
    <w:rsid w:val="00B77B8A"/>
    <w:rsid w:val="00B77BFB"/>
    <w:rsid w:val="00B80F08"/>
    <w:rsid w:val="00B827B4"/>
    <w:rsid w:val="00B8666A"/>
    <w:rsid w:val="00B867EA"/>
    <w:rsid w:val="00B86813"/>
    <w:rsid w:val="00B8746E"/>
    <w:rsid w:val="00B875CB"/>
    <w:rsid w:val="00B87F6C"/>
    <w:rsid w:val="00B9130E"/>
    <w:rsid w:val="00B92FB6"/>
    <w:rsid w:val="00B93300"/>
    <w:rsid w:val="00B95E43"/>
    <w:rsid w:val="00B97B28"/>
    <w:rsid w:val="00BA0832"/>
    <w:rsid w:val="00BA0E7E"/>
    <w:rsid w:val="00BA1F23"/>
    <w:rsid w:val="00BA3069"/>
    <w:rsid w:val="00BA5767"/>
    <w:rsid w:val="00BA5D92"/>
    <w:rsid w:val="00BA7187"/>
    <w:rsid w:val="00BA7585"/>
    <w:rsid w:val="00BA7676"/>
    <w:rsid w:val="00BA7A93"/>
    <w:rsid w:val="00BB1D37"/>
    <w:rsid w:val="00BB2670"/>
    <w:rsid w:val="00BB42DC"/>
    <w:rsid w:val="00BB4354"/>
    <w:rsid w:val="00BB4966"/>
    <w:rsid w:val="00BB4A9B"/>
    <w:rsid w:val="00BB4B53"/>
    <w:rsid w:val="00BB591B"/>
    <w:rsid w:val="00BB5C1C"/>
    <w:rsid w:val="00BB606A"/>
    <w:rsid w:val="00BB679B"/>
    <w:rsid w:val="00BB734C"/>
    <w:rsid w:val="00BB77C0"/>
    <w:rsid w:val="00BB7A78"/>
    <w:rsid w:val="00BC038E"/>
    <w:rsid w:val="00BC03F9"/>
    <w:rsid w:val="00BC12F9"/>
    <w:rsid w:val="00BC1607"/>
    <w:rsid w:val="00BC1617"/>
    <w:rsid w:val="00BC30EE"/>
    <w:rsid w:val="00BC43AA"/>
    <w:rsid w:val="00BC499A"/>
    <w:rsid w:val="00BC5B07"/>
    <w:rsid w:val="00BC7173"/>
    <w:rsid w:val="00BD02A4"/>
    <w:rsid w:val="00BD1713"/>
    <w:rsid w:val="00BD3310"/>
    <w:rsid w:val="00BD35DD"/>
    <w:rsid w:val="00BD3B02"/>
    <w:rsid w:val="00BD50C5"/>
    <w:rsid w:val="00BD5A2B"/>
    <w:rsid w:val="00BD5B8C"/>
    <w:rsid w:val="00BD6B9F"/>
    <w:rsid w:val="00BD7B6D"/>
    <w:rsid w:val="00BE4626"/>
    <w:rsid w:val="00BE6C89"/>
    <w:rsid w:val="00BE7180"/>
    <w:rsid w:val="00BE726F"/>
    <w:rsid w:val="00BE77CD"/>
    <w:rsid w:val="00BF2FA6"/>
    <w:rsid w:val="00BF315D"/>
    <w:rsid w:val="00BF451A"/>
    <w:rsid w:val="00BF4CC2"/>
    <w:rsid w:val="00BF54BA"/>
    <w:rsid w:val="00BF59BC"/>
    <w:rsid w:val="00BF6064"/>
    <w:rsid w:val="00BF6739"/>
    <w:rsid w:val="00BF6FF4"/>
    <w:rsid w:val="00BF7260"/>
    <w:rsid w:val="00BF76C5"/>
    <w:rsid w:val="00C0271B"/>
    <w:rsid w:val="00C03EB8"/>
    <w:rsid w:val="00C047AB"/>
    <w:rsid w:val="00C05316"/>
    <w:rsid w:val="00C05E12"/>
    <w:rsid w:val="00C07070"/>
    <w:rsid w:val="00C07A49"/>
    <w:rsid w:val="00C106FC"/>
    <w:rsid w:val="00C10A31"/>
    <w:rsid w:val="00C11B82"/>
    <w:rsid w:val="00C12067"/>
    <w:rsid w:val="00C1359A"/>
    <w:rsid w:val="00C1434C"/>
    <w:rsid w:val="00C1483B"/>
    <w:rsid w:val="00C14F56"/>
    <w:rsid w:val="00C15091"/>
    <w:rsid w:val="00C162B9"/>
    <w:rsid w:val="00C17EC2"/>
    <w:rsid w:val="00C2082B"/>
    <w:rsid w:val="00C22D2B"/>
    <w:rsid w:val="00C2344D"/>
    <w:rsid w:val="00C23E07"/>
    <w:rsid w:val="00C244A4"/>
    <w:rsid w:val="00C24ECC"/>
    <w:rsid w:val="00C25512"/>
    <w:rsid w:val="00C31005"/>
    <w:rsid w:val="00C318D6"/>
    <w:rsid w:val="00C31B30"/>
    <w:rsid w:val="00C31BF6"/>
    <w:rsid w:val="00C3221C"/>
    <w:rsid w:val="00C3255F"/>
    <w:rsid w:val="00C34F8A"/>
    <w:rsid w:val="00C3523E"/>
    <w:rsid w:val="00C358D5"/>
    <w:rsid w:val="00C35CC1"/>
    <w:rsid w:val="00C35DD2"/>
    <w:rsid w:val="00C379EE"/>
    <w:rsid w:val="00C40FF7"/>
    <w:rsid w:val="00C430EA"/>
    <w:rsid w:val="00C437B6"/>
    <w:rsid w:val="00C44084"/>
    <w:rsid w:val="00C446DA"/>
    <w:rsid w:val="00C45467"/>
    <w:rsid w:val="00C46035"/>
    <w:rsid w:val="00C46DED"/>
    <w:rsid w:val="00C47447"/>
    <w:rsid w:val="00C5171C"/>
    <w:rsid w:val="00C5191C"/>
    <w:rsid w:val="00C52ECF"/>
    <w:rsid w:val="00C563A9"/>
    <w:rsid w:val="00C57056"/>
    <w:rsid w:val="00C57164"/>
    <w:rsid w:val="00C6110C"/>
    <w:rsid w:val="00C6561D"/>
    <w:rsid w:val="00C66AF6"/>
    <w:rsid w:val="00C66C9F"/>
    <w:rsid w:val="00C67C16"/>
    <w:rsid w:val="00C73FEC"/>
    <w:rsid w:val="00C77794"/>
    <w:rsid w:val="00C777FA"/>
    <w:rsid w:val="00C81BE8"/>
    <w:rsid w:val="00C82C02"/>
    <w:rsid w:val="00C83A65"/>
    <w:rsid w:val="00C84A55"/>
    <w:rsid w:val="00C84EFE"/>
    <w:rsid w:val="00C85B85"/>
    <w:rsid w:val="00C863BB"/>
    <w:rsid w:val="00C86668"/>
    <w:rsid w:val="00C8714E"/>
    <w:rsid w:val="00C872AB"/>
    <w:rsid w:val="00C91EDA"/>
    <w:rsid w:val="00C92D2F"/>
    <w:rsid w:val="00C931E2"/>
    <w:rsid w:val="00C93DDE"/>
    <w:rsid w:val="00C94A21"/>
    <w:rsid w:val="00C96826"/>
    <w:rsid w:val="00C97246"/>
    <w:rsid w:val="00CA0EBD"/>
    <w:rsid w:val="00CA34B4"/>
    <w:rsid w:val="00CA5050"/>
    <w:rsid w:val="00CA524D"/>
    <w:rsid w:val="00CA539E"/>
    <w:rsid w:val="00CA6451"/>
    <w:rsid w:val="00CA759E"/>
    <w:rsid w:val="00CB15E0"/>
    <w:rsid w:val="00CB1971"/>
    <w:rsid w:val="00CB1EEB"/>
    <w:rsid w:val="00CB2E91"/>
    <w:rsid w:val="00CB6123"/>
    <w:rsid w:val="00CB7D3E"/>
    <w:rsid w:val="00CB7DB0"/>
    <w:rsid w:val="00CC023F"/>
    <w:rsid w:val="00CC27EC"/>
    <w:rsid w:val="00CC4098"/>
    <w:rsid w:val="00CC4167"/>
    <w:rsid w:val="00CC4E75"/>
    <w:rsid w:val="00CC586D"/>
    <w:rsid w:val="00CC6B02"/>
    <w:rsid w:val="00CD2206"/>
    <w:rsid w:val="00CD73D9"/>
    <w:rsid w:val="00CD7B83"/>
    <w:rsid w:val="00CE117B"/>
    <w:rsid w:val="00CE2060"/>
    <w:rsid w:val="00CE2200"/>
    <w:rsid w:val="00CE2C28"/>
    <w:rsid w:val="00CE2DEF"/>
    <w:rsid w:val="00CE4748"/>
    <w:rsid w:val="00CE51AD"/>
    <w:rsid w:val="00CE564D"/>
    <w:rsid w:val="00CE5676"/>
    <w:rsid w:val="00CE775E"/>
    <w:rsid w:val="00CE794D"/>
    <w:rsid w:val="00CF000D"/>
    <w:rsid w:val="00CF08BA"/>
    <w:rsid w:val="00CF0C4B"/>
    <w:rsid w:val="00CF22D5"/>
    <w:rsid w:val="00CF2ED8"/>
    <w:rsid w:val="00CF35FB"/>
    <w:rsid w:val="00CF5D38"/>
    <w:rsid w:val="00CF6D48"/>
    <w:rsid w:val="00CF7377"/>
    <w:rsid w:val="00CF7EA5"/>
    <w:rsid w:val="00D02D03"/>
    <w:rsid w:val="00D056F9"/>
    <w:rsid w:val="00D06CC9"/>
    <w:rsid w:val="00D077AE"/>
    <w:rsid w:val="00D11A45"/>
    <w:rsid w:val="00D11A59"/>
    <w:rsid w:val="00D11B68"/>
    <w:rsid w:val="00D12AB7"/>
    <w:rsid w:val="00D13B30"/>
    <w:rsid w:val="00D16010"/>
    <w:rsid w:val="00D20A4D"/>
    <w:rsid w:val="00D21E8D"/>
    <w:rsid w:val="00D230B2"/>
    <w:rsid w:val="00D25CB5"/>
    <w:rsid w:val="00D269FC"/>
    <w:rsid w:val="00D30E8B"/>
    <w:rsid w:val="00D31406"/>
    <w:rsid w:val="00D32F3D"/>
    <w:rsid w:val="00D33385"/>
    <w:rsid w:val="00D33D9E"/>
    <w:rsid w:val="00D3488D"/>
    <w:rsid w:val="00D36B7F"/>
    <w:rsid w:val="00D36F0E"/>
    <w:rsid w:val="00D37490"/>
    <w:rsid w:val="00D411AD"/>
    <w:rsid w:val="00D43615"/>
    <w:rsid w:val="00D43B68"/>
    <w:rsid w:val="00D448E2"/>
    <w:rsid w:val="00D4493D"/>
    <w:rsid w:val="00D47931"/>
    <w:rsid w:val="00D47ACB"/>
    <w:rsid w:val="00D51403"/>
    <w:rsid w:val="00D521F1"/>
    <w:rsid w:val="00D52AD0"/>
    <w:rsid w:val="00D53C2F"/>
    <w:rsid w:val="00D54DB8"/>
    <w:rsid w:val="00D55228"/>
    <w:rsid w:val="00D5612A"/>
    <w:rsid w:val="00D5612C"/>
    <w:rsid w:val="00D564D1"/>
    <w:rsid w:val="00D56A88"/>
    <w:rsid w:val="00D57374"/>
    <w:rsid w:val="00D610A1"/>
    <w:rsid w:val="00D617CA"/>
    <w:rsid w:val="00D62634"/>
    <w:rsid w:val="00D63B1E"/>
    <w:rsid w:val="00D63BBC"/>
    <w:rsid w:val="00D64232"/>
    <w:rsid w:val="00D65C34"/>
    <w:rsid w:val="00D662BF"/>
    <w:rsid w:val="00D67AED"/>
    <w:rsid w:val="00D67C7E"/>
    <w:rsid w:val="00D67E8B"/>
    <w:rsid w:val="00D71078"/>
    <w:rsid w:val="00D71733"/>
    <w:rsid w:val="00D72525"/>
    <w:rsid w:val="00D73C03"/>
    <w:rsid w:val="00D743BE"/>
    <w:rsid w:val="00D75C6E"/>
    <w:rsid w:val="00D761EE"/>
    <w:rsid w:val="00D7686D"/>
    <w:rsid w:val="00D76F19"/>
    <w:rsid w:val="00D7753F"/>
    <w:rsid w:val="00D77EAB"/>
    <w:rsid w:val="00D8040E"/>
    <w:rsid w:val="00D810DB"/>
    <w:rsid w:val="00D81AC9"/>
    <w:rsid w:val="00D822E6"/>
    <w:rsid w:val="00D838D5"/>
    <w:rsid w:val="00D84B74"/>
    <w:rsid w:val="00D85B49"/>
    <w:rsid w:val="00D864AB"/>
    <w:rsid w:val="00D866E5"/>
    <w:rsid w:val="00D87144"/>
    <w:rsid w:val="00D876F3"/>
    <w:rsid w:val="00D911B5"/>
    <w:rsid w:val="00D91F03"/>
    <w:rsid w:val="00D92FBD"/>
    <w:rsid w:val="00D935C5"/>
    <w:rsid w:val="00D942E3"/>
    <w:rsid w:val="00D97078"/>
    <w:rsid w:val="00DA1681"/>
    <w:rsid w:val="00DA3086"/>
    <w:rsid w:val="00DA32B2"/>
    <w:rsid w:val="00DA4FFC"/>
    <w:rsid w:val="00DA7681"/>
    <w:rsid w:val="00DA7C37"/>
    <w:rsid w:val="00DB00DA"/>
    <w:rsid w:val="00DB03E8"/>
    <w:rsid w:val="00DB394A"/>
    <w:rsid w:val="00DB4442"/>
    <w:rsid w:val="00DB4E0C"/>
    <w:rsid w:val="00DB5D38"/>
    <w:rsid w:val="00DB6CA2"/>
    <w:rsid w:val="00DC052F"/>
    <w:rsid w:val="00DC0AD7"/>
    <w:rsid w:val="00DC0C04"/>
    <w:rsid w:val="00DC2DD0"/>
    <w:rsid w:val="00DC48B0"/>
    <w:rsid w:val="00DC4A60"/>
    <w:rsid w:val="00DC4B36"/>
    <w:rsid w:val="00DC6C70"/>
    <w:rsid w:val="00DD0872"/>
    <w:rsid w:val="00DD0950"/>
    <w:rsid w:val="00DD1124"/>
    <w:rsid w:val="00DD136C"/>
    <w:rsid w:val="00DD172F"/>
    <w:rsid w:val="00DD2E93"/>
    <w:rsid w:val="00DD38DB"/>
    <w:rsid w:val="00DD3C26"/>
    <w:rsid w:val="00DD3F86"/>
    <w:rsid w:val="00DD4D25"/>
    <w:rsid w:val="00DD5735"/>
    <w:rsid w:val="00DD5F1D"/>
    <w:rsid w:val="00DD5FC4"/>
    <w:rsid w:val="00DD6DAC"/>
    <w:rsid w:val="00DD7E46"/>
    <w:rsid w:val="00DE0BED"/>
    <w:rsid w:val="00DE11B8"/>
    <w:rsid w:val="00DE1A34"/>
    <w:rsid w:val="00DE2550"/>
    <w:rsid w:val="00DE262E"/>
    <w:rsid w:val="00DE3CF1"/>
    <w:rsid w:val="00DE43BA"/>
    <w:rsid w:val="00DE44FD"/>
    <w:rsid w:val="00DE4AA5"/>
    <w:rsid w:val="00DE5023"/>
    <w:rsid w:val="00DE74B6"/>
    <w:rsid w:val="00DE7798"/>
    <w:rsid w:val="00DE7E95"/>
    <w:rsid w:val="00DF0A80"/>
    <w:rsid w:val="00DF4341"/>
    <w:rsid w:val="00DF455D"/>
    <w:rsid w:val="00DF45EC"/>
    <w:rsid w:val="00E00263"/>
    <w:rsid w:val="00E02721"/>
    <w:rsid w:val="00E03405"/>
    <w:rsid w:val="00E04583"/>
    <w:rsid w:val="00E053D5"/>
    <w:rsid w:val="00E05707"/>
    <w:rsid w:val="00E06216"/>
    <w:rsid w:val="00E062F2"/>
    <w:rsid w:val="00E06513"/>
    <w:rsid w:val="00E06540"/>
    <w:rsid w:val="00E071A9"/>
    <w:rsid w:val="00E0720E"/>
    <w:rsid w:val="00E14B17"/>
    <w:rsid w:val="00E16274"/>
    <w:rsid w:val="00E17621"/>
    <w:rsid w:val="00E17852"/>
    <w:rsid w:val="00E17961"/>
    <w:rsid w:val="00E2169C"/>
    <w:rsid w:val="00E2361F"/>
    <w:rsid w:val="00E26E05"/>
    <w:rsid w:val="00E301F3"/>
    <w:rsid w:val="00E310D5"/>
    <w:rsid w:val="00E320AB"/>
    <w:rsid w:val="00E32587"/>
    <w:rsid w:val="00E33998"/>
    <w:rsid w:val="00E35210"/>
    <w:rsid w:val="00E354E4"/>
    <w:rsid w:val="00E35BAB"/>
    <w:rsid w:val="00E35E41"/>
    <w:rsid w:val="00E36682"/>
    <w:rsid w:val="00E36B39"/>
    <w:rsid w:val="00E36DF9"/>
    <w:rsid w:val="00E37867"/>
    <w:rsid w:val="00E411EC"/>
    <w:rsid w:val="00E41F07"/>
    <w:rsid w:val="00E427A1"/>
    <w:rsid w:val="00E43091"/>
    <w:rsid w:val="00E4339E"/>
    <w:rsid w:val="00E4359B"/>
    <w:rsid w:val="00E4527D"/>
    <w:rsid w:val="00E4729B"/>
    <w:rsid w:val="00E50EBD"/>
    <w:rsid w:val="00E51AAD"/>
    <w:rsid w:val="00E53018"/>
    <w:rsid w:val="00E5341F"/>
    <w:rsid w:val="00E560E1"/>
    <w:rsid w:val="00E56BC0"/>
    <w:rsid w:val="00E57AF8"/>
    <w:rsid w:val="00E57F9D"/>
    <w:rsid w:val="00E602A2"/>
    <w:rsid w:val="00E6728E"/>
    <w:rsid w:val="00E67D86"/>
    <w:rsid w:val="00E70819"/>
    <w:rsid w:val="00E739FA"/>
    <w:rsid w:val="00E75C97"/>
    <w:rsid w:val="00E75DC2"/>
    <w:rsid w:val="00E765E5"/>
    <w:rsid w:val="00E80252"/>
    <w:rsid w:val="00E80C28"/>
    <w:rsid w:val="00E82406"/>
    <w:rsid w:val="00E83DC3"/>
    <w:rsid w:val="00E86C64"/>
    <w:rsid w:val="00E90B20"/>
    <w:rsid w:val="00E92826"/>
    <w:rsid w:val="00E92ACB"/>
    <w:rsid w:val="00E93E2A"/>
    <w:rsid w:val="00E94792"/>
    <w:rsid w:val="00EA08AF"/>
    <w:rsid w:val="00EA11A8"/>
    <w:rsid w:val="00EA2315"/>
    <w:rsid w:val="00EA35DB"/>
    <w:rsid w:val="00EA40CB"/>
    <w:rsid w:val="00EA51A2"/>
    <w:rsid w:val="00EA64AA"/>
    <w:rsid w:val="00EA661B"/>
    <w:rsid w:val="00EA71DC"/>
    <w:rsid w:val="00EA7A0E"/>
    <w:rsid w:val="00EB0C6A"/>
    <w:rsid w:val="00EB28AF"/>
    <w:rsid w:val="00EB55FD"/>
    <w:rsid w:val="00EB712C"/>
    <w:rsid w:val="00EB745E"/>
    <w:rsid w:val="00EC099C"/>
    <w:rsid w:val="00EC3A72"/>
    <w:rsid w:val="00EC4E10"/>
    <w:rsid w:val="00EC518D"/>
    <w:rsid w:val="00EC66BE"/>
    <w:rsid w:val="00ED1191"/>
    <w:rsid w:val="00ED2070"/>
    <w:rsid w:val="00ED2A90"/>
    <w:rsid w:val="00ED590F"/>
    <w:rsid w:val="00ED6379"/>
    <w:rsid w:val="00ED680D"/>
    <w:rsid w:val="00ED7538"/>
    <w:rsid w:val="00ED7C71"/>
    <w:rsid w:val="00EE02BC"/>
    <w:rsid w:val="00EE042D"/>
    <w:rsid w:val="00EE1B70"/>
    <w:rsid w:val="00EE44B6"/>
    <w:rsid w:val="00EE7AF6"/>
    <w:rsid w:val="00EF2004"/>
    <w:rsid w:val="00EF219E"/>
    <w:rsid w:val="00EF7BC4"/>
    <w:rsid w:val="00F00554"/>
    <w:rsid w:val="00F01F53"/>
    <w:rsid w:val="00F06F66"/>
    <w:rsid w:val="00F07C8D"/>
    <w:rsid w:val="00F12459"/>
    <w:rsid w:val="00F133D2"/>
    <w:rsid w:val="00F134FA"/>
    <w:rsid w:val="00F14C19"/>
    <w:rsid w:val="00F162EB"/>
    <w:rsid w:val="00F16E0A"/>
    <w:rsid w:val="00F17097"/>
    <w:rsid w:val="00F176F5"/>
    <w:rsid w:val="00F217D3"/>
    <w:rsid w:val="00F238BB"/>
    <w:rsid w:val="00F239EF"/>
    <w:rsid w:val="00F23C0C"/>
    <w:rsid w:val="00F2533B"/>
    <w:rsid w:val="00F270DB"/>
    <w:rsid w:val="00F30425"/>
    <w:rsid w:val="00F315AD"/>
    <w:rsid w:val="00F31A44"/>
    <w:rsid w:val="00F31A90"/>
    <w:rsid w:val="00F325EC"/>
    <w:rsid w:val="00F33113"/>
    <w:rsid w:val="00F33A84"/>
    <w:rsid w:val="00F33EF0"/>
    <w:rsid w:val="00F3411E"/>
    <w:rsid w:val="00F34284"/>
    <w:rsid w:val="00F342E1"/>
    <w:rsid w:val="00F3454A"/>
    <w:rsid w:val="00F35CD7"/>
    <w:rsid w:val="00F36417"/>
    <w:rsid w:val="00F36672"/>
    <w:rsid w:val="00F37ED0"/>
    <w:rsid w:val="00F43AB8"/>
    <w:rsid w:val="00F443BD"/>
    <w:rsid w:val="00F456D7"/>
    <w:rsid w:val="00F461D2"/>
    <w:rsid w:val="00F504C0"/>
    <w:rsid w:val="00F52287"/>
    <w:rsid w:val="00F52B33"/>
    <w:rsid w:val="00F553C0"/>
    <w:rsid w:val="00F5568D"/>
    <w:rsid w:val="00F60B45"/>
    <w:rsid w:val="00F6565B"/>
    <w:rsid w:val="00F66708"/>
    <w:rsid w:val="00F67BA6"/>
    <w:rsid w:val="00F702E2"/>
    <w:rsid w:val="00F734B1"/>
    <w:rsid w:val="00F739A0"/>
    <w:rsid w:val="00F751DC"/>
    <w:rsid w:val="00F75D0C"/>
    <w:rsid w:val="00F76423"/>
    <w:rsid w:val="00F76C72"/>
    <w:rsid w:val="00F76D24"/>
    <w:rsid w:val="00F770F0"/>
    <w:rsid w:val="00F7780D"/>
    <w:rsid w:val="00F80F1B"/>
    <w:rsid w:val="00F8232E"/>
    <w:rsid w:val="00F8290F"/>
    <w:rsid w:val="00F837B3"/>
    <w:rsid w:val="00F838E3"/>
    <w:rsid w:val="00F83D06"/>
    <w:rsid w:val="00F85463"/>
    <w:rsid w:val="00F86134"/>
    <w:rsid w:val="00F87877"/>
    <w:rsid w:val="00F90138"/>
    <w:rsid w:val="00F90229"/>
    <w:rsid w:val="00F90571"/>
    <w:rsid w:val="00F90D75"/>
    <w:rsid w:val="00F930C1"/>
    <w:rsid w:val="00F94A10"/>
    <w:rsid w:val="00F94A60"/>
    <w:rsid w:val="00F95CBD"/>
    <w:rsid w:val="00F966A4"/>
    <w:rsid w:val="00F968EF"/>
    <w:rsid w:val="00F97501"/>
    <w:rsid w:val="00FA018B"/>
    <w:rsid w:val="00FA2474"/>
    <w:rsid w:val="00FA3557"/>
    <w:rsid w:val="00FA4A47"/>
    <w:rsid w:val="00FA5BBB"/>
    <w:rsid w:val="00FA6BF2"/>
    <w:rsid w:val="00FA772E"/>
    <w:rsid w:val="00FB0527"/>
    <w:rsid w:val="00FB1623"/>
    <w:rsid w:val="00FB3B03"/>
    <w:rsid w:val="00FB3DBC"/>
    <w:rsid w:val="00FB3FF1"/>
    <w:rsid w:val="00FB4484"/>
    <w:rsid w:val="00FB4FB1"/>
    <w:rsid w:val="00FB57DA"/>
    <w:rsid w:val="00FB58E7"/>
    <w:rsid w:val="00FB702E"/>
    <w:rsid w:val="00FB7DA0"/>
    <w:rsid w:val="00FC0513"/>
    <w:rsid w:val="00FC15CD"/>
    <w:rsid w:val="00FC26DD"/>
    <w:rsid w:val="00FC3D07"/>
    <w:rsid w:val="00FC4375"/>
    <w:rsid w:val="00FC49E7"/>
    <w:rsid w:val="00FC5EB8"/>
    <w:rsid w:val="00FC698A"/>
    <w:rsid w:val="00FC6EBE"/>
    <w:rsid w:val="00FC6F05"/>
    <w:rsid w:val="00FD0A9B"/>
    <w:rsid w:val="00FD1658"/>
    <w:rsid w:val="00FD1781"/>
    <w:rsid w:val="00FD2A3C"/>
    <w:rsid w:val="00FD4AF7"/>
    <w:rsid w:val="00FD5973"/>
    <w:rsid w:val="00FD761B"/>
    <w:rsid w:val="00FD7CAC"/>
    <w:rsid w:val="00FE185D"/>
    <w:rsid w:val="00FE28C1"/>
    <w:rsid w:val="00FE34E2"/>
    <w:rsid w:val="00FE57CA"/>
    <w:rsid w:val="00FE58A9"/>
    <w:rsid w:val="00FE58F4"/>
    <w:rsid w:val="00FE7D10"/>
    <w:rsid w:val="00FF1599"/>
    <w:rsid w:val="00FF19B9"/>
    <w:rsid w:val="00FF2D8E"/>
    <w:rsid w:val="00FF5B52"/>
    <w:rsid w:val="00FF68E6"/>
    <w:rsid w:val="00FF6F1C"/>
    <w:rsid w:val="00FF73E9"/>
    <w:rsid w:val="00FF74D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04"/>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styleId="Heading1">
    <w:name w:val="heading 1"/>
    <w:aliases w:val="Char5 Char,Heading 1 Char Char Char Char,Nadpis 1 Char Char"/>
    <w:basedOn w:val="Normal"/>
    <w:next w:val="Normal"/>
    <w:link w:val="Nadpis1Char"/>
    <w:qFormat/>
    <w:rsid w:val="00C52ECF"/>
    <w:pPr>
      <w:keepNext/>
      <w:spacing w:before="240" w:after="60"/>
      <w:jc w:val="left"/>
      <w:outlineLvl w:val="0"/>
    </w:pPr>
    <w:rPr>
      <w:rFonts w:ascii="Arial" w:hAnsi="Arial" w:cs="Arial"/>
      <w:b/>
      <w:bCs/>
      <w:kern w:val="32"/>
      <w:sz w:val="32"/>
      <w:szCs w:val="32"/>
    </w:rPr>
  </w:style>
  <w:style w:type="paragraph" w:styleId="Heading2">
    <w:name w:val="heading 2"/>
    <w:aliases w:val="Nadpis 2 Char Char Char,Nadpis 2 Char Char Char Char"/>
    <w:basedOn w:val="Normal"/>
    <w:next w:val="Normal"/>
    <w:link w:val="Nadpis2Char"/>
    <w:qFormat/>
    <w:rsid w:val="009B0704"/>
    <w:pPr>
      <w:keepNext/>
      <w:spacing w:before="240" w:after="60"/>
      <w:jc w:val="left"/>
      <w:outlineLvl w:val="1"/>
    </w:pPr>
    <w:rPr>
      <w:rFonts w:ascii="Arial" w:hAnsi="Arial" w:cs="Arial"/>
      <w:b/>
      <w:bCs/>
      <w:i/>
      <w:iCs/>
      <w:sz w:val="28"/>
      <w:szCs w:val="28"/>
    </w:rPr>
  </w:style>
  <w:style w:type="paragraph" w:styleId="Heading3">
    <w:name w:val="heading 3"/>
    <w:aliases w:val="Char4 Char,Heading 3 Char Char Char Char,Nadpis 3 Char Char"/>
    <w:basedOn w:val="Normal"/>
    <w:next w:val="Normal"/>
    <w:link w:val="Nadpis3Char"/>
    <w:qFormat/>
    <w:rsid w:val="00F930C1"/>
    <w:pPr>
      <w:keepNext/>
      <w:spacing w:before="240" w:after="60"/>
      <w:jc w:val="left"/>
      <w:outlineLvl w:val="2"/>
    </w:pPr>
    <w:rPr>
      <w:rFonts w:ascii="Arial" w:hAnsi="Arial" w:cs="Arial"/>
      <w:b/>
      <w:bCs/>
      <w:sz w:val="26"/>
      <w:szCs w:val="26"/>
    </w:rPr>
  </w:style>
  <w:style w:type="paragraph" w:styleId="Heading4">
    <w:name w:val="heading 4"/>
    <w:aliases w:val="Char Char,Heading 4 Char Char Char Char,Nadpis 4 Char Char"/>
    <w:basedOn w:val="Normal"/>
    <w:next w:val="Normal"/>
    <w:link w:val="Nadpis4Char"/>
    <w:qFormat/>
    <w:rsid w:val="00DD172F"/>
    <w:pPr>
      <w:keepNext/>
      <w:jc w:val="both"/>
      <w:outlineLvl w:val="3"/>
    </w:pPr>
    <w:rPr>
      <w:rFonts w:ascii="Arial" w:hAnsi="Arial" w:cs="Arial"/>
      <w:b/>
      <w:bCs/>
      <w:sz w:val="20"/>
      <w:szCs w:val="20"/>
      <w:lang w:eastAsia="sk-SK"/>
    </w:rPr>
  </w:style>
  <w:style w:type="character" w:default="1" w:styleId="DefaultParagraphFont">
    <w:name w:val="Default Paragraph Font"/>
    <w:aliases w:val="Char Char Char Char Char1 Char"/>
    <w:link w:val="CharCharCharCharChar1"/>
    <w:semiHidden/>
    <w:locked/>
    <w:rsid w:val="00772153"/>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Nadpis1Char">
    <w:name w:val="Nadpis 1 Char"/>
    <w:aliases w:val="Char5 Char Char,Heading 1 Char Char Char Char Char,Nadpis 1 Char Char Char"/>
    <w:basedOn w:val="DefaultParagraphFont"/>
    <w:link w:val="Heading1"/>
    <w:locked/>
    <w:rPr>
      <w:rFonts w:ascii="Cambria" w:hAnsi="Cambria" w:cs="Times New Roman"/>
      <w:b/>
      <w:bCs/>
      <w:kern w:val="32"/>
      <w:sz w:val="32"/>
      <w:szCs w:val="32"/>
      <w:rtl w:val="0"/>
      <w:cs w:val="0"/>
      <w:lang w:val="x-none" w:eastAsia="cs-CZ"/>
    </w:rPr>
  </w:style>
  <w:style w:type="character" w:customStyle="1" w:styleId="Nadpis2Char">
    <w:name w:val="Nadpis 2 Char"/>
    <w:aliases w:val="Nadpis 2 Char Char Char Char Char,Nadpis 2 Char Char Char Char1"/>
    <w:basedOn w:val="DefaultParagraphFont"/>
    <w:link w:val="Heading2"/>
    <w:locked/>
    <w:rPr>
      <w:rFonts w:ascii="Cambria" w:hAnsi="Cambria" w:cs="Cambria"/>
      <w:b/>
      <w:bCs/>
      <w:i/>
      <w:iCs/>
      <w:sz w:val="28"/>
      <w:szCs w:val="28"/>
      <w:rtl w:val="0"/>
      <w:cs w:val="0"/>
      <w:lang w:val="x-none" w:eastAsia="cs-CZ"/>
    </w:rPr>
  </w:style>
  <w:style w:type="character" w:customStyle="1" w:styleId="Nadpis3Char">
    <w:name w:val="Nadpis 3 Char"/>
    <w:aliases w:val="Char4 Char Char,Heading 3 Char Char Char Char Char,Nadpis 3 Char Char Char"/>
    <w:basedOn w:val="DefaultParagraphFont"/>
    <w:link w:val="Heading3"/>
    <w:semiHidden/>
    <w:locked/>
    <w:rPr>
      <w:rFonts w:ascii="Cambria" w:hAnsi="Cambria" w:cs="Times New Roman"/>
      <w:b/>
      <w:bCs/>
      <w:sz w:val="26"/>
      <w:szCs w:val="26"/>
      <w:rtl w:val="0"/>
      <w:cs w:val="0"/>
      <w:lang w:val="x-none" w:eastAsia="cs-CZ"/>
    </w:rPr>
  </w:style>
  <w:style w:type="character" w:customStyle="1" w:styleId="Nadpis4Char">
    <w:name w:val="Nadpis 4 Char"/>
    <w:aliases w:val="Char Char Char,Heading 4 Char Char Char Char Char,Nadpis 4 Char Char Char"/>
    <w:basedOn w:val="DefaultParagraphFont"/>
    <w:link w:val="Heading4"/>
    <w:semiHidden/>
    <w:locked/>
    <w:rPr>
      <w:rFonts w:ascii="Calibri" w:hAnsi="Calibri" w:cs="Times New Roman"/>
      <w:b/>
      <w:bCs/>
      <w:sz w:val="28"/>
      <w:szCs w:val="28"/>
      <w:rtl w:val="0"/>
      <w:cs w:val="0"/>
      <w:lang w:val="x-none" w:eastAsia="cs-CZ"/>
    </w:rPr>
  </w:style>
  <w:style w:type="paragraph" w:customStyle="1" w:styleId="CharCharCharCharChar1">
    <w:name w:val="Char Char Char Char Char1"/>
    <w:basedOn w:val="Normal"/>
    <w:link w:val="DefaultParagraphFont"/>
    <w:rsid w:val="006B6C76"/>
    <w:pPr>
      <w:spacing w:after="160" w:line="240" w:lineRule="exact"/>
      <w:jc w:val="left"/>
    </w:pPr>
    <w:rPr>
      <w:rFonts w:ascii="Tahoma" w:hAnsi="Tahoma" w:cs="Tahoma"/>
      <w:sz w:val="20"/>
      <w:szCs w:val="20"/>
      <w:lang w:val="en-US" w:eastAsia="en-US"/>
    </w:rPr>
  </w:style>
  <w:style w:type="paragraph" w:customStyle="1" w:styleId="CharChar2">
    <w:name w:val="Char Char2"/>
    <w:basedOn w:val="Normal"/>
    <w:rsid w:val="009B0704"/>
    <w:pPr>
      <w:spacing w:after="160" w:line="240" w:lineRule="exact"/>
      <w:jc w:val="left"/>
    </w:pPr>
    <w:rPr>
      <w:rFonts w:ascii="Tahoma" w:hAnsi="Tahoma" w:cs="Tahoma"/>
      <w:sz w:val="20"/>
      <w:szCs w:val="20"/>
      <w:lang w:val="en-US" w:eastAsia="en-US"/>
    </w:rPr>
  </w:style>
  <w:style w:type="paragraph" w:styleId="FootnoteText">
    <w:name w:val="footnote text"/>
    <w:aliases w:val="Footnote Text Char Char1 Char Char Char Char,Footnote Text Char1 Char,Footnote Text Char1 Char Char,Footnote Text Char1 Char Char Char,Footnote Text Char2,Footnote Text Char2 Char Char,Footnote Text Char2 Char Char Char Char"/>
    <w:basedOn w:val="Normal"/>
    <w:link w:val="TextpoznmkypodiarouChar"/>
    <w:semiHidden/>
    <w:rsid w:val="009B0704"/>
    <w:pPr>
      <w:jc w:val="left"/>
    </w:pPr>
  </w:style>
  <w:style w:type="character" w:customStyle="1" w:styleId="TextpoznmkypodiarouChar">
    <w:name w:val="Text poznámky pod čiarou Char"/>
    <w:aliases w:val="Footnote Text Char1 Char Char Char Char,Footnote Text Char1 Char Char Char1,Footnote Text Char1 Char Char2,Footnote Text Char2 Char,Footnote Text Char2 Char Char Char,Footnote Text Char2 Char Char Char Char Char"/>
    <w:basedOn w:val="DefaultParagraphFont"/>
    <w:link w:val="FootnoteText"/>
    <w:semiHidden/>
    <w:locked/>
    <w:rPr>
      <w:rFonts w:ascii="Courier" w:hAnsi="Courier" w:cs="Courier"/>
      <w:sz w:val="20"/>
      <w:szCs w:val="20"/>
      <w:rtl w:val="0"/>
      <w:cs w:val="0"/>
      <w:lang w:val="x-none" w:eastAsia="cs-CZ"/>
    </w:rPr>
  </w:style>
  <w:style w:type="character" w:styleId="FootnoteReference">
    <w:name w:val="footnote reference"/>
    <w:basedOn w:val="DefaultParagraphFont"/>
    <w:semiHidden/>
    <w:rsid w:val="009B0704"/>
    <w:rPr>
      <w:rFonts w:cs="Times New Roman"/>
      <w:vertAlign w:val="superscript"/>
      <w:rtl w:val="0"/>
      <w:cs w:val="0"/>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rsid w:val="006D2393"/>
    <w:pPr>
      <w:spacing w:after="160" w:line="240" w:lineRule="exact"/>
      <w:jc w:val="left"/>
    </w:pPr>
    <w:rPr>
      <w:rFonts w:ascii="Tahoma" w:hAnsi="Tahoma" w:cs="Tahoma"/>
      <w:sz w:val="20"/>
      <w:szCs w:val="20"/>
      <w:lang w:val="en-US" w:eastAsia="en-US"/>
    </w:rPr>
  </w:style>
  <w:style w:type="paragraph" w:styleId="BodyText">
    <w:name w:val="Body Text"/>
    <w:aliases w:val="Body Text Char Char Char Char,Body Text Char Char Char Char Char,Char14 Char,Základný text Char Char"/>
    <w:basedOn w:val="Normal"/>
    <w:link w:val="ZkladntextChar"/>
    <w:rsid w:val="00DD172F"/>
    <w:pPr>
      <w:jc w:val="both"/>
    </w:pPr>
    <w:rPr>
      <w:lang w:eastAsia="sk-SK"/>
    </w:rPr>
  </w:style>
  <w:style w:type="character" w:customStyle="1" w:styleId="ZkladntextChar">
    <w:name w:val="Základný text Char"/>
    <w:aliases w:val="Body Text Char Char Char Char Char Char,Body Text Char Char Char Char Char1,Char14 Char Char,Základný text Char Char Char"/>
    <w:basedOn w:val="DefaultParagraphFont"/>
    <w:link w:val="BodyText"/>
    <w:semiHidden/>
    <w:locked/>
    <w:rPr>
      <w:rFonts w:ascii="Courier" w:hAnsi="Courier" w:cs="Courier"/>
      <w:sz w:val="24"/>
      <w:szCs w:val="24"/>
      <w:rtl w:val="0"/>
      <w:cs w:val="0"/>
      <w:lang w:val="x-none" w:eastAsia="cs-CZ"/>
    </w:rPr>
  </w:style>
  <w:style w:type="paragraph" w:styleId="BalloonText">
    <w:name w:val="Balloon Text"/>
    <w:aliases w:val="Balloon Text Char Char,Balloon Text Char Char Char,Balloon Text Char Char Char Char,Char13 Char,Char13 Char Char,Text bubliny Char,Text bubliny Char Char,Text bubliny Char Char Char"/>
    <w:basedOn w:val="Normal"/>
    <w:link w:val="TextbublinyChar1"/>
    <w:semiHidden/>
    <w:rsid w:val="00DD172F"/>
    <w:pPr>
      <w:jc w:val="left"/>
    </w:pPr>
    <w:rPr>
      <w:rFonts w:ascii="Tahoma" w:hAnsi="Tahoma" w:cs="Tahoma"/>
      <w:sz w:val="16"/>
      <w:szCs w:val="16"/>
      <w:lang w:eastAsia="sk-SK"/>
    </w:rPr>
  </w:style>
  <w:style w:type="character" w:customStyle="1" w:styleId="TextbublinyChar1">
    <w:name w:val="Text bubliny Char1"/>
    <w:aliases w:val="Balloon Text Char Char Char Char Char,Balloon Text Char Char Char Char1,Balloon Text Char Char Char1,Char13 Char Char Char,Char13 Char Char1,Text bubliny Char Char Char Char,Text bubliny Char Char Char1,Text bubliny Char Char1"/>
    <w:basedOn w:val="DefaultParagraphFont"/>
    <w:link w:val="BalloonText"/>
    <w:semiHidden/>
    <w:locked/>
    <w:rPr>
      <w:rFonts w:ascii="Tahoma" w:hAnsi="Tahoma" w:cs="Tahoma"/>
      <w:sz w:val="16"/>
      <w:szCs w:val="16"/>
      <w:rtl w:val="0"/>
      <w:cs w:val="0"/>
      <w:lang w:val="x-none" w:eastAsia="cs-CZ"/>
    </w:rPr>
  </w:style>
  <w:style w:type="character" w:customStyle="1" w:styleId="ZarkazkladnhotextuChar1">
    <w:name w:val="Zarážka základného textu Char1"/>
    <w:aliases w:val="Body Text 2 Char Char Char Char Char,Char8 Char Char Char,Základný text 2 Char Char Char Char,Základný text 2 Char Char1"/>
    <w:basedOn w:val="DefaultParagraphFont"/>
    <w:semiHidden/>
    <w:locked/>
    <w:rPr>
      <w:rFonts w:ascii="Courier" w:hAnsi="Courier" w:cs="Courier"/>
      <w:sz w:val="24"/>
      <w:szCs w:val="24"/>
      <w:rtl w:val="0"/>
      <w:cs w:val="0"/>
      <w:lang w:val="x-none" w:eastAsia="cs-CZ"/>
    </w:rPr>
  </w:style>
  <w:style w:type="paragraph" w:styleId="Footer">
    <w:name w:val="footer"/>
    <w:aliases w:val="Char11 Char,Footer Char Char Char Char,Footer Char Char Char Char Char,Päta Char Char"/>
    <w:basedOn w:val="Normal"/>
    <w:link w:val="PtaChar"/>
    <w:rsid w:val="00DD172F"/>
    <w:pPr>
      <w:tabs>
        <w:tab w:val="center" w:pos="4536"/>
        <w:tab w:val="right" w:pos="9072"/>
      </w:tabs>
      <w:jc w:val="left"/>
    </w:pPr>
    <w:rPr>
      <w:lang w:eastAsia="sk-SK"/>
    </w:rPr>
  </w:style>
  <w:style w:type="character" w:customStyle="1" w:styleId="PtaChar">
    <w:name w:val="Päta Char"/>
    <w:aliases w:val="Char11 Char Char,Footer Char Char Char Char Char Char,Footer Char Char Char Char Char1,Päta Char Char Char"/>
    <w:basedOn w:val="DefaultParagraphFont"/>
    <w:link w:val="Footer"/>
    <w:semiHidden/>
    <w:locked/>
    <w:rPr>
      <w:rFonts w:ascii="Courier" w:hAnsi="Courier" w:cs="Courier"/>
      <w:sz w:val="24"/>
      <w:szCs w:val="24"/>
      <w:rtl w:val="0"/>
      <w:cs w:val="0"/>
      <w:lang w:val="x-none" w:eastAsia="cs-CZ"/>
    </w:rPr>
  </w:style>
  <w:style w:type="paragraph" w:customStyle="1" w:styleId="INGBodyText">
    <w:name w:val="ING Body Text"/>
    <w:basedOn w:val="Normal"/>
    <w:rsid w:val="00DD172F"/>
    <w:pPr>
      <w:spacing w:after="160" w:line="280" w:lineRule="exact"/>
      <w:jc w:val="both"/>
    </w:pPr>
    <w:rPr>
      <w:rFonts w:ascii="Arial" w:hAnsi="Arial" w:cs="Arial"/>
      <w:color w:val="000000"/>
      <w:sz w:val="19"/>
      <w:szCs w:val="19"/>
      <w:lang w:val="en-GB" w:eastAsia="en-US"/>
    </w:rPr>
  </w:style>
  <w:style w:type="character" w:styleId="PageNumber">
    <w:name w:val="page number"/>
    <w:basedOn w:val="DefaultParagraphFont"/>
    <w:rsid w:val="00DD172F"/>
    <w:rPr>
      <w:rFonts w:cs="Times New Roman"/>
      <w:rtl w:val="0"/>
      <w:cs w:val="0"/>
    </w:rPr>
  </w:style>
  <w:style w:type="paragraph" w:styleId="BodyTextIndent2">
    <w:name w:val="Body Text Indent 2"/>
    <w:aliases w:val="Body Text Indent 2 Char Char Char Char,Body Text Indent 2 Char Char Char Char Char,Char10 Char,Zarážka základného textu 2 Char Char"/>
    <w:basedOn w:val="Normal"/>
    <w:link w:val="Zarkazkladnhotextu2Char"/>
    <w:rsid w:val="00DD172F"/>
    <w:pPr>
      <w:spacing w:after="120" w:line="480" w:lineRule="auto"/>
      <w:ind w:left="283"/>
      <w:jc w:val="left"/>
    </w:pPr>
    <w:rPr>
      <w:lang w:eastAsia="sk-SK"/>
    </w:rPr>
  </w:style>
  <w:style w:type="character" w:customStyle="1" w:styleId="Zarkazkladnhotextu2Char">
    <w:name w:val="Zarážka základného textu 2 Char"/>
    <w:aliases w:val="Body Text Indent 2 Char Char Char Char Char Char,Body Text Indent 2 Char Char Char Char Char1,Char10 Char Char,Zarážka základného textu 2 Char Char Char"/>
    <w:basedOn w:val="DefaultParagraphFont"/>
    <w:link w:val="BodyTextIndent2"/>
    <w:semiHidden/>
    <w:locked/>
    <w:rPr>
      <w:rFonts w:ascii="Courier" w:hAnsi="Courier" w:cs="Courier"/>
      <w:sz w:val="24"/>
      <w:szCs w:val="24"/>
      <w:rtl w:val="0"/>
      <w:cs w:val="0"/>
      <w:lang w:val="x-none" w:eastAsia="cs-CZ"/>
    </w:rPr>
  </w:style>
  <w:style w:type="paragraph" w:styleId="DocumentMap">
    <w:name w:val="Document Map"/>
    <w:aliases w:val="Char9 Char,Char9 Char Char,Document Map Char Char,Document Map Char Char Char,Document Map Char Char Char Char,Štruktúra dokumentu Char,Štruktúra dokumentu Char Char,Štruktúra dokumentu Char Char Char"/>
    <w:basedOn w:val="Normal"/>
    <w:link w:val="truktradokumentuChar1"/>
    <w:semiHidden/>
    <w:rsid w:val="00DD172F"/>
    <w:pPr>
      <w:shd w:val="clear" w:color="auto" w:fill="000080"/>
      <w:jc w:val="left"/>
    </w:pPr>
    <w:rPr>
      <w:rFonts w:ascii="Tahoma" w:hAnsi="Tahoma" w:cs="Tahoma"/>
      <w:lang w:eastAsia="sk-SK"/>
    </w:rPr>
  </w:style>
  <w:style w:type="character" w:customStyle="1" w:styleId="truktradokumentuChar1">
    <w:name w:val="Štruktúra dokumentu Char1"/>
    <w:aliases w:val="Char9 Char Char Char,Char9 Char Char1,Document Map Char Char Char Char Char,Document Map Char Char Char Char1,Štruktúra dokumentu Char Char Char Char,Štruktúra dokumentu Char Char Char1,Štruktúra dokumentu Char Char1"/>
    <w:basedOn w:val="DefaultParagraphFont"/>
    <w:link w:val="DocumentMap"/>
    <w:semiHidden/>
    <w:locked/>
    <w:rPr>
      <w:rFonts w:ascii="Tahoma" w:hAnsi="Tahoma" w:cs="Tahoma"/>
      <w:sz w:val="16"/>
      <w:szCs w:val="16"/>
      <w:rtl w:val="0"/>
      <w:cs w:val="0"/>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al"/>
    <w:rsid w:val="00DD172F"/>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al"/>
    <w:rsid w:val="00DD172F"/>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rsid w:val="00DD172F"/>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semiHidden/>
    <w:rsid w:val="00DD172F"/>
    <w:rPr>
      <w:rFonts w:cs="Times New Roman"/>
      <w:sz w:val="16"/>
      <w:szCs w:val="16"/>
      <w:rtl w:val="0"/>
      <w:cs w:val="0"/>
    </w:rPr>
  </w:style>
  <w:style w:type="paragraph" w:styleId="CommentText">
    <w:name w:val="annotation text"/>
    <w:aliases w:val="Char7 Char,Char7 Char Char,Comment Text Char Char,Comment Text Char Char Char,Comment Text Char Char Char Char,Text komentára Char,Text komentára Char Char,Text komentára Char Char Char"/>
    <w:basedOn w:val="Normal"/>
    <w:link w:val="TextkomentraChar1"/>
    <w:semiHidden/>
    <w:rsid w:val="00DD172F"/>
    <w:pPr>
      <w:jc w:val="left"/>
    </w:pPr>
    <w:rPr>
      <w:sz w:val="20"/>
      <w:szCs w:val="20"/>
      <w:lang w:eastAsia="sk-SK"/>
    </w:rPr>
  </w:style>
  <w:style w:type="character" w:customStyle="1" w:styleId="TextkomentraChar1">
    <w:name w:val="Text komentára Char1"/>
    <w:aliases w:val="Char7 Char Char Char,Char7 Char Char1,Comment Text Char Char Char Char Char,Comment Text Char Char Char Char1,Comment Text Char Char Char1,Text komentára Char Char Char Char,Text komentára Char Char Char1,Text komentára Char Char1"/>
    <w:basedOn w:val="DefaultParagraphFont"/>
    <w:link w:val="CommentText"/>
    <w:semiHidden/>
    <w:locked/>
    <w:rPr>
      <w:rFonts w:ascii="Courier" w:hAnsi="Courier" w:cs="Courier"/>
      <w:sz w:val="20"/>
      <w:szCs w:val="20"/>
      <w:rtl w:val="0"/>
      <w:cs w:val="0"/>
      <w:lang w:val="x-none" w:eastAsia="cs-CZ"/>
    </w:rPr>
  </w:style>
  <w:style w:type="paragraph" w:styleId="CommentSubject">
    <w:name w:val="annotation subject"/>
    <w:aliases w:val="Char6 Char,Char6 Char Char,Comment Subject Char Char Char,Comment Subject Char Char Char Char,Predmet komentára Char,Predmet komentára Char Char,Predmet komentára Char Char Char"/>
    <w:basedOn w:val="CommentText"/>
    <w:next w:val="CommentText"/>
    <w:link w:val="PredmetkomentraChar1"/>
    <w:semiHidden/>
    <w:rsid w:val="00DD172F"/>
    <w:pPr>
      <w:jc w:val="left"/>
    </w:pPr>
    <w:rPr>
      <w:b/>
      <w:bCs/>
    </w:rPr>
  </w:style>
  <w:style w:type="character" w:customStyle="1" w:styleId="PredmetkomentraChar1">
    <w:name w:val="Predmet komentára Char1"/>
    <w:aliases w:val="Char6 Char Char Char,Char6 Char Char1,Comment Subject Char Char Char Char Char,Comment Subject Char Char Char Char1,Predmet komentára Char Char Char Char,Predmet komentára Char Char Char1,Predmet komentára Char Char1"/>
    <w:basedOn w:val="TextkomentraChar1"/>
    <w:link w:val="CommentSubject"/>
    <w:semiHidden/>
    <w:locked/>
    <w:rPr>
      <w:b/>
      <w:bCs/>
    </w:rPr>
  </w:style>
  <w:style w:type="paragraph" w:customStyle="1" w:styleId="CharCharCharCharCharCharCharCharChar">
    <w:name w:val="Char Char Char Char Char Char Char Char Char"/>
    <w:basedOn w:val="Normal"/>
    <w:rsid w:val="00DD172F"/>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DD172F"/>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rsid w:val="00DD172F"/>
    <w:pPr>
      <w:spacing w:after="160" w:line="240" w:lineRule="exact"/>
      <w:jc w:val="left"/>
    </w:pPr>
    <w:rPr>
      <w:rFonts w:ascii="Tahoma" w:hAnsi="Tahoma" w:cs="Tahoma"/>
      <w:sz w:val="20"/>
      <w:szCs w:val="20"/>
      <w:lang w:val="en-US" w:eastAsia="en-US"/>
    </w:rPr>
  </w:style>
  <w:style w:type="paragraph" w:customStyle="1" w:styleId="Default">
    <w:name w:val="Default"/>
    <w:rsid w:val="00DD172F"/>
    <w:pPr>
      <w:framePr w:wrap="auto"/>
      <w:widowControl/>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F734B1"/>
    <w:pPr>
      <w:spacing w:after="160" w:line="240" w:lineRule="exact"/>
      <w:jc w:val="left"/>
    </w:pPr>
    <w:rPr>
      <w:rFonts w:ascii="Tahoma" w:hAnsi="Tahoma" w:cs="Tahoma"/>
      <w:sz w:val="20"/>
      <w:szCs w:val="20"/>
      <w:lang w:val="en-US" w:eastAsia="en-US"/>
    </w:rPr>
  </w:style>
  <w:style w:type="paragraph" w:customStyle="1" w:styleId="Char3">
    <w:name w:val="Char3"/>
    <w:basedOn w:val="Normal"/>
    <w:rsid w:val="00F930C1"/>
    <w:pPr>
      <w:spacing w:after="160" w:line="240" w:lineRule="exact"/>
      <w:jc w:val="left"/>
    </w:pPr>
    <w:rPr>
      <w:rFonts w:ascii="Tahoma" w:hAnsi="Tahoma" w:cs="Tahoma"/>
      <w:sz w:val="20"/>
      <w:szCs w:val="20"/>
      <w:lang w:val="en-US" w:eastAsia="en-US"/>
    </w:rPr>
  </w:style>
  <w:style w:type="paragraph" w:styleId="BodyTextIndent3">
    <w:name w:val="Body Text Indent 3"/>
    <w:aliases w:val="Body Text Indent 3 Char Char Char Char,Body Text Indent 3 Char Char Char Char Char,Char2 Char,Zarážka základného textu 3 Char Char"/>
    <w:basedOn w:val="Normal"/>
    <w:link w:val="Zarkazkladnhotextu3Char"/>
    <w:rsid w:val="00F930C1"/>
    <w:pPr>
      <w:spacing w:after="120"/>
      <w:ind w:left="283"/>
      <w:jc w:val="left"/>
    </w:pPr>
    <w:rPr>
      <w:sz w:val="16"/>
      <w:szCs w:val="16"/>
    </w:rPr>
  </w:style>
  <w:style w:type="character" w:customStyle="1" w:styleId="Zarkazkladnhotextu3Char">
    <w:name w:val="Zarážka základného textu 3 Char"/>
    <w:aliases w:val="Body Text Indent 3 Char Char Char Char Char Char,Body Text Indent 3 Char Char Char Char Char1,Char2 Char Char,Zarážka základného textu 3 Char Char Char"/>
    <w:basedOn w:val="DefaultParagraphFont"/>
    <w:link w:val="BodyTextIndent3"/>
    <w:semiHidden/>
    <w:locked/>
    <w:rPr>
      <w:rFonts w:ascii="Courier" w:hAnsi="Courier" w:cs="Courier"/>
      <w:sz w:val="16"/>
      <w:szCs w:val="16"/>
      <w:rtl w:val="0"/>
      <w:cs w:val="0"/>
      <w:lang w:val="x-none" w:eastAsia="cs-CZ"/>
    </w:rPr>
  </w:style>
  <w:style w:type="paragraph" w:customStyle="1" w:styleId="CharChar1">
    <w:name w:val="Char Char1"/>
    <w:basedOn w:val="Normal"/>
    <w:rsid w:val="00F930C1"/>
    <w:pPr>
      <w:spacing w:after="160" w:line="240" w:lineRule="exact"/>
      <w:jc w:val="left"/>
    </w:pPr>
    <w:rPr>
      <w:rFonts w:ascii="Tahoma" w:hAnsi="Tahoma" w:cs="Tahoma"/>
      <w:sz w:val="20"/>
      <w:szCs w:val="20"/>
      <w:lang w:val="en-US" w:eastAsia="en-US"/>
    </w:rPr>
  </w:style>
  <w:style w:type="paragraph" w:customStyle="1" w:styleId="Char1">
    <w:name w:val="Char1"/>
    <w:basedOn w:val="Normal"/>
    <w:rsid w:val="00F930C1"/>
    <w:pPr>
      <w:spacing w:after="160" w:line="240" w:lineRule="exact"/>
      <w:jc w:val="left"/>
    </w:pPr>
    <w:rPr>
      <w:rFonts w:ascii="Tahoma" w:hAnsi="Tahoma" w:cs="Tahoma"/>
      <w:sz w:val="20"/>
      <w:szCs w:val="20"/>
      <w:lang w:val="en-US" w:eastAsia="en-US"/>
    </w:rPr>
  </w:style>
  <w:style w:type="paragraph" w:styleId="TOC1">
    <w:name w:val="toc 1"/>
    <w:basedOn w:val="Normal"/>
    <w:next w:val="Normal"/>
    <w:autoRedefine/>
    <w:semiHidden/>
    <w:rsid w:val="00513FFB"/>
    <w:pPr>
      <w:tabs>
        <w:tab w:val="right" w:leader="dot" w:pos="9062"/>
      </w:tabs>
      <w:spacing w:before="120"/>
      <w:jc w:val="left"/>
    </w:pPr>
    <w:rPr>
      <w:rFonts w:ascii="Arial Narrow" w:hAnsi="Arial Narrow" w:cs="Arial Narrow"/>
      <w:b/>
      <w:bCs/>
      <w:noProof/>
    </w:rPr>
  </w:style>
  <w:style w:type="paragraph" w:styleId="TOC2">
    <w:name w:val="toc 2"/>
    <w:basedOn w:val="Normal"/>
    <w:next w:val="Normal"/>
    <w:autoRedefine/>
    <w:semiHidden/>
    <w:rsid w:val="00513FFB"/>
    <w:pPr>
      <w:tabs>
        <w:tab w:val="right" w:leader="dot" w:pos="9062"/>
      </w:tabs>
      <w:spacing w:before="120"/>
      <w:ind w:left="238"/>
      <w:jc w:val="left"/>
    </w:pPr>
    <w:rPr>
      <w:rFonts w:ascii="Arial Narrow" w:hAnsi="Arial Narrow" w:cs="Arial Narrow"/>
      <w:noProof/>
      <w:sz w:val="22"/>
      <w:szCs w:val="22"/>
    </w:rPr>
  </w:style>
  <w:style w:type="character" w:styleId="Hyperlink">
    <w:name w:val="Hyperlink"/>
    <w:basedOn w:val="DefaultParagraphFont"/>
    <w:rsid w:val="00CA0EBD"/>
    <w:rPr>
      <w:rFonts w:cs="Times New Roman"/>
      <w:color w:val="0000FF"/>
      <w:u w:val="single"/>
      <w:rtl w:val="0"/>
      <w:cs w:val="0"/>
    </w:rPr>
  </w:style>
  <w:style w:type="paragraph" w:customStyle="1" w:styleId="BodyTextIndentCharChar">
    <w:name w:val="Body Text Indent Char Char"/>
    <w:basedOn w:val="Normal"/>
    <w:link w:val="BodyTextIndentCharCharChar"/>
    <w:rsid w:val="00612AE1"/>
    <w:pPr>
      <w:spacing w:after="120"/>
      <w:ind w:left="283"/>
      <w:jc w:val="left"/>
    </w:pPr>
  </w:style>
  <w:style w:type="character" w:customStyle="1" w:styleId="BodyTextIndentCharCharChar">
    <w:name w:val="Body Text Indent Char Char Char"/>
    <w:basedOn w:val="DefaultParagraphFont"/>
    <w:link w:val="BodyTextIndentCharChar"/>
    <w:locked/>
    <w:rsid w:val="00612AE1"/>
    <w:rPr>
      <w:rFonts w:ascii="Courier" w:hAnsi="Courier" w:cs="Courier"/>
      <w:sz w:val="20"/>
      <w:szCs w:val="20"/>
      <w:rtl w:val="0"/>
      <w:cs w:val="0"/>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rsid w:val="00772153"/>
    <w:pPr>
      <w:spacing w:after="160" w:line="240" w:lineRule="exact"/>
      <w:jc w:val="left"/>
    </w:pPr>
    <w:rPr>
      <w:rFonts w:ascii="Tahoma" w:hAnsi="Tahoma" w:cs="Tahoma"/>
      <w:sz w:val="20"/>
      <w:szCs w:val="20"/>
      <w:lang w:val="en-US" w:eastAsia="en-US"/>
    </w:rPr>
  </w:style>
  <w:style w:type="paragraph" w:customStyle="1" w:styleId="CharCharCharCharCharCharCharCharChar1">
    <w:name w:val="Char Char Char Char Char Char Char Char Char1"/>
    <w:basedOn w:val="Normal"/>
    <w:rsid w:val="00772153"/>
    <w:pPr>
      <w:spacing w:after="160" w:line="240" w:lineRule="exact"/>
      <w:jc w:val="left"/>
    </w:pPr>
    <w:rPr>
      <w:rFonts w:ascii="Tahoma" w:hAnsi="Tahoma" w:cs="Tahoma"/>
      <w:sz w:val="20"/>
      <w:szCs w:val="20"/>
      <w:lang w:val="en-US" w:eastAsia="en-US"/>
    </w:rPr>
  </w:style>
  <w:style w:type="table" w:styleId="TableGrid">
    <w:name w:val="Table Grid"/>
    <w:basedOn w:val="TableNormal"/>
    <w:rsid w:val="0077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CharCharCharCharChar1">
    <w:name w:val="Char Char Char2 Char Char Char Char Char Char Char Char Char Char Char1"/>
    <w:basedOn w:val="Normal"/>
    <w:rsid w:val="00772153"/>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al"/>
    <w:rsid w:val="00772153"/>
    <w:pPr>
      <w:spacing w:after="160" w:line="240" w:lineRule="exact"/>
      <w:jc w:val="left"/>
    </w:pPr>
    <w:rPr>
      <w:rFonts w:ascii="Tahoma" w:hAnsi="Tahoma" w:cs="Tahoma"/>
      <w:sz w:val="20"/>
      <w:szCs w:val="20"/>
      <w:lang w:val="en-US" w:eastAsia="en-US"/>
    </w:rPr>
  </w:style>
  <w:style w:type="paragraph" w:styleId="NormalWeb">
    <w:name w:val="Normal (Web)"/>
    <w:basedOn w:val="Normal"/>
    <w:semiHidden/>
    <w:rsid w:val="00AB2E76"/>
    <w:pPr>
      <w:spacing w:before="100" w:beforeAutospacing="1" w:after="100" w:afterAutospacing="1"/>
      <w:jc w:val="left"/>
    </w:pPr>
    <w:rPr>
      <w:rFonts w:ascii="Times New Roman" w:hAnsi="Times New Roman" w:cs="Times New Roman"/>
      <w:lang w:eastAsia="sk-SK"/>
    </w:rPr>
  </w:style>
  <w:style w:type="paragraph" w:customStyle="1" w:styleId="CharCharCharCharCharCharCharCharCharCharCharCharCharCharChar1">
    <w:name w:val="Char Char Char Char Char Char Char Char Char Char Char Char Char Char Char1"/>
    <w:basedOn w:val="Normal"/>
    <w:rsid w:val="00772153"/>
    <w:pPr>
      <w:spacing w:after="160" w:line="240" w:lineRule="exact"/>
      <w:jc w:val="left"/>
    </w:pPr>
    <w:rPr>
      <w:rFonts w:ascii="Tahoma" w:hAnsi="Tahoma" w:cs="Tahoma"/>
      <w:sz w:val="20"/>
      <w:szCs w:val="20"/>
      <w:lang w:val="en-US" w:eastAsia="en-US"/>
    </w:rPr>
  </w:style>
  <w:style w:type="paragraph" w:styleId="PlainText">
    <w:name w:val="Plain Text"/>
    <w:aliases w:val="Obyčajný text Char,Obyčajný text Char Char Char,Obyčajný text Char Char Char Char,Obyčajný text Char Char Char Char Char"/>
    <w:basedOn w:val="Normal"/>
    <w:link w:val="ObyajntextChar1"/>
    <w:semiHidden/>
    <w:rsid w:val="00772153"/>
    <w:pPr>
      <w:jc w:val="left"/>
    </w:pPr>
    <w:rPr>
      <w:rFonts w:ascii="Consolas" w:hAnsi="Consolas" w:cs="Consolas"/>
      <w:sz w:val="21"/>
      <w:szCs w:val="21"/>
      <w:lang w:eastAsia="en-US"/>
    </w:rPr>
  </w:style>
  <w:style w:type="character" w:customStyle="1" w:styleId="ObyajntextChar1">
    <w:name w:val="Obyčajný text Char1"/>
    <w:aliases w:val="Obyčajný text Char Char,Obyčajný text Char Char Char Char Char Char,Obyčajný text Char Char Char Char Char1,Obyčajný text Char Char Char Char1"/>
    <w:basedOn w:val="DefaultParagraphFont"/>
    <w:link w:val="PlainText"/>
    <w:semiHidden/>
    <w:locked/>
    <w:rPr>
      <w:rFonts w:ascii="Courier New" w:hAnsi="Courier New" w:cs="Courier New"/>
      <w:sz w:val="20"/>
      <w:szCs w:val="20"/>
      <w:rtl w:val="0"/>
      <w:cs w:val="0"/>
      <w:lang w:val="x-none" w:eastAsia="cs-CZ"/>
    </w:rPr>
  </w:style>
  <w:style w:type="paragraph" w:customStyle="1" w:styleId="CharCharCharCharCharCharCharCharCharCharChar">
    <w:name w:val="Char Char Char Char Char Char Char Char Char Char Char"/>
    <w:basedOn w:val="Normal"/>
    <w:rsid w:val="00772153"/>
    <w:pPr>
      <w:spacing w:after="160" w:line="240" w:lineRule="exact"/>
      <w:jc w:val="left"/>
    </w:pPr>
    <w:rPr>
      <w:rFonts w:ascii="Tahoma" w:hAnsi="Tahoma" w:cs="Tahoma"/>
      <w:sz w:val="20"/>
      <w:szCs w:val="20"/>
      <w:lang w:val="en-US" w:eastAsia="en-US"/>
    </w:rPr>
  </w:style>
  <w:style w:type="paragraph" w:styleId="Header">
    <w:name w:val="header"/>
    <w:aliases w:val="Hlavička Char,Hlavička Char Char Char,Hlavička Char Char Char Char,Hlavička Char Char Char Char Char"/>
    <w:basedOn w:val="Normal"/>
    <w:link w:val="HlavikaChar1"/>
    <w:semiHidden/>
    <w:rsid w:val="003058B0"/>
    <w:pPr>
      <w:tabs>
        <w:tab w:val="center" w:pos="4536"/>
        <w:tab w:val="right" w:pos="9072"/>
      </w:tabs>
      <w:jc w:val="left"/>
    </w:pPr>
  </w:style>
  <w:style w:type="character" w:customStyle="1" w:styleId="HlavikaChar1">
    <w:name w:val="Hlavička Char1"/>
    <w:aliases w:val="Hlavička Char Char,Hlavička Char Char Char Char Char Char,Hlavička Char Char Char Char Char1,Hlavička Char Char Char Char1"/>
    <w:basedOn w:val="DefaultParagraphFont"/>
    <w:link w:val="Header"/>
    <w:semiHidden/>
    <w:locked/>
    <w:rPr>
      <w:rFonts w:ascii="Courier" w:hAnsi="Courier" w:cs="Courier"/>
      <w:sz w:val="24"/>
      <w:szCs w:val="24"/>
      <w:rtl w:val="0"/>
      <w:cs w:val="0"/>
      <w:lang w:val="x-none" w:eastAsia="cs-CZ"/>
    </w:rPr>
  </w:style>
  <w:style w:type="paragraph" w:styleId="Title">
    <w:name w:val="Title"/>
    <w:aliases w:val="Názov Char"/>
    <w:basedOn w:val="Normal"/>
    <w:link w:val="NzovChar1"/>
    <w:qFormat/>
    <w:rsid w:val="00D5612A"/>
    <w:pPr>
      <w:jc w:val="center"/>
    </w:pPr>
    <w:rPr>
      <w:rFonts w:ascii="Arial Black" w:hAnsi="Arial Black" w:cs="Arial Black"/>
      <w:b/>
      <w:bCs/>
      <w:lang w:eastAsia="sk-SK"/>
    </w:rPr>
  </w:style>
  <w:style w:type="character" w:customStyle="1" w:styleId="NzovChar1">
    <w:name w:val="Názov Char1"/>
    <w:aliases w:val="Názov Char Char"/>
    <w:basedOn w:val="DefaultParagraphFont"/>
    <w:link w:val="Title"/>
    <w:locked/>
    <w:rPr>
      <w:rFonts w:ascii="Cambria" w:hAnsi="Cambria" w:cs="Cambria"/>
      <w:b/>
      <w:bCs/>
      <w:kern w:val="28"/>
      <w:sz w:val="32"/>
      <w:szCs w:val="32"/>
      <w:rtl w:val="0"/>
      <w:cs w:val="0"/>
      <w:lang w:val="x-none" w:eastAsia="cs-CZ"/>
    </w:rPr>
  </w:style>
  <w:style w:type="paragraph" w:customStyle="1" w:styleId="CharCharCharCharChar">
    <w:name w:val="Char Char Char Char Char"/>
    <w:basedOn w:val="Normal"/>
    <w:rsid w:val="00D5612A"/>
    <w:pPr>
      <w:spacing w:after="160" w:line="240" w:lineRule="exact"/>
      <w:jc w:val="left"/>
    </w:pPr>
    <w:rPr>
      <w:rFonts w:ascii="Tahoma" w:hAnsi="Tahoma" w:cs="Tahoma"/>
      <w:sz w:val="20"/>
      <w:szCs w:val="20"/>
      <w:lang w:val="en-US" w:eastAsia="en-US"/>
    </w:rPr>
  </w:style>
  <w:style w:type="character" w:customStyle="1" w:styleId="ZarkazkladnhotextuChar">
    <w:name w:val="Zarážka základného textu Char"/>
    <w:basedOn w:val="DefaultParagraphFont"/>
    <w:rsid w:val="006B6C76"/>
    <w:rPr>
      <w:rFonts w:ascii="Courier" w:hAnsi="Courier" w:cs="Courier"/>
      <w:sz w:val="20"/>
      <w:szCs w:val="20"/>
      <w:rtl w:val="0"/>
      <w:cs w:val="0"/>
      <w:lang w:val="x-none" w:eastAsia="cs-CZ"/>
    </w:rPr>
  </w:style>
  <w:style w:type="character" w:customStyle="1" w:styleId="TextpoznmkypodiarouChar1">
    <w:name w:val="Text poznámky pod čiarou Char1"/>
    <w:aliases w:val="Footnote Text Char1 Char Char Char Char1,Footnote Text Char1 Char Char1,Footnote Text Char1 Char11,Footnote Text Char2 Char Char Char Char Char1,Footnote Text Char2 Char Char Char1,Footnote Text Char2 Char1"/>
    <w:basedOn w:val="DefaultParagraphFont"/>
    <w:semiHidden/>
    <w:rsid w:val="00A22ED7"/>
    <w:rPr>
      <w:rFonts w:ascii="Courier" w:hAnsi="Courier" w:cs="Courier"/>
      <w:sz w:val="20"/>
      <w:szCs w:val="20"/>
      <w:rtl w:val="0"/>
      <w:cs w:val="0"/>
      <w:lang w:val="x-none" w:eastAsia="cs-CZ"/>
    </w:rPr>
  </w:style>
  <w:style w:type="character" w:customStyle="1" w:styleId="Heading2Char">
    <w:name w:val="Heading 2 Char"/>
    <w:basedOn w:val="DefaultParagraphFont"/>
    <w:rsid w:val="00C94A21"/>
    <w:rPr>
      <w:rFonts w:ascii="Arial" w:hAnsi="Arial" w:cs="Arial"/>
      <w:b/>
      <w:bCs/>
      <w:i/>
      <w:iCs/>
      <w:sz w:val="28"/>
      <w:szCs w:val="28"/>
      <w:rtl w:val="0"/>
      <w:cs w:val="0"/>
      <w:lang w:val="x-none" w:eastAsia="cs-CZ"/>
    </w:rPr>
  </w:style>
  <w:style w:type="paragraph" w:styleId="BodyTextIndent">
    <w:name w:val="Body Text Indent"/>
    <w:basedOn w:val="Normal"/>
    <w:link w:val="BodyTextIndentChar"/>
    <w:rsid w:val="00C94A21"/>
    <w:pPr>
      <w:spacing w:after="120"/>
      <w:ind w:left="283"/>
      <w:jc w:val="left"/>
    </w:pPr>
  </w:style>
  <w:style w:type="character" w:customStyle="1" w:styleId="BodyTextIndentChar">
    <w:name w:val="Body Text Indent Char"/>
    <w:basedOn w:val="DefaultParagraphFont"/>
    <w:link w:val="BodyTextIndent"/>
    <w:semiHidden/>
    <w:locked/>
    <w:rPr>
      <w:rFonts w:ascii="Courier" w:hAnsi="Courier" w:cs="Courier"/>
      <w:sz w:val="24"/>
      <w:szCs w:val="24"/>
      <w:rtl w:val="0"/>
      <w:cs w:val="0"/>
      <w:lang w:val="x-none" w:eastAsia="cs-CZ"/>
    </w:rPr>
  </w:style>
  <w:style w:type="character" w:customStyle="1" w:styleId="TitleChar">
    <w:name w:val="Title Char"/>
    <w:basedOn w:val="DefaultParagraphFont"/>
    <w:rsid w:val="00C94A21"/>
    <w:rPr>
      <w:rFonts w:ascii="Arial Black" w:hAnsi="Arial Black" w:cs="Arial Black"/>
      <w:b/>
      <w:bCs/>
      <w:sz w:val="24"/>
      <w:szCs w:val="24"/>
      <w:rtl w:val="0"/>
      <w:cs w:val="0"/>
      <w:lang w:val="x-none" w:eastAsia="sk-SK"/>
    </w:rPr>
  </w:style>
  <w:style w:type="paragraph" w:styleId="BodyText2">
    <w:name w:val="Body Text 2"/>
    <w:aliases w:val="Body Text 2 Char Char Char,Char8 Char,Základný text 2 Char Char"/>
    <w:basedOn w:val="Normal"/>
    <w:rsid w:val="00A1281C"/>
    <w:pPr>
      <w:spacing w:after="120" w:line="480" w:lineRule="auto"/>
      <w:jc w:val="left"/>
    </w:pPr>
    <w:rPr>
      <w:lang w:eastAsia="sk-SK"/>
    </w:rPr>
  </w:style>
  <w:style w:type="paragraph" w:styleId="ListParagraph">
    <w:name w:val="List Paragraph"/>
    <w:basedOn w:val="Normal"/>
    <w:qFormat/>
    <w:rsid w:val="00A1281C"/>
    <w:pPr>
      <w:ind w:left="720"/>
      <w:jc w:val="left"/>
    </w:pPr>
    <w:rPr>
      <w:rFonts w:ascii="Times New Roman" w:hAnsi="Times New Roman" w:cs="Times New Roman"/>
      <w:lang w:eastAsia="sk-SK"/>
    </w:rPr>
  </w:style>
  <w:style w:type="character" w:customStyle="1" w:styleId="Char">
    <w:name w:val="Char"/>
    <w:basedOn w:val="DefaultParagraphFont"/>
    <w:rsid w:val="00A1281C"/>
    <w:rPr>
      <w:rFonts w:ascii="Arial Black" w:hAnsi="Arial Black" w:cs="Arial Black"/>
      <w:b/>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yperlink" Target="http://www.antimon.gov.sk/?c=189"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49</Pages>
  <Words>45686</Words>
  <Characters>260415</Characters>
  <Application>Microsoft Office Word</Application>
  <DocSecurity>0</DocSecurity>
  <Lines>0</Lines>
  <Paragraphs>0</Paragraphs>
  <ScaleCrop>false</ScaleCrop>
  <Company>mfsr</Company>
  <LinksUpToDate>false</LinksUpToDate>
  <CharactersWithSpaces>305491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Administrator</dc:creator>
  <cp:lastModifiedBy>GaspJarm</cp:lastModifiedBy>
  <cp:revision>2</cp:revision>
  <cp:lastPrinted>2010-10-08T10:51:00Z</cp:lastPrinted>
  <dcterms:created xsi:type="dcterms:W3CDTF">2010-11-26T18:32:00Z</dcterms:created>
  <dcterms:modified xsi:type="dcterms:W3CDTF">2010-11-26T18:32:00Z</dcterms:modified>
</cp:coreProperties>
</file>