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5122" w:rsidRPr="000C09F7" w:rsidP="004B5122">
      <w:pPr>
        <w:rPr>
          <w:rFonts w:ascii="Times New Roman" w:hAnsi="Times New Roman" w:cs="Times New Roman"/>
          <w:sz w:val="26"/>
          <w:szCs w:val="26"/>
        </w:rPr>
      </w:pPr>
    </w:p>
    <w:p w:rsidR="004B5122" w:rsidP="004B5122">
      <w:pPr>
        <w:pStyle w:val="Title"/>
        <w:tabs>
          <w:tab w:val="left" w:pos="1200"/>
          <w:tab w:val="center" w:pos="4402"/>
        </w:tabs>
        <w:spacing w:line="360" w:lineRule="auto"/>
        <w:rPr>
          <w:rFonts w:ascii="Times New Roman" w:hAnsi="Times New Roman" w:cs="Times New Roman"/>
        </w:rPr>
      </w:pPr>
      <w:r>
        <w:rPr>
          <w:rFonts w:ascii="Times New Roman" w:hAnsi="Times New Roman" w:cs="Times New Roman"/>
        </w:rPr>
        <w:t>NÁRODNÁ RADA SLOVENSKEJ REPUBLIKY</w:t>
      </w:r>
    </w:p>
    <w:p w:rsidR="004B5122" w:rsidRPr="00D94F2A" w:rsidP="004B5122">
      <w:pPr>
        <w:spacing w:line="360" w:lineRule="auto"/>
        <w:jc w:val="center"/>
        <w:rPr>
          <w:rFonts w:ascii="Times New Roman" w:hAnsi="Times New Roman" w:cs="Times New Roman"/>
        </w:rPr>
      </w:pPr>
      <w:r>
        <w:rPr>
          <w:rFonts w:ascii="Times New Roman" w:hAnsi="Times New Roman" w:cs="Times New Roman"/>
        </w:rPr>
        <w:t>IV. volebné obdobie</w:t>
      </w:r>
    </w:p>
    <w:p w:rsidR="004B5122" w:rsidP="004B5122">
      <w:pPr>
        <w:spacing w:line="360" w:lineRule="auto"/>
        <w:jc w:val="center"/>
        <w:rPr>
          <w:rFonts w:ascii="Times New Roman" w:hAnsi="Times New Roman" w:cs="Times New Roman"/>
          <w:b/>
          <w:bCs/>
        </w:rPr>
      </w:pPr>
      <w:r>
        <w:rPr>
          <w:rFonts w:ascii="Times New Roman" w:hAnsi="Times New Roman" w:cs="Times New Roman"/>
          <w:b/>
          <w:bCs/>
        </w:rPr>
        <w:t>Návrh</w:t>
      </w:r>
    </w:p>
    <w:p w:rsidR="004B5122" w:rsidP="004B5122">
      <w:pPr>
        <w:spacing w:line="360" w:lineRule="auto"/>
        <w:jc w:val="center"/>
        <w:rPr>
          <w:rFonts w:ascii="Times New Roman" w:hAnsi="Times New Roman" w:cs="Times New Roman"/>
          <w:b/>
          <w:bCs/>
        </w:rPr>
      </w:pPr>
      <w:r>
        <w:rPr>
          <w:rFonts w:ascii="Times New Roman" w:hAnsi="Times New Roman" w:cs="Times New Roman"/>
          <w:b/>
          <w:bCs/>
        </w:rPr>
        <w:t>zákon</w:t>
      </w:r>
    </w:p>
    <w:p w:rsidR="004B5122" w:rsidP="004B5122">
      <w:pPr>
        <w:spacing w:line="360" w:lineRule="auto"/>
        <w:jc w:val="center"/>
        <w:rPr>
          <w:rFonts w:ascii="Times New Roman" w:hAnsi="Times New Roman" w:cs="Times New Roman"/>
          <w:b/>
          <w:bCs/>
        </w:rPr>
      </w:pPr>
      <w:r>
        <w:rPr>
          <w:rFonts w:ascii="Times New Roman" w:hAnsi="Times New Roman" w:cs="Times New Roman"/>
          <w:b/>
          <w:bCs/>
        </w:rPr>
        <w:t xml:space="preserve">z  </w:t>
      </w:r>
      <w:r>
        <w:rPr>
          <w:rFonts w:ascii="Times New Roman" w:hAnsi="Times New Roman" w:cs="Times New Roman"/>
        </w:rPr>
        <w:t xml:space="preserve">........................ </w:t>
      </w:r>
      <w:r>
        <w:rPr>
          <w:rFonts w:ascii="Times New Roman" w:hAnsi="Times New Roman" w:cs="Times New Roman"/>
          <w:b/>
          <w:bCs/>
        </w:rPr>
        <w:t xml:space="preserve"> 2008,</w:t>
      </w:r>
    </w:p>
    <w:p w:rsidR="004B5122" w:rsidP="004B5122">
      <w:pPr>
        <w:pStyle w:val="BodyText2"/>
        <w:spacing w:line="300" w:lineRule="atLeast"/>
        <w:rPr>
          <w:rFonts w:ascii="Times New Roman" w:hAnsi="Times New Roman" w:cs="Times New Roman"/>
        </w:rPr>
      </w:pPr>
      <w:r>
        <w:rPr>
          <w:rFonts w:ascii="Times New Roman" w:hAnsi="Times New Roman" w:cs="Times New Roman"/>
        </w:rPr>
        <w:t xml:space="preserve">ktorým sa mení a dopĺňa zákon č. 171/2005 Z. z. o hazardných hrách a o zmene a doplnení niektorých zákonov </w:t>
      </w:r>
    </w:p>
    <w:p w:rsidR="004B5122" w:rsidP="004B5122">
      <w:pPr>
        <w:spacing w:line="300" w:lineRule="atLeast"/>
        <w:jc w:val="center"/>
        <w:rPr>
          <w:rFonts w:ascii="Times New Roman" w:hAnsi="Times New Roman" w:cs="Times New Roman"/>
        </w:rPr>
      </w:pPr>
    </w:p>
    <w:p w:rsidR="004B5122" w:rsidP="004B5122">
      <w:pPr>
        <w:spacing w:line="300" w:lineRule="atLeast"/>
        <w:rPr>
          <w:rFonts w:ascii="Times New Roman" w:hAnsi="Times New Roman" w:cs="Times New Roman"/>
        </w:rPr>
      </w:pPr>
      <w:r>
        <w:rPr>
          <w:rFonts w:ascii="Times New Roman" w:hAnsi="Times New Roman" w:cs="Times New Roman"/>
        </w:rPr>
        <w:t>Národná rada Slovenskej republiky sa uzniesla</w:t>
      </w:r>
      <w:r>
        <w:rPr>
          <w:rFonts w:ascii="Times New Roman" w:hAnsi="Times New Roman" w:cs="Times New Roman"/>
        </w:rPr>
        <w:t xml:space="preserve"> na tomto zákone:</w:t>
      </w:r>
    </w:p>
    <w:p w:rsidR="004B5122" w:rsidP="004B5122">
      <w:pPr>
        <w:spacing w:line="300" w:lineRule="atLeast"/>
        <w:jc w:val="center"/>
        <w:rPr>
          <w:rFonts w:ascii="Times New Roman" w:hAnsi="Times New Roman" w:cs="Times New Roman"/>
        </w:rPr>
      </w:pPr>
    </w:p>
    <w:p w:rsidR="004B5122" w:rsidP="004B5122">
      <w:pPr>
        <w:pStyle w:val="Heading1"/>
        <w:rPr>
          <w:rFonts w:ascii="Times New Roman" w:hAnsi="Times New Roman" w:cs="Times New Roman"/>
        </w:rPr>
      </w:pPr>
      <w:r>
        <w:rPr>
          <w:rFonts w:ascii="Times New Roman" w:hAnsi="Times New Roman" w:cs="Times New Roman"/>
        </w:rPr>
        <w:t>Čl. I</w:t>
      </w:r>
    </w:p>
    <w:p w:rsidR="004B5122" w:rsidP="004B5122">
      <w:pPr>
        <w:pStyle w:val="BodyText"/>
        <w:spacing w:line="300" w:lineRule="atLeast"/>
        <w:ind w:firstLine="720"/>
        <w:jc w:val="both"/>
        <w:rPr>
          <w:rFonts w:ascii="Times New Roman" w:hAnsi="Times New Roman" w:cs="Times New Roman"/>
        </w:rPr>
      </w:pPr>
    </w:p>
    <w:p w:rsidR="004B5122" w:rsidP="004B5122">
      <w:pPr>
        <w:spacing w:line="300" w:lineRule="atLeast"/>
        <w:rPr>
          <w:rFonts w:ascii="Times New Roman" w:hAnsi="Times New Roman" w:cs="Times New Roman"/>
        </w:rPr>
      </w:pPr>
      <w:r>
        <w:rPr>
          <w:rFonts w:ascii="Times New Roman" w:hAnsi="Times New Roman" w:cs="Times New Roman"/>
        </w:rPr>
        <w:t>Zákon č. 171/2005 Z. z. o hazardných hrách a o zmene a doplnení niektorých zákonov sa mení a dopĺňa takto:</w:t>
      </w:r>
    </w:p>
    <w:p w:rsidR="004B5122" w:rsidP="004B5122">
      <w:pPr>
        <w:spacing w:line="300" w:lineRule="atLeast"/>
        <w:rPr>
          <w:rFonts w:ascii="Times New Roman" w:hAnsi="Times New Roman" w:cs="Times New Roman"/>
        </w:rPr>
      </w:pPr>
    </w:p>
    <w:p w:rsidR="004B5122" w:rsidP="004B5122">
      <w:pPr>
        <w:jc w:val="both"/>
        <w:rPr>
          <w:rFonts w:ascii="Times New Roman" w:hAnsi="Times New Roman" w:cs="Times New Roman"/>
        </w:rPr>
      </w:pPr>
      <w:r>
        <w:rPr>
          <w:rFonts w:ascii="Times New Roman" w:hAnsi="Times New Roman" w:cs="Times New Roman"/>
        </w:rPr>
        <w:t>1. V § 20 sa odsek 1 dopĺňa novou vetou, ktorá znie: „Žiadateľom o udelenie individuálnej licencie na prevádzkovanie stávkovej hry môže byť aj štátny podnik.“.</w:t>
      </w:r>
    </w:p>
    <w:p w:rsidR="004B5122" w:rsidP="004B5122">
      <w:pPr>
        <w:jc w:val="both"/>
        <w:rPr>
          <w:rFonts w:ascii="Times New Roman" w:hAnsi="Times New Roman" w:cs="Times New Roman"/>
        </w:rPr>
      </w:pPr>
    </w:p>
    <w:p w:rsidR="004B5122" w:rsidP="004B5122">
      <w:pPr>
        <w:jc w:val="both"/>
        <w:rPr>
          <w:rFonts w:ascii="Times New Roman" w:hAnsi="Times New Roman" w:cs="Times New Roman"/>
        </w:rPr>
      </w:pPr>
      <w:r>
        <w:rPr>
          <w:rFonts w:ascii="Times New Roman" w:hAnsi="Times New Roman" w:cs="Times New Roman"/>
        </w:rPr>
        <w:t>2. § 20 sa dopĺňa novým odsekom 11, ktorý znie:</w:t>
      </w:r>
    </w:p>
    <w:p w:rsidR="004B5122" w:rsidP="004B5122">
      <w:pPr>
        <w:jc w:val="both"/>
        <w:rPr>
          <w:rFonts w:ascii="Times New Roman" w:hAnsi="Times New Roman" w:cs="Times New Roman"/>
        </w:rPr>
      </w:pPr>
      <w:r>
        <w:rPr>
          <w:rFonts w:ascii="Times New Roman" w:hAnsi="Times New Roman" w:cs="Times New Roman"/>
        </w:rPr>
        <w:t>„(11) Na žiadateľa, ktorým je štátny podnik sa nevzťahujú ustanovenia ods. 2 písm. e), ods. 3, ods. 4 písm. c), d) a e), ods. 5 písm. a) a b) a ods. 6 písm. b) a e).“.</w:t>
      </w:r>
    </w:p>
    <w:p w:rsidR="004B5122" w:rsidP="004B5122">
      <w:pPr>
        <w:jc w:val="both"/>
        <w:rPr>
          <w:rFonts w:ascii="Times New Roman" w:hAnsi="Times New Roman" w:cs="Times New Roman"/>
        </w:rPr>
      </w:pPr>
    </w:p>
    <w:p w:rsidR="004B5122" w:rsidP="004B5122">
      <w:pPr>
        <w:jc w:val="both"/>
        <w:rPr>
          <w:rFonts w:ascii="Times New Roman" w:hAnsi="Times New Roman" w:cs="Times New Roman"/>
        </w:rPr>
      </w:pPr>
      <w:r>
        <w:rPr>
          <w:rFonts w:ascii="Times New Roman" w:hAnsi="Times New Roman" w:cs="Times New Roman"/>
        </w:rPr>
        <w:t>3. V § 22 ods. 2 prvej vete sa na konci bodka nahrádza bodkočiarkou a dopĺňajú sa slová „všeobecne záväzné nariadenie obce môže ustanoviť, že na území obce, alebo časti obce nebude táto individuálna licencia udeľovaná.“</w:t>
      </w:r>
    </w:p>
    <w:p w:rsidR="004B5122" w:rsidP="004B5122">
      <w:pPr>
        <w:jc w:val="both"/>
        <w:rPr>
          <w:rFonts w:ascii="Times New Roman" w:hAnsi="Times New Roman" w:cs="Times New Roman"/>
        </w:rPr>
      </w:pPr>
    </w:p>
    <w:p w:rsidR="004B5122" w:rsidP="004B5122">
      <w:pPr>
        <w:jc w:val="both"/>
        <w:rPr>
          <w:rFonts w:ascii="Times New Roman" w:hAnsi="Times New Roman" w:cs="Times New Roman"/>
        </w:rPr>
      </w:pPr>
      <w:r>
        <w:rPr>
          <w:rFonts w:ascii="Times New Roman" w:hAnsi="Times New Roman" w:cs="Times New Roman"/>
        </w:rPr>
        <w:t>4. V § 22 ods. 2 sa na konci dopĺňa vetou „Obec môže všeobecne záväzné nariadenie podľa prvej vety prijať vždy s účinnosťou najskôr pre udelenie individuálnej licencie na kalendárny rok nasledujúci po roku, v ktorom všeobecne záväzné nariadenie prijaté.“.</w:t>
      </w:r>
    </w:p>
    <w:p w:rsidR="004B5122" w:rsidP="004B5122">
      <w:pPr>
        <w:jc w:val="both"/>
        <w:rPr>
          <w:rFonts w:ascii="Times New Roman" w:hAnsi="Times New Roman" w:cs="Times New Roman"/>
        </w:rPr>
      </w:pPr>
    </w:p>
    <w:p w:rsidR="004B5122" w:rsidP="004B5122">
      <w:pPr>
        <w:jc w:val="both"/>
        <w:rPr>
          <w:rFonts w:ascii="Times New Roman" w:hAnsi="Times New Roman" w:cs="Times New Roman"/>
        </w:rPr>
      </w:pPr>
      <w:r>
        <w:rPr>
          <w:rFonts w:ascii="Times New Roman" w:hAnsi="Times New Roman" w:cs="Times New Roman"/>
        </w:rPr>
        <w:t>5. V § 22 ods. 3 sa na konci dopĺňa druhou vetou, ktorá znie: „obec individuálnu licenciu neudelí, ak je udelenie individuálnej licencie na území tejto obce, alebo časti obce zakázané všeobecne záväzným nariadením obce.“.</w:t>
      </w:r>
    </w:p>
    <w:p w:rsidR="004B5122" w:rsidP="004B5122">
      <w:pPr>
        <w:jc w:val="both"/>
        <w:rPr>
          <w:rFonts w:ascii="Times New Roman" w:hAnsi="Times New Roman" w:cs="Times New Roman"/>
        </w:rPr>
      </w:pPr>
    </w:p>
    <w:p w:rsidR="004B5122" w:rsidP="004B5122">
      <w:pPr>
        <w:jc w:val="both"/>
        <w:rPr>
          <w:rFonts w:ascii="Times New Roman" w:hAnsi="Times New Roman" w:cs="Times New Roman"/>
        </w:rPr>
      </w:pPr>
      <w:r>
        <w:rPr>
          <w:rFonts w:ascii="Times New Roman" w:hAnsi="Times New Roman" w:cs="Times New Roman"/>
        </w:rPr>
        <w:t>6. § 49 znie:</w:t>
      </w:r>
    </w:p>
    <w:p w:rsidR="004B5122" w:rsidP="004B5122">
      <w:pPr>
        <w:jc w:val="both"/>
        <w:rPr>
          <w:rFonts w:ascii="Times New Roman" w:hAnsi="Times New Roman" w:cs="Times New Roman"/>
        </w:rPr>
      </w:pPr>
    </w:p>
    <w:p w:rsidR="004B5122" w:rsidP="004B5122">
      <w:pPr>
        <w:jc w:val="center"/>
        <w:rPr>
          <w:rFonts w:ascii="Times New Roman" w:hAnsi="Times New Roman" w:cs="Times New Roman"/>
        </w:rPr>
      </w:pPr>
      <w:r>
        <w:rPr>
          <w:rFonts w:ascii="Times New Roman" w:hAnsi="Times New Roman" w:cs="Times New Roman"/>
        </w:rPr>
        <w:t>„§ 49</w:t>
      </w:r>
    </w:p>
    <w:p w:rsidR="004B5122" w:rsidP="004B5122">
      <w:pPr>
        <w:jc w:val="both"/>
        <w:rPr>
          <w:rFonts w:ascii="Times New Roman" w:hAnsi="Times New Roman" w:cs="Times New Roman"/>
        </w:rPr>
      </w:pPr>
    </w:p>
    <w:p w:rsidR="004B5122" w:rsidP="004B5122">
      <w:pPr>
        <w:numPr>
          <w:ilvl w:val="0"/>
          <w:numId w:val="3"/>
        </w:numPr>
        <w:tabs>
          <w:tab w:val="left" w:pos="720"/>
        </w:tabs>
        <w:jc w:val="both"/>
        <w:rPr>
          <w:rFonts w:ascii="Times New Roman" w:hAnsi="Times New Roman" w:cs="Times New Roman"/>
        </w:rPr>
      </w:pPr>
      <w:r>
        <w:rPr>
          <w:rFonts w:ascii="Times New Roman" w:hAnsi="Times New Roman" w:cs="Times New Roman"/>
        </w:rPr>
        <w:t>Výherný priestor je možné prevádzkovať iba v herni.</w:t>
      </w:r>
    </w:p>
    <w:p w:rsidR="004B5122" w:rsidP="004B5122">
      <w:pPr>
        <w:ind w:left="360"/>
        <w:jc w:val="both"/>
        <w:rPr>
          <w:rFonts w:ascii="Times New Roman" w:hAnsi="Times New Roman" w:cs="Times New Roman"/>
        </w:rPr>
      </w:pPr>
    </w:p>
    <w:p w:rsidR="004B5122" w:rsidP="004B5122">
      <w:pPr>
        <w:numPr>
          <w:ilvl w:val="0"/>
          <w:numId w:val="3"/>
        </w:numPr>
        <w:tabs>
          <w:tab w:val="left" w:pos="720"/>
        </w:tabs>
        <w:jc w:val="both"/>
        <w:rPr>
          <w:rFonts w:ascii="Times New Roman" w:hAnsi="Times New Roman" w:cs="Times New Roman"/>
        </w:rPr>
      </w:pPr>
      <w:r>
        <w:rPr>
          <w:rFonts w:ascii="Times New Roman" w:hAnsi="Times New Roman" w:cs="Times New Roman"/>
        </w:rPr>
        <w:t>V herni, v ktorej sa prevádzkujú výherné prístroje a nie je kasínom, je zakázané konzumovať alkoholické nápoje.“</w:t>
      </w:r>
    </w:p>
    <w:p w:rsidR="004B5122" w:rsidP="004B5122">
      <w:pPr>
        <w:spacing w:line="300" w:lineRule="atLeast"/>
        <w:rPr>
          <w:rFonts w:ascii="Times New Roman" w:hAnsi="Times New Roman" w:cs="Times New Roman"/>
        </w:rPr>
      </w:pPr>
    </w:p>
    <w:p w:rsidR="004B5122" w:rsidP="004B5122">
      <w:pPr>
        <w:spacing w:line="300" w:lineRule="atLeast"/>
        <w:rPr>
          <w:rFonts w:ascii="Times New Roman" w:hAnsi="Times New Roman" w:cs="Times New Roman"/>
        </w:rPr>
      </w:pPr>
    </w:p>
    <w:p w:rsidR="004B5122" w:rsidP="004B5122">
      <w:pPr>
        <w:pStyle w:val="Heading1"/>
        <w:rPr>
          <w:rFonts w:ascii="Times New Roman" w:hAnsi="Times New Roman" w:cs="Times New Roman"/>
        </w:rPr>
      </w:pPr>
      <w:r>
        <w:rPr>
          <w:rFonts w:ascii="Times New Roman" w:hAnsi="Times New Roman" w:cs="Times New Roman"/>
        </w:rPr>
        <w:t>Čl. II</w:t>
      </w:r>
    </w:p>
    <w:p w:rsidR="004B5122" w:rsidP="004B5122">
      <w:pPr>
        <w:spacing w:line="300" w:lineRule="atLeast"/>
        <w:ind w:left="708" w:firstLine="708"/>
        <w:rPr>
          <w:rFonts w:ascii="Times New Roman" w:hAnsi="Times New Roman" w:cs="Times New Roman"/>
        </w:rPr>
      </w:pPr>
      <w:r>
        <w:rPr>
          <w:rFonts w:ascii="Times New Roman" w:hAnsi="Times New Roman" w:cs="Times New Roman"/>
        </w:rPr>
        <w:t>Tento zákon nadobúda účinnosť 1. januára 2009</w:t>
      </w: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pStyle w:val="BodyText"/>
        <w:spacing w:before="60" w:after="60"/>
        <w:jc w:val="center"/>
        <w:outlineLvl w:val="0"/>
        <w:rPr>
          <w:rFonts w:ascii="Times New Roman" w:hAnsi="Times New Roman" w:cs="Times New Roman"/>
          <w:b/>
          <w:bCs/>
        </w:rPr>
      </w:pPr>
      <w:r>
        <w:rPr>
          <w:rFonts w:ascii="Times New Roman" w:hAnsi="Times New Roman" w:cs="Times New Roman"/>
          <w:b/>
          <w:bCs/>
        </w:rPr>
        <w:t>DÔVODOVÁ SPRÁVA</w:t>
      </w:r>
    </w:p>
    <w:p w:rsidR="004B5122" w:rsidP="004B5122">
      <w:pPr>
        <w:pStyle w:val="BodyText"/>
        <w:spacing w:before="60" w:after="60"/>
        <w:jc w:val="center"/>
        <w:rPr>
          <w:rFonts w:ascii="Times New Roman" w:hAnsi="Times New Roman" w:cs="Times New Roman"/>
          <w:b/>
          <w:bCs/>
        </w:rPr>
      </w:pPr>
    </w:p>
    <w:p w:rsidR="004B5122" w:rsidP="004B5122">
      <w:pPr>
        <w:pStyle w:val="BodyText"/>
        <w:spacing w:before="60" w:after="60"/>
        <w:jc w:val="center"/>
        <w:outlineLvl w:val="0"/>
        <w:rPr>
          <w:rFonts w:ascii="Times New Roman" w:hAnsi="Times New Roman" w:cs="Times New Roman"/>
          <w:b/>
          <w:bCs/>
        </w:rPr>
      </w:pPr>
      <w:r>
        <w:rPr>
          <w:rFonts w:ascii="Times New Roman" w:hAnsi="Times New Roman" w:cs="Times New Roman"/>
          <w:b/>
          <w:bCs/>
        </w:rPr>
        <w:t>Všeobecná časť</w:t>
      </w:r>
    </w:p>
    <w:p w:rsidR="004B5122" w:rsidP="004B5122">
      <w:pPr>
        <w:pStyle w:val="BodyText"/>
        <w:spacing w:before="60" w:after="60"/>
        <w:ind w:firstLine="360"/>
        <w:jc w:val="both"/>
        <w:rPr>
          <w:rFonts w:ascii="Times New Roman" w:hAnsi="Times New Roman" w:cs="Times New Roman"/>
        </w:rPr>
      </w:pPr>
    </w:p>
    <w:p w:rsidR="004B5122" w:rsidP="004B5122">
      <w:pPr>
        <w:pStyle w:val="BodyText"/>
        <w:spacing w:before="60" w:after="60"/>
        <w:ind w:firstLine="540"/>
        <w:jc w:val="both"/>
        <w:rPr>
          <w:rFonts w:ascii="Times New Roman" w:hAnsi="Times New Roman" w:cs="Times New Roman"/>
        </w:rPr>
      </w:pPr>
      <w:r>
        <w:rPr>
          <w:rFonts w:ascii="Times New Roman" w:hAnsi="Times New Roman" w:cs="Times New Roman"/>
        </w:rPr>
        <w:t>Problematiku hazardných hier v Slovenskej republike upravuje predovšetkým zákon č. 171/2005 Z. z. o hazardných hrách a o zmene a doplnení niektorých zákonov, ktorý je účinný od 1. mája 2005. Tento zákon nahradil zákon č. 194/1990 Zb. o lotériách a iných podobných hrách v znení neskorších predpisov. Hlavným dôvodom tohto legislatívneho kroku bolo predovšetkým nejednoznačná úprava niektorých hazardných hier a to, že viacnásobná novelizácia pôvodného zákona mala za následok pomerne komplikovanú právnu úpravu.</w:t>
      </w:r>
      <w:r>
        <w:rPr>
          <w:rFonts w:ascii="Times New Roman" w:hAnsi="Times New Roman" w:cs="Times New Roman"/>
        </w:rPr>
        <w:t xml:space="preserve"> Napokon, jedným z hlavných dôvodov bolo zavedenie nových princípov do sféry hazardných hier.</w:t>
      </w:r>
    </w:p>
    <w:p w:rsidR="004B5122" w:rsidP="004B5122">
      <w:pPr>
        <w:pStyle w:val="BodyText"/>
        <w:spacing w:before="60" w:after="60"/>
        <w:ind w:firstLine="540"/>
        <w:jc w:val="both"/>
        <w:rPr>
          <w:rFonts w:ascii="Times New Roman" w:hAnsi="Times New Roman" w:cs="Times New Roman"/>
        </w:rPr>
      </w:pPr>
      <w:r>
        <w:rPr>
          <w:rFonts w:ascii="Times New Roman" w:hAnsi="Times New Roman" w:cs="Times New Roman"/>
        </w:rPr>
        <w:t>Súčasný zákon o hazardných hrách vychádza z Koncepcie štátnej politiky v oblasti hazardných hier, ktorý schválila Vláda SR 17. februára 2005. V súlade s uvedenou koncepciou boli do zákonnej úpravy premietnuté okrem iného aj tieto okruhy ďalšieho vývoja v tejto oblasti :</w:t>
      </w:r>
    </w:p>
    <w:p w:rsidR="004B5122" w:rsidP="004B5122">
      <w:pPr>
        <w:pStyle w:val="BodyText"/>
        <w:numPr>
          <w:ilvl w:val="0"/>
          <w:numId w:val="2"/>
        </w:numPr>
        <w:tabs>
          <w:tab w:val="left" w:pos="360"/>
          <w:tab w:val="clear" w:pos="720"/>
        </w:tabs>
        <w:spacing w:before="60" w:after="60"/>
        <w:ind w:left="360"/>
        <w:jc w:val="both"/>
        <w:rPr>
          <w:rFonts w:ascii="Times New Roman" w:hAnsi="Times New Roman" w:cs="Times New Roman"/>
        </w:rPr>
      </w:pPr>
      <w:r>
        <w:rPr>
          <w:rFonts w:ascii="Times New Roman" w:hAnsi="Times New Roman" w:cs="Times New Roman"/>
        </w:rPr>
        <w:t>licenčný princíp v povoľovacom procese – najmä nárokové licencie s cieľom zvýšenia transparentnosti licenčného konania stanovením presných kritérií udeľovania licencií, minimalizácie subjektívneho rozhodovania, urýchlenia a zjednodušenia celého procesu licenčného konania,</w:t>
      </w:r>
    </w:p>
    <w:p w:rsidR="004B5122" w:rsidP="004B5122">
      <w:pPr>
        <w:pStyle w:val="BodyText"/>
        <w:numPr>
          <w:ilvl w:val="0"/>
          <w:numId w:val="2"/>
        </w:numPr>
        <w:tabs>
          <w:tab w:val="left" w:pos="360"/>
          <w:tab w:val="clear" w:pos="720"/>
        </w:tabs>
        <w:spacing w:before="60" w:after="60"/>
        <w:ind w:left="360"/>
        <w:jc w:val="both"/>
        <w:rPr>
          <w:rFonts w:ascii="Times New Roman" w:hAnsi="Times New Roman" w:cs="Times New Roman"/>
        </w:rPr>
      </w:pPr>
      <w:r>
        <w:rPr>
          <w:rFonts w:ascii="Times New Roman" w:hAnsi="Times New Roman" w:cs="Times New Roman"/>
        </w:rPr>
        <w:t>výkon štátneho dozoru – stanovila sa ucelená koncepcia kontroly vo vzťahu k prevádzkovateľom lotérií a povoľujúcim orgánom; rozšíril sa okruh orgánov vykonávajúcich dozor o obce, ktoré predtým dozornú</w:t>
        <w:br/>
        <w:t>činnosť nevykonávali, i keď boli povoľujúcim orgánom a aj príjemcom finančných prostriedkov z prevádzkovania vybraných hazardných hier.</w:t>
      </w:r>
    </w:p>
    <w:p w:rsidR="004B5122" w:rsidP="004B5122">
      <w:pPr>
        <w:pStyle w:val="BodyText"/>
        <w:spacing w:before="60" w:after="60"/>
        <w:ind w:firstLine="540"/>
        <w:jc w:val="both"/>
        <w:rPr>
          <w:rFonts w:ascii="Times New Roman" w:hAnsi="Times New Roman" w:cs="Times New Roman"/>
        </w:rPr>
      </w:pPr>
    </w:p>
    <w:p w:rsidR="004B5122" w:rsidP="004B5122">
      <w:pPr>
        <w:pStyle w:val="BodyText"/>
        <w:spacing w:before="60" w:after="60"/>
        <w:ind w:firstLine="540"/>
        <w:jc w:val="both"/>
        <w:rPr>
          <w:rFonts w:ascii="Times New Roman" w:hAnsi="Times New Roman" w:cs="Times New Roman"/>
        </w:rPr>
      </w:pPr>
      <w:r>
        <w:rPr>
          <w:rFonts w:ascii="Times New Roman" w:hAnsi="Times New Roman" w:cs="Times New Roman"/>
        </w:rPr>
        <w:t>Čo sa týka postavenia obcí a ich vplyvu na vývoj hazardných hier na ich území, treba kladne oceniť skutočnosť, že boli zahrnuté medzi orgány dozoru. Okrem toho obce rozhodujú o udelení individuálnej licencie, ktorými sa povoľuje prevádzka hazardných hier prevádzkovaných prostredníctvom výherných prístrojov, udeľujú súhlas s umiestnením stávkovej kancelárie na svojom území (hoci o udelení licencie rozhoduje Ministerstvo financií SR), v niektorých ďalších prípadoch sa vyžaduje vyjadrenie obce.</w:t>
      </w:r>
    </w:p>
    <w:p w:rsidR="004B5122" w:rsidP="004B5122">
      <w:pPr>
        <w:pStyle w:val="BodyText"/>
        <w:spacing w:before="60" w:after="60"/>
        <w:ind w:firstLine="540"/>
        <w:jc w:val="both"/>
        <w:rPr>
          <w:rFonts w:ascii="Times New Roman" w:hAnsi="Times New Roman" w:cs="Times New Roman"/>
        </w:rPr>
      </w:pPr>
    </w:p>
    <w:p w:rsidR="004B5122" w:rsidP="004B5122">
      <w:pPr>
        <w:pStyle w:val="BodyText"/>
        <w:spacing w:before="60" w:after="60"/>
        <w:ind w:firstLine="540"/>
        <w:jc w:val="both"/>
        <w:rPr>
          <w:rFonts w:ascii="Times New Roman" w:hAnsi="Times New Roman" w:cs="Times New Roman"/>
        </w:rPr>
      </w:pPr>
      <w:r>
        <w:rPr>
          <w:rFonts w:ascii="Times New Roman" w:hAnsi="Times New Roman" w:cs="Times New Roman"/>
        </w:rPr>
        <w:t>Prijatím nového zákona o hazardných hrách sa však vytratili akékoľvek možnosti obce regulovať vývoj týchto hier na vlastnom území (s výnimkou udeľovania vyššie uvedeného súhlasu); pritom sú to obce, ktorým sú najviac znalé miestnych pomerov, a teda sú najpovolanejšie uskutočniť potrebné zmeny v prípade ich potreby. Tento nedostatok sa javí najviditeľnejšie v prípade výherných prístrojov – na jednej strane presne zákonom stanovené podmienky, ktoré zákon vyžaduje od prevádzkovateľov výherných prístrojov, sú relatívne silnou garanciou transparentnosti prevádzkovania týchto hazardných hier, na druhej strane obec nemôže nijako zamedziť prevádzkovanie alebo ovplyvniť počet výherných prístrojov na svojom území, hoci by sa mohla v obci vyskytovať aktuálna spoločenská potreba smerujúca k ich zamedzeniu (ak prevádzkovateľ splní všetky zákonné podmienky, obec mu individuálnu licenciu v súčasnosti musí vydať, napriek napríklad požiadavkám obyvateľov, resp. združení túto formu hazardu z ich obce vytesniť). Pri hazardných hrách ide aj o jav, ktorý so sebou nesie nezanedbateľné spoločenské riziká. Stávky a hry ako aktivity zo svojej podstaty hazardné vedú u určitých osôb k rozvoju sociálno-patologických javov, ku vzniku tzv. „hráčskej závislosti“ (patologické hráčstvo je klasifikovaná závislosť podľa MKCH), čo má neblahý vplyv nielen na nich, ale pred</w:t>
      </w:r>
      <w:r>
        <w:rPr>
          <w:rFonts w:ascii="Times New Roman" w:hAnsi="Times New Roman" w:cs="Times New Roman"/>
        </w:rPr>
        <w:t>ovšetkým na im blízke osoby, najmä rodinných príslušníkov. Okrem toho môžu tieto javy vyvolávať ďalšie vyššie náklady z verejných rozpočtov (napr. zdravotné náklady spojené s liečením tzv. gamblerskej závislosti, zvýšené náklady bezpečnostných zložiek, náklady na sociálne zabezpečenie postihnutých rodín...). Hracie automaty predstavujú jednu z najdostupnejších a z hľadiska vzniku závislosti najagresívnejších foriem hazardu. Legálne hranie na druhej strane umožňuje mať aj tieto procesy pod lepšou kontrolou. V neposlednom rade hazardne hry predstavujú prínos do rozpočtov tak štátneho ako i obecných. Z uvedeného je zrejmé, že ide o komplexnú a veľmi citlivú problematiku. Navrhovatelia preto hľadali kompromis, ktorý zachová vysokú transparentnosť a protikorupčnosť  tejto normy a umožní obciam vstup do regulácie hracích automatov, ako subjektom najlepšie poznajúcim miestne pomery, požiadavky miestnych obyvateľov a nesúceho hlavnú záťaž negatívnych javov zo závislostí u obetí priamych i ich rodín a okolia.  Ako vhodný kompromis sa javí regulácia „buď/alebo“ miestnymi zastupiteľstvami formou všeobecne záväzného nariadenia.</w:t>
      </w:r>
    </w:p>
    <w:p w:rsidR="004B5122" w:rsidP="004B5122">
      <w:pPr>
        <w:pStyle w:val="BodyText"/>
        <w:spacing w:before="60" w:after="60"/>
        <w:ind w:firstLine="540"/>
        <w:jc w:val="both"/>
        <w:rPr>
          <w:rFonts w:ascii="Times New Roman" w:hAnsi="Times New Roman" w:cs="Times New Roman"/>
        </w:rPr>
      </w:pPr>
      <w:r>
        <w:rPr>
          <w:rFonts w:ascii="Times New Roman" w:hAnsi="Times New Roman" w:cs="Times New Roman"/>
        </w:rPr>
        <w:t>Predkladaný návrh zákon nenarušuje princíp nárokovateľnosti (ten vo svojej podstate podporuje „jasné pravidlá hry“ a znižuje aj mieru rizika korupčného správania), ktorý patrí medzi hlavné prínosy súčasného zákona o hazardných hrách; návrh zákona iba vkladá do pôsobnosti obce novú možnosť rozhodnúť plošne (nie individuálne) na svojom území, resp. jeho presne definovanej časti (pozri zákon o obecnom zriadení) výherné prístroje neprevádzkovať.</w:t>
      </w:r>
    </w:p>
    <w:p w:rsidR="004B5122" w:rsidP="004B5122">
      <w:pPr>
        <w:pStyle w:val="BodyText"/>
        <w:spacing w:before="60" w:after="60"/>
        <w:ind w:firstLine="540"/>
        <w:jc w:val="both"/>
        <w:rPr>
          <w:rFonts w:ascii="Times New Roman" w:hAnsi="Times New Roman" w:cs="Times New Roman"/>
        </w:rPr>
      </w:pPr>
      <w:r>
        <w:rPr>
          <w:rFonts w:ascii="Times New Roman" w:hAnsi="Times New Roman" w:cs="Times New Roman"/>
        </w:rPr>
        <w:t xml:space="preserve">Druhou cestou k obmedzeniu rizík je zníženie počtu automatov prevádzkovaných mimo herní. Dnes je možné do päť prístrojov prevádzkovať prakticky voľne na verejne prístupných miestach, napríklad v obchodoch, pohostinstvách, kultúrnych domoch, čo výrazne znižuje kontrolu prevádzky a hlavne prístup mladistvých ku hre. </w:t>
      </w:r>
    </w:p>
    <w:p w:rsidR="004B5122" w:rsidP="004B5122">
      <w:pPr>
        <w:pStyle w:val="BodyText"/>
        <w:spacing w:before="60" w:after="60"/>
        <w:ind w:firstLine="540"/>
        <w:jc w:val="both"/>
        <w:rPr>
          <w:rFonts w:ascii="Times New Roman" w:hAnsi="Times New Roman" w:cs="Times New Roman"/>
        </w:rPr>
      </w:pPr>
    </w:p>
    <w:p w:rsidR="004B5122" w:rsidP="004B5122">
      <w:pPr>
        <w:pStyle w:val="BodyText"/>
        <w:ind w:firstLine="708"/>
        <w:rPr>
          <w:rFonts w:ascii="Times New Roman" w:hAnsi="Times New Roman" w:cs="Times New Roman"/>
        </w:rPr>
      </w:pPr>
      <w:r>
        <w:rPr>
          <w:rFonts w:ascii="Times New Roman" w:hAnsi="Times New Roman" w:cs="Times New Roman"/>
        </w:rPr>
        <w:t>Návrh zákona je v súlade s Ústavou SR a s citovanými medzinárodnými zmluvami, ktorými je Slovenská republika viazaná.</w:t>
      </w:r>
    </w:p>
    <w:p w:rsidR="004B5122" w:rsidP="004B5122">
      <w:pPr>
        <w:pStyle w:val="BodyText"/>
        <w:spacing w:before="60" w:after="60"/>
        <w:ind w:firstLine="540"/>
        <w:jc w:val="both"/>
        <w:rPr>
          <w:rFonts w:ascii="Times New Roman" w:hAnsi="Times New Roman" w:cs="Times New Roman"/>
        </w:rPr>
      </w:pPr>
    </w:p>
    <w:p w:rsidR="004B5122" w:rsidP="004B5122">
      <w:pPr>
        <w:pStyle w:val="BodyText"/>
        <w:spacing w:before="60" w:after="60"/>
        <w:ind w:firstLine="540"/>
        <w:jc w:val="both"/>
        <w:rPr>
          <w:rFonts w:ascii="Times New Roman" w:hAnsi="Times New Roman" w:cs="Times New Roman"/>
        </w:rPr>
      </w:pPr>
    </w:p>
    <w:p w:rsidR="004B5122" w:rsidRPr="003A7CDE" w:rsidP="004B5122">
      <w:pPr>
        <w:pStyle w:val="Title"/>
        <w:spacing w:before="60" w:after="60"/>
        <w:outlineLvl w:val="0"/>
        <w:rPr>
          <w:rFonts w:ascii="Times New Roman" w:hAnsi="Times New Roman" w:cs="Times New Roman"/>
        </w:rPr>
      </w:pPr>
      <w:r>
        <w:rPr>
          <w:rFonts w:ascii="Times New Roman" w:hAnsi="Times New Roman" w:cs="Times New Roman"/>
          <w:b w:val="0"/>
          <w:bCs w:val="0"/>
        </w:rPr>
        <w:br w:type="page"/>
      </w:r>
      <w:r w:rsidRPr="003A7CDE">
        <w:rPr>
          <w:rFonts w:ascii="Times New Roman" w:hAnsi="Times New Roman" w:cs="Times New Roman"/>
          <w:bCs w:val="0"/>
        </w:rPr>
        <w:t>DOLOŽKA ZLUČlTEĽNOSTI</w:t>
      </w:r>
    </w:p>
    <w:p w:rsidR="004B5122" w:rsidRPr="003A7CDE" w:rsidP="004B5122">
      <w:pPr>
        <w:pStyle w:val="BodyText3"/>
        <w:spacing w:before="60" w:after="60"/>
        <w:jc w:val="center"/>
        <w:rPr>
          <w:rFonts w:ascii="Times New Roman" w:hAnsi="Times New Roman" w:cs="Times New Roman"/>
          <w:b/>
          <w:sz w:val="24"/>
          <w:szCs w:val="24"/>
        </w:rPr>
      </w:pPr>
      <w:r w:rsidRPr="003A7CDE">
        <w:rPr>
          <w:rFonts w:ascii="Times New Roman" w:hAnsi="Times New Roman" w:cs="Times New Roman"/>
          <w:b/>
          <w:sz w:val="24"/>
          <w:szCs w:val="24"/>
        </w:rPr>
        <w:t>návrhu zákona, ktorým sa mení a dopĺňa zákon č. 171/2005 Z. z. o hazardných hrách a o zmene a doplnení niektorých zákonov</w:t>
      </w:r>
    </w:p>
    <w:p w:rsidR="004B5122" w:rsidRPr="003A7CDE" w:rsidP="004B5122">
      <w:pPr>
        <w:pBdr>
          <w:top w:val="single" w:sz="4" w:space="1" w:color="auto"/>
        </w:pBdr>
        <w:spacing w:before="60" w:after="60"/>
        <w:jc w:val="both"/>
        <w:rPr>
          <w:rFonts w:ascii="Times New Roman" w:hAnsi="Times New Roman" w:cs="Times New Roman"/>
          <w:lang w:eastAsia="cs-CZ"/>
        </w:rPr>
      </w:pPr>
    </w:p>
    <w:p w:rsidR="004B5122" w:rsidRPr="003A7CDE" w:rsidP="004B5122">
      <w:pPr>
        <w:tabs>
          <w:tab w:val="left" w:pos="360"/>
        </w:tabs>
        <w:spacing w:before="60" w:after="60"/>
        <w:ind w:left="360" w:hanging="360"/>
        <w:rPr>
          <w:rFonts w:ascii="Times New Roman" w:hAnsi="Times New Roman" w:cs="Times New Roman"/>
        </w:rPr>
      </w:pPr>
      <w:r w:rsidRPr="003A7CDE">
        <w:rPr>
          <w:rFonts w:ascii="Times New Roman" w:hAnsi="Times New Roman" w:cs="Times New Roman"/>
          <w:b/>
          <w:bCs/>
        </w:rPr>
        <w:t>1.</w:t>
        <w:tab/>
        <w:t xml:space="preserve">Navrhovateľ zákona: </w:t>
      </w:r>
      <w:r w:rsidRPr="003A7CDE">
        <w:rPr>
          <w:rFonts w:ascii="Times New Roman" w:hAnsi="Times New Roman" w:cs="Times New Roman"/>
        </w:rPr>
        <w:t>poslanec Národnej rady Slovenskej republiky</w:t>
      </w:r>
    </w:p>
    <w:p w:rsidR="004B5122" w:rsidRPr="003A7CDE" w:rsidP="004B5122">
      <w:pPr>
        <w:tabs>
          <w:tab w:val="left" w:pos="360"/>
        </w:tabs>
        <w:spacing w:before="60" w:after="60"/>
        <w:ind w:left="360" w:hanging="360"/>
        <w:rPr>
          <w:rFonts w:ascii="Times New Roman" w:hAnsi="Times New Roman" w:cs="Times New Roman"/>
          <w:b/>
          <w:bCs/>
        </w:rPr>
      </w:pPr>
    </w:p>
    <w:p w:rsidR="004B5122" w:rsidRPr="003A7CDE" w:rsidP="004B5122">
      <w:pPr>
        <w:tabs>
          <w:tab w:val="left" w:pos="360"/>
        </w:tabs>
        <w:spacing w:before="60" w:after="60"/>
        <w:ind w:left="360" w:hanging="360"/>
        <w:rPr>
          <w:rFonts w:ascii="Times New Roman" w:hAnsi="Times New Roman" w:cs="Times New Roman"/>
        </w:rPr>
      </w:pPr>
      <w:r w:rsidRPr="003A7CDE">
        <w:rPr>
          <w:rFonts w:ascii="Times New Roman" w:hAnsi="Times New Roman" w:cs="Times New Roman"/>
          <w:b/>
          <w:bCs/>
        </w:rPr>
        <w:t>2.</w:t>
        <w:tab/>
        <w:t xml:space="preserve">Názov návrhu zákona: </w:t>
      </w:r>
      <w:r w:rsidRPr="003A7CDE">
        <w:rPr>
          <w:rFonts w:ascii="Times New Roman" w:hAnsi="Times New Roman" w:cs="Times New Roman"/>
        </w:rPr>
        <w:t>návrh zákona, ktorým sa mení a dopĺňa zákon č. 171/2005 Z. z. o hazardných hrách a o zmene a doplnení niektorých zákonov</w:t>
      </w:r>
    </w:p>
    <w:p w:rsidR="004B5122" w:rsidRPr="003A7CDE" w:rsidP="004B5122">
      <w:pPr>
        <w:tabs>
          <w:tab w:val="left" w:pos="360"/>
        </w:tabs>
        <w:spacing w:before="60" w:after="60"/>
        <w:ind w:left="360" w:hanging="360"/>
        <w:rPr>
          <w:rFonts w:ascii="Times New Roman" w:hAnsi="Times New Roman" w:cs="Times New Roman"/>
        </w:rPr>
      </w:pPr>
    </w:p>
    <w:p w:rsidR="004B5122" w:rsidRPr="003A7CDE" w:rsidP="004B5122">
      <w:pPr>
        <w:pStyle w:val="BodyTextIndent3"/>
        <w:spacing w:before="60" w:after="60"/>
        <w:ind w:left="0"/>
        <w:rPr>
          <w:rFonts w:ascii="Times New Roman" w:hAnsi="Times New Roman" w:cs="Times New Roman"/>
          <w:b/>
          <w:bCs/>
          <w:sz w:val="24"/>
          <w:szCs w:val="24"/>
        </w:rPr>
      </w:pPr>
      <w:r w:rsidRPr="003A7CDE">
        <w:rPr>
          <w:rFonts w:ascii="Times New Roman" w:hAnsi="Times New Roman" w:cs="Times New Roman"/>
          <w:b/>
          <w:sz w:val="24"/>
          <w:szCs w:val="24"/>
        </w:rPr>
        <w:t>3.</w:t>
        <w:tab/>
        <w:t>Záväzky Slovenskej republiky vo vzťahu k Európskym spoločenstvám a k Európskej únii:</w:t>
      </w:r>
      <w:r w:rsidRPr="003A7CDE">
        <w:rPr>
          <w:rFonts w:ascii="Times New Roman" w:hAnsi="Times New Roman" w:cs="Times New Roman"/>
          <w:sz w:val="24"/>
          <w:szCs w:val="24"/>
        </w:rPr>
        <w:t xml:space="preserve"> </w:t>
      </w:r>
      <w:r w:rsidRPr="003A7CDE">
        <w:rPr>
          <w:rFonts w:ascii="Times New Roman" w:hAnsi="Times New Roman" w:cs="Times New Roman"/>
          <w:bCs/>
          <w:sz w:val="24"/>
          <w:szCs w:val="24"/>
        </w:rPr>
        <w:t>Slovenskej republike v oblasti, ktorá je predmetom úpravy navrhovaného zákona, nevyplývajú vo vzťahu k Európskym spoločenstvám a Európskej únii žiadne záväzky.</w:t>
      </w:r>
    </w:p>
    <w:p w:rsidR="004B5122" w:rsidRPr="003A7CDE" w:rsidP="004B5122">
      <w:pPr>
        <w:pStyle w:val="BodyTextIndent3"/>
        <w:spacing w:before="60" w:after="60"/>
        <w:rPr>
          <w:rFonts w:ascii="Times New Roman" w:hAnsi="Times New Roman" w:cs="Times New Roman"/>
          <w:sz w:val="24"/>
          <w:szCs w:val="24"/>
        </w:rPr>
      </w:pPr>
    </w:p>
    <w:p w:rsidR="004B5122" w:rsidRPr="003A7CDE" w:rsidP="004B5122">
      <w:pPr>
        <w:pStyle w:val="BodyTextIndent3"/>
        <w:spacing w:before="60" w:after="60"/>
        <w:ind w:left="0"/>
        <w:rPr>
          <w:rFonts w:ascii="Times New Roman" w:hAnsi="Times New Roman" w:cs="Times New Roman"/>
          <w:sz w:val="24"/>
          <w:szCs w:val="24"/>
        </w:rPr>
      </w:pPr>
      <w:r w:rsidRPr="003A7CDE">
        <w:rPr>
          <w:rFonts w:ascii="Times New Roman" w:hAnsi="Times New Roman" w:cs="Times New Roman"/>
          <w:b/>
          <w:sz w:val="24"/>
          <w:szCs w:val="24"/>
        </w:rPr>
        <w:t>4.</w:t>
        <w:tab/>
        <w:t>Problematika návrhu zákona:</w:t>
      </w:r>
    </w:p>
    <w:p w:rsidR="004B5122" w:rsidRPr="003A7CDE" w:rsidP="004B5122">
      <w:pPr>
        <w:pStyle w:val="Zkladntext"/>
        <w:numPr>
          <w:ilvl w:val="1"/>
          <w:numId w:val="1"/>
        </w:numPr>
        <w:tabs>
          <w:tab w:val="clear" w:pos="543"/>
          <w:tab w:val="left" w:pos="700"/>
        </w:tabs>
        <w:spacing w:before="60" w:after="60"/>
        <w:ind w:left="700" w:hanging="340"/>
        <w:rPr>
          <w:rFonts w:ascii="Times New Roman" w:hAnsi="Times New Roman" w:cs="Times New Roman"/>
        </w:rPr>
      </w:pPr>
      <w:r w:rsidRPr="003A7CDE">
        <w:rPr>
          <w:rFonts w:ascii="Times New Roman" w:hAnsi="Times New Roman" w:cs="Times New Roman"/>
        </w:rPr>
        <w:t>je upravená v práve Európskych spoločenstiev: čl. 49 až 55 Zmluvy o založení Európskeho spoločenstva; rozhodnutie ESD C-243/01 „Gambelli a ostatní“.</w:t>
      </w:r>
    </w:p>
    <w:p w:rsidR="004B5122" w:rsidRPr="003A7CDE" w:rsidP="004B5122">
      <w:pPr>
        <w:pStyle w:val="Zkladntext"/>
        <w:numPr>
          <w:ilvl w:val="1"/>
          <w:numId w:val="1"/>
        </w:numPr>
        <w:tabs>
          <w:tab w:val="clear" w:pos="543"/>
          <w:tab w:val="left" w:pos="700"/>
        </w:tabs>
        <w:spacing w:before="60" w:after="60"/>
        <w:ind w:left="700" w:hanging="340"/>
        <w:rPr>
          <w:rFonts w:ascii="Times New Roman" w:hAnsi="Times New Roman" w:cs="Times New Roman"/>
        </w:rPr>
      </w:pPr>
      <w:r w:rsidRPr="003A7CDE">
        <w:rPr>
          <w:rFonts w:ascii="Times New Roman" w:hAnsi="Times New Roman" w:cs="Times New Roman"/>
        </w:rPr>
        <w:t>nie je upravená v práve Európskej únie.</w:t>
      </w:r>
    </w:p>
    <w:p w:rsidR="004B5122" w:rsidRPr="003A7CDE" w:rsidP="004B5122">
      <w:pPr>
        <w:tabs>
          <w:tab w:val="left" w:pos="720"/>
        </w:tabs>
        <w:spacing w:before="60" w:after="60"/>
        <w:ind w:left="283" w:hanging="183"/>
        <w:rPr>
          <w:rFonts w:ascii="Times New Roman" w:hAnsi="Times New Roman" w:cs="Times New Roman"/>
          <w:lang w:eastAsia="cs-CZ"/>
        </w:rPr>
      </w:pPr>
    </w:p>
    <w:p w:rsidR="004B5122" w:rsidP="004B5122">
      <w:pPr>
        <w:pStyle w:val="tlNadpisbodov11pt"/>
        <w:spacing w:before="60" w:after="60"/>
        <w:ind w:left="360" w:hanging="360"/>
        <w:jc w:val="left"/>
        <w:rPr>
          <w:rFonts w:ascii="Times New Roman" w:hAnsi="Times New Roman" w:cs="Times New Roman"/>
          <w:b w:val="0"/>
          <w:bCs w:val="0"/>
        </w:rPr>
      </w:pPr>
      <w:r w:rsidRPr="003A7CDE">
        <w:rPr>
          <w:rFonts w:ascii="Times New Roman" w:hAnsi="Times New Roman" w:cs="Times New Roman"/>
        </w:rPr>
        <w:t>5.</w:t>
        <w:tab/>
        <w:t xml:space="preserve">Stupeň zlučiteľnosti návrhu zákona s právom Európskych spoločenstiev a právom Európskej únie: </w:t>
      </w:r>
      <w:r w:rsidRPr="003A7CDE">
        <w:rPr>
          <w:rFonts w:ascii="Times New Roman" w:hAnsi="Times New Roman" w:cs="Times New Roman"/>
          <w:b w:val="0"/>
          <w:bCs w:val="0"/>
        </w:rPr>
        <w:t>úplný</w:t>
      </w:r>
    </w:p>
    <w:p w:rsidR="004B5122" w:rsidRPr="003A7CDE" w:rsidP="004B5122">
      <w:pPr>
        <w:pStyle w:val="tlNadpisbodov11pt"/>
        <w:spacing w:before="60" w:after="60"/>
        <w:ind w:left="360" w:hanging="360"/>
        <w:jc w:val="left"/>
        <w:rPr>
          <w:rFonts w:ascii="Times New Roman" w:hAnsi="Times New Roman" w:cs="Times New Roman"/>
          <w:b w:val="0"/>
          <w:bCs w:val="0"/>
        </w:rPr>
      </w:pPr>
    </w:p>
    <w:p w:rsidR="004B5122" w:rsidRPr="003A7CDE" w:rsidP="004B5122">
      <w:pPr>
        <w:pStyle w:val="tlNadpisbodov11pt"/>
        <w:spacing w:before="60" w:after="60"/>
        <w:ind w:left="360" w:hanging="360"/>
        <w:jc w:val="left"/>
        <w:rPr>
          <w:rFonts w:ascii="Times New Roman" w:hAnsi="Times New Roman" w:cs="Times New Roman"/>
          <w:b w:val="0"/>
          <w:bCs w:val="0"/>
        </w:rPr>
      </w:pPr>
      <w:r w:rsidRPr="003A7CDE">
        <w:rPr>
          <w:rFonts w:ascii="Times New Roman" w:hAnsi="Times New Roman" w:cs="Times New Roman"/>
        </w:rPr>
        <w:t>6.</w:t>
        <w:tab/>
        <w:t xml:space="preserve">Gestor: </w:t>
      </w:r>
      <w:r w:rsidRPr="003A7CDE">
        <w:rPr>
          <w:rFonts w:ascii="Times New Roman" w:hAnsi="Times New Roman" w:cs="Times New Roman"/>
          <w:b w:val="0"/>
          <w:bCs w:val="0"/>
        </w:rPr>
        <w:t>bezpredmetné</w:t>
      </w:r>
    </w:p>
    <w:p w:rsidR="004B5122" w:rsidP="004B5122">
      <w:pPr>
        <w:pStyle w:val="Zkladntext"/>
        <w:spacing w:before="60" w:after="60"/>
        <w:rPr>
          <w:rFonts w:ascii="Times New Roman" w:hAnsi="Times New Roman" w:cs="Times New Roman"/>
        </w:rPr>
      </w:pPr>
    </w:p>
    <w:p w:rsidR="004B5122" w:rsidP="004B5122">
      <w:pPr>
        <w:pStyle w:val="BodyText"/>
        <w:spacing w:before="60" w:after="60"/>
        <w:rPr>
          <w:rFonts w:ascii="Times New Roman" w:hAnsi="Times New Roman" w:cs="Times New Roman"/>
          <w:b/>
          <w:bCs/>
        </w:rPr>
      </w:pPr>
    </w:p>
    <w:p w:rsidR="004B5122" w:rsidRPr="003A7CDE" w:rsidP="004B5122">
      <w:pPr>
        <w:pStyle w:val="Title"/>
        <w:spacing w:before="60" w:after="60"/>
        <w:outlineLvl w:val="0"/>
        <w:rPr>
          <w:rFonts w:ascii="Times New Roman" w:hAnsi="Times New Roman" w:cs="Times New Roman"/>
          <w:bCs w:val="0"/>
        </w:rPr>
      </w:pPr>
      <w:r>
        <w:rPr>
          <w:rFonts w:ascii="Times New Roman" w:hAnsi="Times New Roman" w:cs="Times New Roman"/>
          <w:b w:val="0"/>
          <w:bCs w:val="0"/>
          <w:sz w:val="28"/>
        </w:rPr>
        <w:br w:type="page"/>
      </w:r>
      <w:r w:rsidRPr="003A7CDE">
        <w:rPr>
          <w:rFonts w:ascii="Times New Roman" w:hAnsi="Times New Roman" w:cs="Times New Roman"/>
          <w:bCs w:val="0"/>
        </w:rPr>
        <w:t>DOLOŽKA</w:t>
      </w:r>
    </w:p>
    <w:p w:rsidR="004B5122" w:rsidRPr="003A7CDE" w:rsidP="004B5122">
      <w:pPr>
        <w:pStyle w:val="Title"/>
        <w:spacing w:before="60" w:after="60"/>
        <w:rPr>
          <w:rFonts w:ascii="Times New Roman" w:hAnsi="Times New Roman" w:cs="Times New Roman"/>
          <w:bCs w:val="0"/>
        </w:rPr>
      </w:pPr>
    </w:p>
    <w:p w:rsidR="004B5122" w:rsidRPr="003A7CDE" w:rsidP="004B5122">
      <w:pPr>
        <w:pStyle w:val="Title"/>
        <w:spacing w:before="60" w:after="60"/>
        <w:rPr>
          <w:rFonts w:ascii="Times New Roman" w:hAnsi="Times New Roman" w:cs="Times New Roman"/>
          <w:bCs w:val="0"/>
        </w:rPr>
      </w:pPr>
      <w:r w:rsidRPr="003A7CDE">
        <w:rPr>
          <w:rFonts w:ascii="Times New Roman" w:hAnsi="Times New Roman" w:cs="Times New Roman"/>
          <w:bCs w:val="0"/>
        </w:rPr>
        <w:t>k návrhu zákona o jeho finančných a ekonomických vplyvoch,</w:t>
      </w:r>
    </w:p>
    <w:p w:rsidR="004B5122" w:rsidRPr="003A7CDE" w:rsidP="004B5122">
      <w:pPr>
        <w:pStyle w:val="Title"/>
        <w:spacing w:before="60" w:after="60"/>
        <w:rPr>
          <w:rFonts w:ascii="Times New Roman" w:hAnsi="Times New Roman" w:cs="Times New Roman"/>
          <w:bCs w:val="0"/>
        </w:rPr>
      </w:pPr>
      <w:r w:rsidRPr="003A7CDE">
        <w:rPr>
          <w:rFonts w:ascii="Times New Roman" w:hAnsi="Times New Roman" w:cs="Times New Roman"/>
          <w:bCs w:val="0"/>
        </w:rPr>
        <w:t>environmentálnych vplyvoch a vplyvoch na zamestnanosť </w:t>
      </w:r>
    </w:p>
    <w:p w:rsidR="004B5122" w:rsidP="004B5122">
      <w:pPr>
        <w:pStyle w:val="BodyText"/>
        <w:spacing w:before="60" w:after="60"/>
        <w:ind w:left="705"/>
        <w:jc w:val="both"/>
        <w:rPr>
          <w:rFonts w:ascii="Times New Roman" w:hAnsi="Times New Roman" w:cs="Times New Roman"/>
          <w:b/>
          <w:bCs/>
        </w:rPr>
      </w:pPr>
    </w:p>
    <w:p w:rsidR="004B5122" w:rsidP="004B5122">
      <w:pPr>
        <w:pStyle w:val="BodyText"/>
        <w:spacing w:before="60" w:after="60"/>
        <w:jc w:val="both"/>
        <w:rPr>
          <w:rFonts w:ascii="Times New Roman" w:hAnsi="Times New Roman" w:cs="Times New Roman"/>
          <w:b/>
          <w:bCs/>
        </w:rPr>
      </w:pPr>
    </w:p>
    <w:p w:rsidR="004B5122" w:rsidP="004B5122">
      <w:pPr>
        <w:pStyle w:val="BodyText"/>
        <w:spacing w:before="60" w:after="60"/>
        <w:jc w:val="both"/>
        <w:outlineLvl w:val="0"/>
        <w:rPr>
          <w:rFonts w:ascii="Times New Roman" w:hAnsi="Times New Roman" w:cs="Times New Roman"/>
          <w:b/>
          <w:bCs/>
        </w:rPr>
      </w:pPr>
      <w:r>
        <w:rPr>
          <w:rFonts w:ascii="Times New Roman" w:hAnsi="Times New Roman" w:cs="Times New Roman"/>
          <w:b/>
          <w:bCs/>
        </w:rPr>
        <w:t>1. Odhad dopadov na verejné financie</w:t>
      </w:r>
    </w:p>
    <w:p w:rsidR="004B5122" w:rsidRPr="003A7CDE" w:rsidP="004B5122">
      <w:pPr>
        <w:pStyle w:val="BodyText2"/>
        <w:tabs>
          <w:tab w:val="left" w:pos="0"/>
        </w:tabs>
        <w:spacing w:before="60" w:after="60"/>
        <w:jc w:val="left"/>
        <w:rPr>
          <w:rFonts w:ascii="Times New Roman" w:hAnsi="Times New Roman" w:cs="Times New Roman"/>
          <w:b w:val="0"/>
        </w:rPr>
      </w:pPr>
      <w:r w:rsidRPr="003A7CDE">
        <w:rPr>
          <w:rFonts w:ascii="Times New Roman" w:hAnsi="Times New Roman" w:cs="Times New Roman"/>
          <w:b w:val="0"/>
        </w:rPr>
        <w:t>Navrhovaný zákon by nemal mať výraznejší vplyv na štátny rozpočet a rozpočet obcí, a žiaden vplyv na rozpočet samosprávnych krajov. V prípade reštriktívnej politiky obcí  v oblasti prevádzkovania hazardných hier prostredníctvom výherných prístrojov (napr. sprísnením podmienok prevádzkovania alebo zavedením odvodu do rozpočtu obce) je možné očakávať zníženie počtu výherných prístrojov na území obce, a tým aj nepatrné zníženie príjmov do štátneho rozpočtu. Na druhej strane u obce pôjde o individuálne rozhodnutie s vedomím všetkých dôsledkov. Prípadné negatívne dopady na štátny rozpočet môžu byť viac ako eliminované znížením nákladov verejných financií na odstránenie negatívnych vedľajších efektov spojených s hazardnými hrami (najmä liečenie hráčskej závislosti, zníženie rizika, že blízka rodina vplyvom závislosti živiteľa rodina „upadne do sociálnej siete“ a pod.).</w:t>
      </w:r>
    </w:p>
    <w:p w:rsidR="004B5122" w:rsidP="004B5122">
      <w:pPr>
        <w:pStyle w:val="BodyText"/>
        <w:spacing w:before="60" w:after="60"/>
        <w:jc w:val="both"/>
        <w:rPr>
          <w:rFonts w:ascii="Times New Roman" w:hAnsi="Times New Roman" w:cs="Times New Roman"/>
        </w:rPr>
      </w:pPr>
      <w:r>
        <w:rPr>
          <w:rFonts w:ascii="Times New Roman" w:hAnsi="Times New Roman" w:cs="Times New Roman"/>
        </w:rPr>
        <w:tab/>
      </w:r>
    </w:p>
    <w:p w:rsidR="004B5122" w:rsidP="004B5122">
      <w:pPr>
        <w:pStyle w:val="BodyText"/>
        <w:spacing w:before="60" w:after="60"/>
        <w:outlineLvl w:val="0"/>
        <w:rPr>
          <w:rFonts w:ascii="Times New Roman" w:hAnsi="Times New Roman" w:cs="Times New Roman"/>
        </w:rPr>
      </w:pPr>
      <w:r>
        <w:rPr>
          <w:rFonts w:ascii="Times New Roman" w:hAnsi="Times New Roman" w:cs="Times New Roman"/>
          <w:b/>
          <w:bCs/>
        </w:rPr>
        <w:t>2. Odhad dopadov na obyvateľov, hospodárenie podnikateľskej sféry a iných právnických osôb</w:t>
      </w:r>
    </w:p>
    <w:p w:rsidR="004B5122" w:rsidP="004B5122">
      <w:pPr>
        <w:pStyle w:val="BodyTextIndent2"/>
        <w:spacing w:before="60" w:after="60"/>
        <w:ind w:left="0"/>
        <w:rPr>
          <w:rFonts w:ascii="Times New Roman" w:hAnsi="Times New Roman" w:cs="Times New Roman"/>
        </w:rPr>
      </w:pPr>
      <w:r>
        <w:rPr>
          <w:rFonts w:ascii="Times New Roman" w:hAnsi="Times New Roman" w:cs="Times New Roman"/>
        </w:rPr>
        <w:t>Návrh zákona nebude mať negatívny vplyv na obyvateľov ani na hospodárenie podnikateľskej sféry a iných právnických osôb.</w:t>
      </w:r>
    </w:p>
    <w:p w:rsidR="004B5122" w:rsidP="004B5122">
      <w:pPr>
        <w:spacing w:before="60" w:after="60"/>
        <w:jc w:val="both"/>
        <w:rPr>
          <w:rFonts w:ascii="Times New Roman" w:hAnsi="Times New Roman" w:cs="Times New Roman"/>
          <w:lang w:eastAsia="cs-CZ"/>
        </w:rPr>
      </w:pPr>
    </w:p>
    <w:p w:rsidR="004B5122" w:rsidP="004B5122">
      <w:pPr>
        <w:pStyle w:val="BodyText"/>
        <w:spacing w:before="60" w:after="60"/>
        <w:jc w:val="both"/>
        <w:outlineLvl w:val="0"/>
        <w:rPr>
          <w:rFonts w:ascii="Times New Roman" w:hAnsi="Times New Roman" w:cs="Times New Roman"/>
        </w:rPr>
      </w:pPr>
      <w:r>
        <w:rPr>
          <w:rFonts w:ascii="Times New Roman" w:hAnsi="Times New Roman" w:cs="Times New Roman"/>
          <w:b/>
          <w:bCs/>
        </w:rPr>
        <w:t>3. Odhad dopadov na životné prostredie</w:t>
      </w:r>
    </w:p>
    <w:p w:rsidR="004B5122" w:rsidP="004B5122">
      <w:pPr>
        <w:pStyle w:val="BodyText"/>
        <w:spacing w:before="60" w:after="60"/>
        <w:jc w:val="both"/>
        <w:rPr>
          <w:rFonts w:ascii="Times New Roman" w:hAnsi="Times New Roman" w:cs="Times New Roman"/>
          <w:b/>
          <w:bCs/>
        </w:rPr>
      </w:pPr>
      <w:r>
        <w:rPr>
          <w:rFonts w:ascii="Times New Roman" w:hAnsi="Times New Roman" w:cs="Times New Roman"/>
        </w:rPr>
        <w:t>Návrh zákona nebude mať žiadny vplyv na životné prostredie.</w:t>
      </w:r>
    </w:p>
    <w:p w:rsidR="004B5122" w:rsidP="004B5122">
      <w:pPr>
        <w:pStyle w:val="BodyText"/>
        <w:spacing w:before="60" w:after="60"/>
        <w:ind w:firstLine="708"/>
        <w:jc w:val="both"/>
        <w:rPr>
          <w:rFonts w:ascii="Times New Roman" w:hAnsi="Times New Roman" w:cs="Times New Roman"/>
          <w:b/>
          <w:bCs/>
        </w:rPr>
      </w:pPr>
    </w:p>
    <w:p w:rsidR="004B5122" w:rsidP="004B5122">
      <w:pPr>
        <w:pStyle w:val="BodyText"/>
        <w:spacing w:before="60" w:after="60"/>
        <w:jc w:val="both"/>
        <w:outlineLvl w:val="0"/>
        <w:rPr>
          <w:rFonts w:ascii="Times New Roman" w:hAnsi="Times New Roman" w:cs="Times New Roman"/>
          <w:b/>
          <w:bCs/>
        </w:rPr>
      </w:pPr>
      <w:r>
        <w:rPr>
          <w:rFonts w:ascii="Times New Roman" w:hAnsi="Times New Roman" w:cs="Times New Roman"/>
          <w:b/>
          <w:bCs/>
        </w:rPr>
        <w:t>4. Odhad dopadov na zamestnanosť</w:t>
      </w:r>
    </w:p>
    <w:p w:rsidR="004B5122" w:rsidP="004B5122">
      <w:pPr>
        <w:pStyle w:val="BodyText"/>
        <w:spacing w:before="60" w:after="60"/>
        <w:jc w:val="both"/>
        <w:rPr>
          <w:rFonts w:ascii="Times New Roman" w:hAnsi="Times New Roman" w:cs="Times New Roman"/>
        </w:rPr>
      </w:pPr>
      <w:r>
        <w:rPr>
          <w:rFonts w:ascii="Times New Roman" w:hAnsi="Times New Roman" w:cs="Times New Roman"/>
        </w:rPr>
        <w:t>Návrh zákona by nemal mať žiadny vplyv na nezamestnanosť občanov Slovenskej republiky.</w:t>
      </w:r>
    </w:p>
    <w:p w:rsidR="004B5122" w:rsidP="004B5122">
      <w:pPr>
        <w:pStyle w:val="BodyText"/>
        <w:spacing w:before="60" w:after="60"/>
        <w:jc w:val="both"/>
        <w:rPr>
          <w:rFonts w:ascii="Times New Roman" w:hAnsi="Times New Roman" w:cs="Times New Roman"/>
        </w:rPr>
      </w:pPr>
    </w:p>
    <w:p w:rsidR="004B5122" w:rsidP="004B5122">
      <w:pPr>
        <w:pStyle w:val="BodyText"/>
        <w:spacing w:before="60" w:after="60"/>
        <w:ind w:firstLine="540"/>
        <w:jc w:val="both"/>
        <w:rPr>
          <w:rFonts w:ascii="Times New Roman" w:hAnsi="Times New Roman" w:cs="Times New Roman"/>
        </w:rPr>
      </w:pPr>
      <w:r>
        <w:rPr>
          <w:rFonts w:ascii="Times New Roman" w:hAnsi="Times New Roman" w:cs="Times New Roman"/>
        </w:rPr>
        <w:br w:type="page"/>
      </w:r>
    </w:p>
    <w:p w:rsidR="004B5122" w:rsidP="004B5122">
      <w:pPr>
        <w:pStyle w:val="BodyText"/>
        <w:spacing w:before="60" w:after="60"/>
        <w:jc w:val="center"/>
        <w:outlineLvl w:val="0"/>
        <w:rPr>
          <w:rFonts w:ascii="Times New Roman" w:hAnsi="Times New Roman" w:cs="Times New Roman"/>
          <w:b/>
          <w:bCs/>
        </w:rPr>
      </w:pPr>
      <w:r>
        <w:rPr>
          <w:rFonts w:ascii="Times New Roman" w:hAnsi="Times New Roman" w:cs="Times New Roman"/>
          <w:b/>
          <w:bCs/>
        </w:rPr>
        <w:t>Osobitná časť</w:t>
      </w:r>
    </w:p>
    <w:p w:rsidR="004B5122" w:rsidP="004B5122">
      <w:pPr>
        <w:pStyle w:val="BodyText"/>
        <w:spacing w:before="60" w:after="60"/>
        <w:ind w:firstLine="360"/>
        <w:jc w:val="both"/>
        <w:rPr>
          <w:rFonts w:ascii="Times New Roman" w:hAnsi="Times New Roman" w:cs="Times New Roman"/>
        </w:rPr>
      </w:pPr>
    </w:p>
    <w:p w:rsidR="004B5122" w:rsidP="004B5122">
      <w:pPr>
        <w:pStyle w:val="BodyText"/>
        <w:spacing w:before="60" w:after="60"/>
        <w:jc w:val="both"/>
        <w:outlineLvl w:val="0"/>
        <w:rPr>
          <w:rFonts w:ascii="Times New Roman" w:hAnsi="Times New Roman" w:cs="Times New Roman"/>
          <w:b/>
          <w:bCs/>
        </w:rPr>
      </w:pPr>
      <w:r>
        <w:rPr>
          <w:rFonts w:ascii="Times New Roman" w:hAnsi="Times New Roman" w:cs="Times New Roman"/>
          <w:b/>
          <w:bCs/>
        </w:rPr>
        <w:t>K Čl. I</w:t>
      </w:r>
    </w:p>
    <w:p w:rsidR="004B5122" w:rsidP="004B5122">
      <w:pPr>
        <w:pStyle w:val="BodyText"/>
        <w:spacing w:before="60" w:after="60"/>
        <w:jc w:val="both"/>
        <w:rPr>
          <w:rFonts w:ascii="Times New Roman" w:hAnsi="Times New Roman" w:cs="Times New Roman"/>
          <w:b/>
          <w:bCs/>
        </w:rPr>
      </w:pPr>
    </w:p>
    <w:p w:rsidR="004B5122" w:rsidP="004B5122">
      <w:pPr>
        <w:pStyle w:val="BodyText"/>
        <w:spacing w:before="60" w:after="60"/>
        <w:jc w:val="both"/>
        <w:outlineLvl w:val="0"/>
        <w:rPr>
          <w:rFonts w:ascii="Times New Roman" w:hAnsi="Times New Roman" w:cs="Times New Roman"/>
          <w:b/>
          <w:bCs/>
        </w:rPr>
      </w:pPr>
      <w:r>
        <w:rPr>
          <w:rFonts w:ascii="Times New Roman" w:hAnsi="Times New Roman" w:cs="Times New Roman"/>
          <w:b/>
          <w:bCs/>
        </w:rPr>
        <w:t xml:space="preserve">K bodu </w:t>
      </w:r>
      <w:smartTag w:uri="urn:schemas-microsoft-com:office:smarttags" w:element="metricconverter">
        <w:smartTagPr>
          <w:attr w:name="ProductID" w:val="1 a"/>
        </w:smartTagPr>
        <w:r>
          <w:rPr>
            <w:rFonts w:ascii="Times New Roman" w:hAnsi="Times New Roman" w:cs="Times New Roman"/>
            <w:b/>
            <w:bCs/>
          </w:rPr>
          <w:t>1 a</w:t>
        </w:r>
      </w:smartTag>
      <w:r>
        <w:rPr>
          <w:rFonts w:ascii="Times New Roman" w:hAnsi="Times New Roman" w:cs="Times New Roman"/>
          <w:b/>
          <w:bCs/>
        </w:rPr>
        <w:t xml:space="preserve"> 2</w:t>
      </w:r>
    </w:p>
    <w:p w:rsidR="004B5122" w:rsidP="004B5122">
      <w:pPr>
        <w:pStyle w:val="BodyText"/>
        <w:spacing w:before="60" w:after="60"/>
        <w:ind w:firstLine="540"/>
        <w:jc w:val="both"/>
        <w:rPr>
          <w:rFonts w:ascii="Times New Roman" w:hAnsi="Times New Roman" w:cs="Times New Roman"/>
        </w:rPr>
      </w:pPr>
      <w:r>
        <w:rPr>
          <w:rFonts w:ascii="Times New Roman" w:hAnsi="Times New Roman" w:cs="Times New Roman"/>
        </w:rPr>
        <w:t>V pôvodnom návrhu zákona sa opomenula možnosť požiadať a udeliť licenciu štátnemu podniku. Nie je žiaden dôvod, ak môžu licenciou disponovať či súkromné alebo štátne akciové spoločnosti alebo spoločnosti s ručením s obmedzeným, aby štátny podnik musel túto činnosť robiť sprostredkovane. Aj štátny podnik musí splniť všetky podstatné podmienky na udelenie licencie s výnimkou tých, ktoré sa naň z povahy veci nemôžu vzťahovať.</w:t>
      </w:r>
    </w:p>
    <w:p w:rsidR="004B5122" w:rsidP="004B5122">
      <w:pPr>
        <w:pStyle w:val="BodyText"/>
        <w:spacing w:before="60" w:after="60"/>
        <w:jc w:val="both"/>
        <w:rPr>
          <w:rFonts w:ascii="Times New Roman" w:hAnsi="Times New Roman" w:cs="Times New Roman"/>
          <w:b/>
          <w:bCs/>
        </w:rPr>
      </w:pPr>
    </w:p>
    <w:p w:rsidR="004B5122" w:rsidP="004B5122">
      <w:pPr>
        <w:pStyle w:val="BodyText"/>
        <w:spacing w:before="60" w:after="60"/>
        <w:jc w:val="both"/>
        <w:outlineLvl w:val="0"/>
        <w:rPr>
          <w:rFonts w:ascii="Times New Roman" w:hAnsi="Times New Roman" w:cs="Times New Roman"/>
          <w:b/>
          <w:bCs/>
        </w:rPr>
      </w:pPr>
      <w:r>
        <w:rPr>
          <w:rFonts w:ascii="Times New Roman" w:hAnsi="Times New Roman" w:cs="Times New Roman"/>
          <w:b/>
          <w:bCs/>
        </w:rPr>
        <w:t>K bodu 3 a 4</w:t>
      </w:r>
    </w:p>
    <w:p w:rsidR="004B5122" w:rsidRPr="008475A8" w:rsidP="004B5122">
      <w:pPr>
        <w:pStyle w:val="BodyText"/>
        <w:spacing w:before="60" w:after="60"/>
        <w:jc w:val="both"/>
        <w:rPr>
          <w:rFonts w:ascii="Times New Roman" w:hAnsi="Times New Roman" w:cs="Times New Roman"/>
          <w:bCs/>
        </w:rPr>
      </w:pPr>
      <w:r w:rsidRPr="008475A8">
        <w:rPr>
          <w:rFonts w:ascii="Times New Roman" w:hAnsi="Times New Roman" w:cs="Times New Roman"/>
          <w:bCs/>
        </w:rPr>
        <w:t xml:space="preserve">          Umožňuje sa obci</w:t>
      </w:r>
      <w:r>
        <w:rPr>
          <w:rFonts w:ascii="Times New Roman" w:hAnsi="Times New Roman" w:cs="Times New Roman"/>
          <w:bCs/>
        </w:rPr>
        <w:t xml:space="preserve"> vydať všeobecne záväzné nariadenie, v ktorom sa ustanoví plošne na území obce alebo jej časti  neudeľovanie licencií.</w:t>
      </w:r>
    </w:p>
    <w:p w:rsidR="004B5122" w:rsidRPr="008475A8" w:rsidP="004B5122">
      <w:pPr>
        <w:pStyle w:val="BodyText"/>
        <w:spacing w:before="60" w:after="60"/>
        <w:jc w:val="both"/>
        <w:rPr>
          <w:rFonts w:ascii="Times New Roman" w:hAnsi="Times New Roman" w:cs="Times New Roman"/>
          <w:bCs/>
        </w:rPr>
      </w:pPr>
    </w:p>
    <w:p w:rsidR="004B5122" w:rsidP="004B5122">
      <w:pPr>
        <w:pStyle w:val="BodyText"/>
        <w:spacing w:before="60" w:after="60"/>
        <w:jc w:val="both"/>
        <w:outlineLvl w:val="0"/>
        <w:rPr>
          <w:rFonts w:ascii="Times New Roman" w:hAnsi="Times New Roman" w:cs="Times New Roman"/>
          <w:b/>
          <w:bCs/>
        </w:rPr>
      </w:pPr>
      <w:r>
        <w:rPr>
          <w:rFonts w:ascii="Times New Roman" w:hAnsi="Times New Roman" w:cs="Times New Roman"/>
          <w:b/>
          <w:bCs/>
        </w:rPr>
        <w:t>K bodu 5</w:t>
      </w:r>
    </w:p>
    <w:p w:rsidR="004B5122" w:rsidP="004B5122">
      <w:pPr>
        <w:pStyle w:val="BodyText"/>
        <w:spacing w:before="60" w:after="60"/>
        <w:ind w:firstLine="540"/>
        <w:jc w:val="both"/>
        <w:outlineLvl w:val="0"/>
        <w:rPr>
          <w:rFonts w:ascii="Times New Roman" w:hAnsi="Times New Roman" w:cs="Times New Roman"/>
        </w:rPr>
      </w:pPr>
      <w:r>
        <w:rPr>
          <w:rFonts w:ascii="Times New Roman" w:hAnsi="Times New Roman" w:cs="Times New Roman"/>
        </w:rPr>
        <w:t>Ak obec prijme VZN o neudeľovaní individuálnych licencií, takúto licenciu neudelí.</w:t>
      </w:r>
    </w:p>
    <w:p w:rsidR="004B5122" w:rsidP="004B5122">
      <w:pPr>
        <w:pStyle w:val="BodyText"/>
        <w:spacing w:before="60" w:after="60"/>
        <w:ind w:firstLine="540"/>
        <w:jc w:val="both"/>
        <w:rPr>
          <w:rFonts w:ascii="Times New Roman" w:hAnsi="Times New Roman" w:cs="Times New Roman"/>
        </w:rPr>
      </w:pPr>
    </w:p>
    <w:p w:rsidR="004B5122" w:rsidP="004B5122">
      <w:pPr>
        <w:pStyle w:val="BodyText"/>
        <w:spacing w:before="60" w:after="60"/>
        <w:jc w:val="both"/>
        <w:outlineLvl w:val="0"/>
        <w:rPr>
          <w:rFonts w:ascii="Times New Roman" w:hAnsi="Times New Roman" w:cs="Times New Roman"/>
        </w:rPr>
      </w:pPr>
      <w:r>
        <w:rPr>
          <w:rFonts w:ascii="Times New Roman" w:hAnsi="Times New Roman" w:cs="Times New Roman"/>
          <w:b/>
          <w:bCs/>
        </w:rPr>
        <w:t>K bodu 6</w:t>
      </w:r>
    </w:p>
    <w:p w:rsidR="004B5122" w:rsidP="004B5122">
      <w:pPr>
        <w:pStyle w:val="BodyText"/>
        <w:spacing w:before="60" w:after="60"/>
        <w:ind w:firstLine="540"/>
        <w:jc w:val="both"/>
        <w:outlineLvl w:val="0"/>
        <w:rPr>
          <w:rFonts w:ascii="Times New Roman" w:hAnsi="Times New Roman" w:cs="Times New Roman"/>
        </w:rPr>
      </w:pPr>
      <w:r>
        <w:rPr>
          <w:rFonts w:ascii="Times New Roman" w:hAnsi="Times New Roman" w:cs="Times New Roman"/>
        </w:rPr>
        <w:t>Výherné prístroje je umožnené prevádzkovať iba v herniach z dôvodu lepšej kontroly prístupu osôb do 18 rokov a zakazuje sa požívať alkoholické nápoje pri hraní.</w:t>
      </w:r>
    </w:p>
    <w:p w:rsidR="004B5122" w:rsidP="004B5122">
      <w:pPr>
        <w:pStyle w:val="BodyText"/>
        <w:spacing w:before="60" w:after="60"/>
        <w:jc w:val="both"/>
        <w:rPr>
          <w:rFonts w:ascii="Times New Roman" w:hAnsi="Times New Roman" w:cs="Times New Roman"/>
          <w:b/>
          <w:bCs/>
        </w:rPr>
      </w:pPr>
    </w:p>
    <w:p w:rsidR="004B5122" w:rsidP="004B5122">
      <w:pPr>
        <w:pStyle w:val="BodyText"/>
        <w:spacing w:before="60" w:after="60"/>
        <w:jc w:val="both"/>
        <w:outlineLvl w:val="0"/>
        <w:rPr>
          <w:rFonts w:ascii="Times New Roman" w:hAnsi="Times New Roman" w:cs="Times New Roman"/>
        </w:rPr>
      </w:pPr>
      <w:r>
        <w:rPr>
          <w:rFonts w:ascii="Times New Roman" w:hAnsi="Times New Roman" w:cs="Times New Roman"/>
          <w:b/>
          <w:bCs/>
        </w:rPr>
        <w:t>K Čl. II</w:t>
      </w:r>
    </w:p>
    <w:p w:rsidR="004B5122" w:rsidP="004B5122">
      <w:pPr>
        <w:pStyle w:val="BodyText"/>
        <w:spacing w:before="60" w:after="60"/>
        <w:ind w:firstLine="540"/>
        <w:jc w:val="both"/>
        <w:rPr>
          <w:rFonts w:ascii="Times New Roman" w:hAnsi="Times New Roman" w:cs="Times New Roman"/>
        </w:rPr>
      </w:pPr>
      <w:r>
        <w:rPr>
          <w:rFonts w:ascii="Times New Roman" w:hAnsi="Times New Roman" w:cs="Times New Roman"/>
        </w:rPr>
        <w:t>Vzhľadom na to, že zákon neupravuje nové povinnosti dotknutých subjektov (obce), ako aj so zreteľom na dĺžku zákonodarného procesu, sa uvedená legisvakačná lehota javí ako úplne dostačujúca.</w:t>
      </w:r>
    </w:p>
    <w:p w:rsidR="004B5122" w:rsidP="004B5122">
      <w:pPr>
        <w:rPr>
          <w:rFonts w:ascii="Times New Roman" w:hAnsi="Times New Roman" w:cs="Times New Roman"/>
        </w:rPr>
      </w:pPr>
    </w:p>
    <w:p w:rsidR="004B5122" w:rsidP="004B5122">
      <w:pPr>
        <w:rPr>
          <w:rFonts w:ascii="Times New Roman" w:hAnsi="Times New Roman" w:cs="Times New Roman"/>
        </w:rPr>
      </w:pPr>
    </w:p>
    <w:p w:rsidR="004B5122" w:rsidP="004B5122">
      <w:pPr>
        <w:rPr>
          <w:rFonts w:ascii="Times New Roman" w:hAnsi="Times New Roman" w:cs="Times New Roman"/>
        </w:rPr>
      </w:pPr>
    </w:p>
    <w:p w:rsidR="00F27363">
      <w:pPr>
        <w:rPr>
          <w:rFonts w:ascii="Times New Roman" w:hAnsi="Times New Roman" w:cs="Times New Roman"/>
        </w:rPr>
      </w:pPr>
    </w:p>
    <w:sectPr>
      <w:pgSz w:w="11907" w:h="16840" w:code="9"/>
      <w:pgMar w:top="1418"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50A8"/>
    <w:multiLevelType w:val="hybridMultilevel"/>
    <w:tmpl w:val="2E028AF8"/>
    <w:lvl w:ilvl="0">
      <w:start w:val="1"/>
      <w:numFmt w:val="lowerLetter"/>
      <w:lvlText w:val="%1)"/>
      <w:lvlJc w:val="left"/>
      <w:pPr>
        <w:tabs>
          <w:tab w:val="num" w:pos="-177"/>
        </w:tabs>
        <w:ind w:left="521" w:hanging="341"/>
      </w:pPr>
    </w:lvl>
    <w:lvl w:ilvl="1">
      <w:start w:val="1"/>
      <w:numFmt w:val="lowerLetter"/>
      <w:lvlText w:val="%2)"/>
      <w:lvlJc w:val="left"/>
      <w:pPr>
        <w:tabs>
          <w:tab w:val="num" w:pos="543"/>
        </w:tabs>
        <w:ind w:left="543" w:hanging="360"/>
      </w:pPr>
    </w:lvl>
    <w:lvl w:ilvl="2">
      <w:start w:val="1"/>
      <w:numFmt w:val="lowerRoman"/>
      <w:lvlText w:val="%3."/>
      <w:lvlJc w:val="right"/>
      <w:pPr>
        <w:tabs>
          <w:tab w:val="num" w:pos="1263"/>
        </w:tabs>
        <w:ind w:left="1263" w:hanging="180"/>
      </w:pPr>
    </w:lvl>
    <w:lvl w:ilvl="3">
      <w:start w:val="1"/>
      <w:numFmt w:val="decimal"/>
      <w:lvlText w:val="%4."/>
      <w:lvlJc w:val="left"/>
      <w:pPr>
        <w:tabs>
          <w:tab w:val="num" w:pos="1983"/>
        </w:tabs>
        <w:ind w:left="1983" w:hanging="360"/>
      </w:pPr>
    </w:lvl>
    <w:lvl w:ilvl="4">
      <w:start w:val="1"/>
      <w:numFmt w:val="lowerLetter"/>
      <w:lvlText w:val="%5."/>
      <w:lvlJc w:val="left"/>
      <w:pPr>
        <w:tabs>
          <w:tab w:val="num" w:pos="2703"/>
        </w:tabs>
        <w:ind w:left="2703" w:hanging="360"/>
      </w:pPr>
    </w:lvl>
    <w:lvl w:ilvl="5">
      <w:start w:val="1"/>
      <w:numFmt w:val="lowerRoman"/>
      <w:lvlText w:val="%6."/>
      <w:lvlJc w:val="right"/>
      <w:pPr>
        <w:tabs>
          <w:tab w:val="num" w:pos="3423"/>
        </w:tabs>
        <w:ind w:left="3423" w:hanging="180"/>
      </w:pPr>
    </w:lvl>
    <w:lvl w:ilvl="6">
      <w:start w:val="1"/>
      <w:numFmt w:val="decimal"/>
      <w:lvlText w:val="%7."/>
      <w:lvlJc w:val="left"/>
      <w:pPr>
        <w:tabs>
          <w:tab w:val="num" w:pos="4143"/>
        </w:tabs>
        <w:ind w:left="4143" w:hanging="360"/>
      </w:pPr>
    </w:lvl>
    <w:lvl w:ilvl="7">
      <w:start w:val="1"/>
      <w:numFmt w:val="lowerLetter"/>
      <w:lvlText w:val="%8."/>
      <w:lvlJc w:val="left"/>
      <w:pPr>
        <w:tabs>
          <w:tab w:val="num" w:pos="4863"/>
        </w:tabs>
        <w:ind w:left="4863" w:hanging="360"/>
      </w:pPr>
    </w:lvl>
    <w:lvl w:ilvl="8">
      <w:start w:val="1"/>
      <w:numFmt w:val="lowerRoman"/>
      <w:lvlText w:val="%9."/>
      <w:lvlJc w:val="right"/>
      <w:pPr>
        <w:tabs>
          <w:tab w:val="num" w:pos="5583"/>
        </w:tabs>
        <w:ind w:left="5583" w:hanging="180"/>
      </w:pPr>
    </w:lvl>
  </w:abstractNum>
  <w:abstractNum w:abstractNumId="1">
    <w:nsid w:val="7DBE345D"/>
    <w:multiLevelType w:val="hybridMultilevel"/>
    <w:tmpl w:val="1012D4CA"/>
    <w:lvl w:ilvl="0">
      <w:start w:val="1"/>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
    <w:nsid w:val="7F356C1B"/>
    <w:multiLevelType w:val="hybridMultilevel"/>
    <w:tmpl w:val="C75A6B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displayHorizontalDrawingGridEvery w:val="2"/>
  <w:displayVerticalDrawingGridEvery w:val="2"/>
  <w:characterSpacingControl w:val="doNotCompress"/>
  <w:compat>
    <w:doNotUseHTMLParagraphAutoSpacing/>
    <w:doNotUseIndentAsNumberingTabStop/>
    <w:allowSpaceOfSameStyleInTable/>
    <w:splitPgBreakAndParaMark/>
    <w:useAnsiKerningPairs/>
  </w:compat>
  <w:rsids>
    <w:rsidRoot w:val="00000000"/>
    <w:rsid w:val="000C09F7"/>
    <w:rsid w:val="003A7CDE"/>
    <w:rsid w:val="004B5122"/>
    <w:rsid w:val="008475A8"/>
    <w:rsid w:val="00D94F2A"/>
    <w:rsid w:val="00F2736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122"/>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4B5122"/>
    <w:pPr>
      <w:keepNext/>
      <w:spacing w:line="300" w:lineRule="atLeast"/>
      <w:jc w:val="center"/>
      <w:outlineLvl w:val="0"/>
    </w:pPr>
    <w:rPr>
      <w:b/>
      <w:bCs/>
    </w:rPr>
  </w:style>
  <w:style w:type="paragraph" w:styleId="Heading5">
    <w:name w:val="heading 5"/>
    <w:basedOn w:val="Normal"/>
    <w:next w:val="Normal"/>
    <w:qFormat/>
    <w:rsid w:val="004B5122"/>
    <w:pPr>
      <w:autoSpaceDE/>
      <w:autoSpaceDN/>
      <w:spacing w:before="240" w:after="60"/>
      <w:jc w:val="left"/>
      <w:outlineLvl w:val="4"/>
    </w:pPr>
    <w:rPr>
      <w:b/>
      <w:bCs/>
      <w:i/>
      <w:iCs/>
      <w:sz w:val="26"/>
      <w:szCs w:val="26"/>
      <w:lang w:val="cs-CZ"/>
    </w:rPr>
  </w:style>
  <w:style w:type="character" w:default="1" w:styleId="DefaultParagraphFont">
    <w:name w:val="Default Paragraph Font"/>
    <w:semiHidden/>
  </w:style>
  <w:style w:type="paragraph" w:styleId="BodyText">
    <w:name w:val="Body Text"/>
    <w:basedOn w:val="Normal"/>
    <w:rsid w:val="004B5122"/>
    <w:pPr>
      <w:spacing w:after="120"/>
      <w:jc w:val="left"/>
    </w:pPr>
  </w:style>
  <w:style w:type="paragraph" w:styleId="Title">
    <w:name w:val="Title"/>
    <w:basedOn w:val="Normal"/>
    <w:qFormat/>
    <w:rsid w:val="004B5122"/>
    <w:pPr>
      <w:jc w:val="center"/>
    </w:pPr>
    <w:rPr>
      <w:b/>
      <w:bCs/>
    </w:rPr>
  </w:style>
  <w:style w:type="paragraph" w:styleId="BodyText2">
    <w:name w:val="Body Text 2"/>
    <w:basedOn w:val="Normal"/>
    <w:rsid w:val="004B5122"/>
    <w:pPr>
      <w:jc w:val="center"/>
    </w:pPr>
    <w:rPr>
      <w:b/>
      <w:bCs/>
    </w:rPr>
  </w:style>
  <w:style w:type="paragraph" w:styleId="BodyTextIndent2">
    <w:name w:val="Body Text Indent 2"/>
    <w:basedOn w:val="Normal"/>
    <w:rsid w:val="004B5122"/>
    <w:pPr>
      <w:spacing w:after="120" w:line="480" w:lineRule="auto"/>
      <w:ind w:left="283"/>
      <w:jc w:val="left"/>
    </w:pPr>
  </w:style>
  <w:style w:type="paragraph" w:styleId="BodyText3">
    <w:name w:val="Body Text 3"/>
    <w:basedOn w:val="Normal"/>
    <w:rsid w:val="004B5122"/>
    <w:pPr>
      <w:spacing w:after="120"/>
      <w:jc w:val="left"/>
    </w:pPr>
    <w:rPr>
      <w:sz w:val="16"/>
      <w:szCs w:val="16"/>
    </w:rPr>
  </w:style>
  <w:style w:type="paragraph" w:styleId="BodyTextIndent3">
    <w:name w:val="Body Text Indent 3"/>
    <w:basedOn w:val="Normal"/>
    <w:rsid w:val="004B5122"/>
    <w:pPr>
      <w:spacing w:after="120"/>
      <w:ind w:left="283"/>
      <w:jc w:val="left"/>
    </w:pPr>
    <w:rPr>
      <w:sz w:val="16"/>
      <w:szCs w:val="16"/>
    </w:rPr>
  </w:style>
  <w:style w:type="paragraph" w:customStyle="1" w:styleId="tlNadpisbodov11pt">
    <w:name w:val="Štýl Nadpis bodov + 11 pt"/>
    <w:basedOn w:val="Normal"/>
    <w:rsid w:val="004B5122"/>
    <w:pPr>
      <w:tabs>
        <w:tab w:val="left" w:pos="360"/>
      </w:tabs>
      <w:spacing w:after="120"/>
      <w:jc w:val="both"/>
    </w:pPr>
    <w:rPr>
      <w:b/>
      <w:bCs/>
    </w:rPr>
  </w:style>
  <w:style w:type="paragraph" w:customStyle="1" w:styleId="Zkladntext">
    <w:name w:val="Základní text"/>
    <w:rsid w:val="004B5122"/>
    <w:pPr>
      <w:widowControl w:val="0"/>
      <w:autoSpaceDE w:val="0"/>
      <w:autoSpaceDN w:val="0"/>
      <w:bidi w:val="0"/>
      <w:adjustRightInd w:val="0"/>
      <w:ind w:left="0" w:right="0"/>
      <w:jc w:val="left"/>
      <w:textAlignment w:val="auto"/>
    </w:pPr>
    <w:rPr>
      <w:color w:val="000000"/>
      <w:sz w:val="24"/>
      <w:szCs w:val="24"/>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TotalTime>
  <Pages>7</Pages>
  <Words>1594</Words>
  <Characters>9089</Characters>
  <Application>Microsoft Office Word</Application>
  <DocSecurity>0</DocSecurity>
  <Lines>0</Lines>
  <Paragraphs>0</Paragraphs>
  <ScaleCrop>false</ScaleCrop>
  <Company>Kancelaria NR SR</Company>
  <LinksUpToDate>false</LinksUpToDate>
  <CharactersWithSpaces>10662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Pavol_Minarik</dc:creator>
  <cp:lastModifiedBy>gaspjarm</cp:lastModifiedBy>
  <cp:revision>3</cp:revision>
  <dcterms:created xsi:type="dcterms:W3CDTF">2008-05-27T09:39:00Z</dcterms:created>
  <dcterms:modified xsi:type="dcterms:W3CDTF">2008-05-30T15:34:00Z</dcterms:modified>
</cp:coreProperties>
</file>